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FE" w:rsidRDefault="004408FE">
      <w:pPr>
        <w:adjustRightInd w:val="0"/>
        <w:snapToGrid w:val="0"/>
        <w:jc w:val="center"/>
        <w:rPr>
          <w:rFonts w:ascii="彩虹粗仿宋" w:eastAsia="彩虹粗仿宋" w:hAnsi="宋体" w:cs="Arial"/>
          <w:b/>
          <w:sz w:val="44"/>
        </w:rPr>
      </w:pPr>
    </w:p>
    <w:p w:rsidR="004408FE" w:rsidRDefault="004408FE">
      <w:pPr>
        <w:adjustRightInd w:val="0"/>
        <w:snapToGrid w:val="0"/>
        <w:jc w:val="center"/>
        <w:rPr>
          <w:rFonts w:ascii="彩虹粗仿宋" w:eastAsia="彩虹粗仿宋" w:hAnsi="宋体" w:cs="Arial"/>
          <w:b/>
          <w:sz w:val="44"/>
        </w:rPr>
      </w:pPr>
    </w:p>
    <w:p w:rsidR="004408FE" w:rsidRDefault="004408FE">
      <w:pPr>
        <w:adjustRightInd w:val="0"/>
        <w:snapToGrid w:val="0"/>
        <w:jc w:val="center"/>
        <w:rPr>
          <w:rFonts w:ascii="彩虹粗仿宋" w:eastAsia="彩虹粗仿宋" w:hAnsi="宋体" w:cs="Arial"/>
          <w:b/>
          <w:sz w:val="44"/>
        </w:rPr>
      </w:pPr>
    </w:p>
    <w:p w:rsidR="004408FE" w:rsidRDefault="00437179">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8" cstate="print"/>
                    <a:srcRect/>
                    <a:stretch>
                      <a:fillRect/>
                    </a:stretch>
                  </pic:blipFill>
                  <pic:spPr>
                    <a:xfrm>
                      <a:off x="0" y="0"/>
                      <a:ext cx="4352925" cy="581025"/>
                    </a:xfrm>
                    <a:prstGeom prst="rect">
                      <a:avLst/>
                    </a:prstGeom>
                    <a:noFill/>
                    <a:ln w="9525">
                      <a:noFill/>
                      <a:miter lim="800000"/>
                      <a:headEnd/>
                      <a:tailEnd/>
                    </a:ln>
                  </pic:spPr>
                </pic:pic>
              </a:graphicData>
            </a:graphic>
          </wp:inline>
        </w:drawing>
      </w:r>
    </w:p>
    <w:p w:rsidR="004408FE" w:rsidRDefault="004408FE">
      <w:pPr>
        <w:adjustRightInd w:val="0"/>
        <w:snapToGrid w:val="0"/>
        <w:jc w:val="center"/>
        <w:rPr>
          <w:rFonts w:ascii="彩虹粗仿宋" w:eastAsia="彩虹粗仿宋" w:hAnsi="宋体" w:cs="Arial"/>
          <w:b/>
          <w:sz w:val="44"/>
        </w:rPr>
      </w:pPr>
    </w:p>
    <w:p w:rsidR="004408FE" w:rsidRDefault="004408FE">
      <w:pPr>
        <w:adjustRightInd w:val="0"/>
        <w:snapToGrid w:val="0"/>
        <w:jc w:val="center"/>
        <w:rPr>
          <w:rFonts w:ascii="彩虹粗仿宋" w:eastAsia="彩虹粗仿宋" w:hAnsi="宋体" w:cs="Arial"/>
          <w:b/>
          <w:sz w:val="44"/>
        </w:rPr>
      </w:pPr>
    </w:p>
    <w:p w:rsidR="004408FE" w:rsidRDefault="00437179">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交银施罗德瑞卓三年持有期混合型证券投资基金托管协议</w:t>
      </w: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3717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rsidR="004408FE" w:rsidRDefault="0043717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408FE">
      <w:pPr>
        <w:adjustRightInd w:val="0"/>
        <w:snapToGrid w:val="0"/>
        <w:ind w:firstLineChars="200" w:firstLine="480"/>
        <w:jc w:val="center"/>
        <w:rPr>
          <w:rFonts w:ascii="彩虹粗仿宋" w:eastAsia="彩虹粗仿宋" w:hAnsi="宋体" w:cs="Arial"/>
          <w:sz w:val="24"/>
        </w:rPr>
      </w:pPr>
    </w:p>
    <w:p w:rsidR="004408FE" w:rsidRDefault="0043717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w:t>
      </w:r>
      <w:r w:rsidR="00825BD4">
        <w:rPr>
          <w:rFonts w:ascii="彩虹粗仿宋" w:eastAsia="彩虹粗仿宋" w:hAnsi="宋体" w:cs="Arial" w:hint="eastAsia"/>
          <w:sz w:val="24"/>
        </w:rPr>
        <w:t>三</w:t>
      </w:r>
      <w:r>
        <w:rPr>
          <w:rFonts w:ascii="彩虹粗仿宋" w:eastAsia="彩虹粗仿宋" w:hAnsi="宋体" w:cs="Arial" w:hint="eastAsia"/>
          <w:sz w:val="24"/>
        </w:rPr>
        <w:t>年</w:t>
      </w:r>
      <w:r w:rsidR="00825BD4">
        <w:rPr>
          <w:rFonts w:ascii="彩虹粗仿宋" w:eastAsia="彩虹粗仿宋" w:hAnsi="宋体" w:cs="Arial" w:hint="eastAsia"/>
          <w:sz w:val="24"/>
        </w:rPr>
        <w:t>七</w:t>
      </w:r>
      <w:r>
        <w:rPr>
          <w:rFonts w:ascii="彩虹粗仿宋" w:eastAsia="彩虹粗仿宋" w:hAnsi="宋体" w:cs="Arial" w:hint="eastAsia"/>
          <w:sz w:val="24"/>
        </w:rPr>
        <w:t>月</w:t>
      </w:r>
    </w:p>
    <w:p w:rsidR="00B13134" w:rsidRDefault="00B13134">
      <w:pPr>
        <w:adjustRightInd w:val="0"/>
        <w:snapToGrid w:val="0"/>
        <w:ind w:firstLineChars="200" w:firstLine="480"/>
        <w:jc w:val="center"/>
        <w:rPr>
          <w:rFonts w:ascii="彩虹粗仿宋" w:eastAsia="彩虹粗仿宋" w:hAnsi="宋体" w:cs="Arial"/>
          <w:sz w:val="24"/>
        </w:rPr>
      </w:pPr>
    </w:p>
    <w:p w:rsidR="00B13134" w:rsidRDefault="00B13134">
      <w:pPr>
        <w:adjustRightInd w:val="0"/>
        <w:snapToGrid w:val="0"/>
        <w:ind w:firstLineChars="200" w:firstLine="480"/>
        <w:jc w:val="center"/>
        <w:rPr>
          <w:rFonts w:ascii="彩虹粗仿宋" w:eastAsia="彩虹粗仿宋" w:hAnsi="宋体" w:cs="Arial"/>
          <w:sz w:val="24"/>
        </w:rPr>
      </w:pPr>
    </w:p>
    <w:p w:rsidR="00B13134" w:rsidRDefault="00B13134">
      <w:pPr>
        <w:adjustRightInd w:val="0"/>
        <w:snapToGrid w:val="0"/>
        <w:ind w:firstLineChars="200" w:firstLine="480"/>
        <w:jc w:val="center"/>
        <w:rPr>
          <w:rFonts w:ascii="彩虹粗仿宋" w:eastAsia="彩虹粗仿宋" w:hAnsi="宋体" w:cs="Arial"/>
          <w:sz w:val="24"/>
        </w:rPr>
      </w:pPr>
    </w:p>
    <w:p w:rsidR="00B13134" w:rsidRDefault="00B13134">
      <w:pPr>
        <w:adjustRightInd w:val="0"/>
        <w:snapToGrid w:val="0"/>
        <w:ind w:firstLineChars="200" w:firstLine="480"/>
        <w:jc w:val="center"/>
        <w:rPr>
          <w:rFonts w:ascii="彩虹粗仿宋" w:eastAsia="彩虹粗仿宋" w:hAnsi="宋体" w:cs="Arial"/>
          <w:sz w:val="24"/>
        </w:rPr>
      </w:pPr>
    </w:p>
    <w:p w:rsidR="00B13134" w:rsidRDefault="00B13134">
      <w:pPr>
        <w:adjustRightInd w:val="0"/>
        <w:snapToGrid w:val="0"/>
        <w:ind w:firstLineChars="200" w:firstLine="480"/>
        <w:jc w:val="center"/>
        <w:rPr>
          <w:rFonts w:ascii="彩虹粗仿宋" w:eastAsia="彩虹粗仿宋" w:hAnsi="宋体" w:cs="Arial" w:hint="eastAsia"/>
          <w:sz w:val="24"/>
        </w:rPr>
      </w:pPr>
    </w:p>
    <w:p w:rsidR="004408FE" w:rsidRDefault="00437179">
      <w:pPr>
        <w:jc w:val="center"/>
        <w:rPr>
          <w:rFonts w:ascii="彩虹粗仿宋" w:eastAsia="彩虹粗仿宋"/>
          <w:b/>
          <w:bCs/>
          <w:sz w:val="30"/>
        </w:rPr>
      </w:pPr>
      <w:r>
        <w:rPr>
          <w:rFonts w:ascii="彩虹粗仿宋" w:eastAsia="彩虹粗仿宋" w:hint="eastAsia"/>
          <w:b/>
          <w:bCs/>
          <w:sz w:val="30"/>
        </w:rPr>
        <w:t>目    录</w:t>
      </w:r>
    </w:p>
    <w:p w:rsidR="004408FE" w:rsidRDefault="00437179">
      <w:pPr>
        <w:pStyle w:val="23"/>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6"/>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A83CE9">
          <w:rPr>
            <w:rFonts w:ascii="彩虹粗仿宋" w:eastAsia="彩虹粗仿宋" w:hAnsi="宋体"/>
            <w:noProof/>
            <w:sz w:val="28"/>
          </w:rPr>
          <w:t>3</w:t>
        </w:r>
        <w:r>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886" w:history="1">
        <w:r w:rsidR="00437179">
          <w:rPr>
            <w:rStyle w:val="af6"/>
            <w:rFonts w:ascii="彩虹粗仿宋" w:eastAsia="彩虹粗仿宋" w:hAnsi="宋体" w:hint="eastAsia"/>
            <w:noProof/>
            <w:sz w:val="28"/>
            <w:szCs w:val="32"/>
          </w:rPr>
          <w:t>二、基金托管协议的依据、目的和原则</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_Toc124325886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4</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887" w:history="1">
        <w:r w:rsidR="00437179">
          <w:rPr>
            <w:rStyle w:val="af6"/>
            <w:rFonts w:ascii="彩虹粗仿宋" w:eastAsia="彩虹粗仿宋" w:hAnsi="宋体" w:hint="eastAsia"/>
            <w:noProof/>
            <w:sz w:val="28"/>
            <w:szCs w:val="32"/>
          </w:rPr>
          <w:t>三、基金托管人对基金管理人的业务监督和核查</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_Toc124325887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5</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888" w:history="1">
        <w:r w:rsidR="00437179">
          <w:rPr>
            <w:rStyle w:val="af6"/>
            <w:rFonts w:ascii="彩虹粗仿宋" w:eastAsia="彩虹粗仿宋" w:hAnsi="宋体" w:hint="eastAsia"/>
            <w:noProof/>
            <w:sz w:val="28"/>
            <w:szCs w:val="32"/>
          </w:rPr>
          <w:t>四、基金管理人对基金托管人的业务核查</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_Toc124325888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11</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889" w:history="1">
        <w:r w:rsidR="00437179">
          <w:rPr>
            <w:rStyle w:val="af6"/>
            <w:rFonts w:ascii="彩虹粗仿宋" w:eastAsia="彩虹粗仿宋" w:hAnsi="宋体" w:hint="eastAsia"/>
            <w:noProof/>
            <w:sz w:val="28"/>
            <w:szCs w:val="32"/>
          </w:rPr>
          <w:t>五、基金财产的保管</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_Toc124325889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11</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890" w:history="1">
        <w:r w:rsidR="00437179">
          <w:rPr>
            <w:rStyle w:val="af6"/>
            <w:rFonts w:ascii="彩虹粗仿宋" w:eastAsia="彩虹粗仿宋" w:hAnsi="宋体" w:hint="eastAsia"/>
            <w:noProof/>
            <w:sz w:val="28"/>
            <w:szCs w:val="32"/>
          </w:rPr>
          <w:t>六、指令的发送、确认及执行</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_Toc124325890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14</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891" w:history="1">
        <w:r w:rsidR="00437179">
          <w:rPr>
            <w:rStyle w:val="af6"/>
            <w:rFonts w:ascii="彩虹粗仿宋" w:eastAsia="彩虹粗仿宋" w:hAnsi="宋体" w:hint="eastAsia"/>
            <w:noProof/>
            <w:sz w:val="28"/>
            <w:szCs w:val="32"/>
          </w:rPr>
          <w:t>七、交易及清算交收安排</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_Toc124325891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17</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892" w:history="1">
        <w:r w:rsidR="00437179">
          <w:rPr>
            <w:rStyle w:val="af6"/>
            <w:rFonts w:ascii="彩虹粗仿宋" w:eastAsia="彩虹粗仿宋" w:hAnsi="宋体" w:hint="eastAsia"/>
            <w:noProof/>
            <w:sz w:val="28"/>
            <w:szCs w:val="32"/>
          </w:rPr>
          <w:t>八、基金资产净值计算和会计核算</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_Toc124325892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21</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893" w:history="1">
        <w:r w:rsidR="00437179">
          <w:rPr>
            <w:rStyle w:val="af6"/>
            <w:rFonts w:ascii="彩虹粗仿宋" w:eastAsia="彩虹粗仿宋" w:hAnsi="宋体" w:hint="eastAsia"/>
            <w:noProof/>
            <w:sz w:val="28"/>
            <w:szCs w:val="32"/>
          </w:rPr>
          <w:t>九、基金收益分配</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_Toc124325893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26</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894" w:history="1">
        <w:r w:rsidR="00437179">
          <w:rPr>
            <w:rStyle w:val="af6"/>
            <w:rFonts w:ascii="彩虹粗仿宋" w:eastAsia="彩虹粗仿宋" w:hAnsi="宋体" w:hint="eastAsia"/>
            <w:noProof/>
            <w:sz w:val="28"/>
            <w:szCs w:val="32"/>
          </w:rPr>
          <w:t>十、基金信息披露</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_Toc124325894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27</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895" w:history="1">
        <w:r w:rsidR="00437179">
          <w:rPr>
            <w:rStyle w:val="af6"/>
            <w:rFonts w:ascii="彩虹粗仿宋" w:eastAsia="彩虹粗仿宋" w:hAnsi="宋体" w:hint="eastAsia"/>
            <w:noProof/>
            <w:sz w:val="28"/>
            <w:szCs w:val="32"/>
          </w:rPr>
          <w:t>十一、基金费用</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_Toc124325895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29</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896" w:history="1">
        <w:r w:rsidR="00437179">
          <w:rPr>
            <w:rStyle w:val="af6"/>
            <w:rFonts w:ascii="彩虹粗仿宋" w:eastAsia="彩虹粗仿宋" w:hAnsi="宋体" w:hint="eastAsia"/>
            <w:noProof/>
            <w:sz w:val="28"/>
            <w:szCs w:val="32"/>
          </w:rPr>
          <w:t>十二、基金份额持有人名册的保管</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_Toc124325896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30</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897" w:history="1">
        <w:r w:rsidR="00437179">
          <w:rPr>
            <w:rStyle w:val="af6"/>
            <w:rFonts w:ascii="彩虹粗仿宋" w:eastAsia="彩虹粗仿宋" w:hAnsi="宋体" w:hint="eastAsia"/>
            <w:noProof/>
            <w:sz w:val="28"/>
            <w:szCs w:val="32"/>
          </w:rPr>
          <w:t>十三、基金有关文件档案的保存</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_Toc124325897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31</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898" w:history="1">
        <w:r w:rsidR="00437179">
          <w:rPr>
            <w:rStyle w:val="af6"/>
            <w:rFonts w:ascii="彩虹粗仿宋" w:eastAsia="彩虹粗仿宋" w:hAnsi="宋体" w:hint="eastAsia"/>
            <w:noProof/>
            <w:sz w:val="28"/>
            <w:szCs w:val="32"/>
          </w:rPr>
          <w:t>十四、基金管理人和基金托管人的更换</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_Toc124325898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31</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899" w:history="1">
        <w:r w:rsidR="00437179">
          <w:rPr>
            <w:rStyle w:val="af6"/>
            <w:rFonts w:ascii="彩虹粗仿宋" w:eastAsia="彩虹粗仿宋" w:hAnsi="宋体" w:hint="eastAsia"/>
            <w:noProof/>
            <w:sz w:val="28"/>
            <w:szCs w:val="32"/>
          </w:rPr>
          <w:t>十五、禁止行为</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_Toc124325899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33</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900" w:history="1">
        <w:r w:rsidR="00437179">
          <w:rPr>
            <w:rStyle w:val="af6"/>
            <w:rFonts w:ascii="彩虹粗仿宋" w:eastAsia="彩虹粗仿宋" w:hAnsi="宋体" w:hint="eastAsia"/>
            <w:noProof/>
            <w:sz w:val="28"/>
            <w:szCs w:val="32"/>
          </w:rPr>
          <w:t>十六、托管协议的变更、终止与基金财产的清算</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_Toc124325900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34</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901" w:history="1">
        <w:r w:rsidR="00437179">
          <w:rPr>
            <w:rStyle w:val="af6"/>
            <w:rFonts w:ascii="彩虹粗仿宋" w:eastAsia="彩虹粗仿宋" w:hAnsi="宋体" w:hint="eastAsia"/>
            <w:noProof/>
            <w:sz w:val="28"/>
            <w:szCs w:val="32"/>
          </w:rPr>
          <w:t>十七、违约责任</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_Toc124325901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36</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902" w:history="1">
        <w:r w:rsidR="00437179">
          <w:rPr>
            <w:rStyle w:val="af6"/>
            <w:rFonts w:ascii="彩虹粗仿宋" w:eastAsia="彩虹粗仿宋" w:hAnsi="宋体" w:hint="eastAsia"/>
            <w:noProof/>
            <w:sz w:val="28"/>
            <w:szCs w:val="32"/>
          </w:rPr>
          <w:t>十八、争议解决方式</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_Toc124325902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37</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903" w:history="1">
        <w:r w:rsidR="00437179">
          <w:rPr>
            <w:rStyle w:val="af6"/>
            <w:rFonts w:ascii="彩虹粗仿宋" w:eastAsia="彩虹粗仿宋" w:hAnsi="宋体" w:hint="eastAsia"/>
            <w:noProof/>
            <w:sz w:val="28"/>
            <w:szCs w:val="32"/>
          </w:rPr>
          <w:t>十九、托管协议的效力</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_Toc124325903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37</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904" w:history="1">
        <w:r w:rsidR="00437179">
          <w:rPr>
            <w:rStyle w:val="af6"/>
            <w:rFonts w:ascii="彩虹粗仿宋" w:eastAsia="彩虹粗仿宋" w:hAnsi="宋体" w:hint="eastAsia"/>
            <w:noProof/>
            <w:sz w:val="28"/>
            <w:szCs w:val="32"/>
          </w:rPr>
          <w:t>二十、其他事项</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_Toc124325904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38</w:t>
        </w:r>
        <w:r w:rsidR="00437179">
          <w:rPr>
            <w:rFonts w:ascii="彩虹粗仿宋" w:eastAsia="彩虹粗仿宋" w:hAnsi="宋体" w:hint="eastAsia"/>
            <w:noProof/>
            <w:sz w:val="28"/>
          </w:rPr>
          <w:fldChar w:fldCharType="end"/>
        </w:r>
      </w:hyperlink>
    </w:p>
    <w:p w:rsidR="004408FE" w:rsidRDefault="00B13134">
      <w:pPr>
        <w:pStyle w:val="23"/>
        <w:tabs>
          <w:tab w:val="right" w:leader="dot" w:pos="8494"/>
        </w:tabs>
        <w:rPr>
          <w:rFonts w:ascii="彩虹粗仿宋" w:eastAsia="彩虹粗仿宋" w:hAnsi="宋体"/>
          <w:noProof/>
          <w:sz w:val="28"/>
        </w:rPr>
      </w:pPr>
      <w:hyperlink w:anchor="_Toc124325905" w:history="1">
        <w:r w:rsidR="00437179">
          <w:rPr>
            <w:rStyle w:val="af6"/>
            <w:rFonts w:ascii="彩虹粗仿宋" w:eastAsia="彩虹粗仿宋" w:hAnsi="宋体" w:hint="eastAsia"/>
            <w:noProof/>
            <w:sz w:val="28"/>
            <w:szCs w:val="32"/>
          </w:rPr>
          <w:t>二十一、托管协议的签订</w:t>
        </w:r>
        <w:r w:rsidR="00437179">
          <w:rPr>
            <w:rFonts w:ascii="彩虹粗仿宋" w:eastAsia="彩虹粗仿宋" w:hAnsi="宋体" w:hint="eastAsia"/>
            <w:noProof/>
            <w:sz w:val="28"/>
          </w:rPr>
          <w:tab/>
        </w:r>
        <w:r w:rsidR="00437179">
          <w:rPr>
            <w:rFonts w:ascii="彩虹粗仿宋" w:eastAsia="彩虹粗仿宋" w:hAnsi="宋体" w:hint="eastAsia"/>
            <w:noProof/>
            <w:sz w:val="28"/>
          </w:rPr>
          <w:fldChar w:fldCharType="begin"/>
        </w:r>
        <w:r w:rsidR="00437179">
          <w:rPr>
            <w:rFonts w:ascii="彩虹粗仿宋" w:eastAsia="彩虹粗仿宋" w:hAnsi="宋体" w:hint="eastAsia"/>
            <w:noProof/>
            <w:sz w:val="28"/>
          </w:rPr>
          <w:instrText xml:space="preserve"> PAGEREF _Toc124325905 \h </w:instrText>
        </w:r>
        <w:r w:rsidR="00437179">
          <w:rPr>
            <w:rFonts w:ascii="彩虹粗仿宋" w:eastAsia="彩虹粗仿宋" w:hAnsi="宋体" w:hint="eastAsia"/>
            <w:noProof/>
            <w:sz w:val="28"/>
          </w:rPr>
        </w:r>
        <w:r w:rsidR="00437179">
          <w:rPr>
            <w:rFonts w:ascii="彩虹粗仿宋" w:eastAsia="彩虹粗仿宋" w:hAnsi="宋体" w:hint="eastAsia"/>
            <w:noProof/>
            <w:sz w:val="28"/>
          </w:rPr>
          <w:fldChar w:fldCharType="separate"/>
        </w:r>
        <w:r w:rsidR="00A83CE9">
          <w:rPr>
            <w:rFonts w:ascii="彩虹粗仿宋" w:eastAsia="彩虹粗仿宋" w:hAnsi="宋体"/>
            <w:noProof/>
            <w:sz w:val="28"/>
          </w:rPr>
          <w:t>38</w:t>
        </w:r>
        <w:r w:rsidR="00437179">
          <w:rPr>
            <w:rFonts w:ascii="彩虹粗仿宋" w:eastAsia="彩虹粗仿宋" w:hAnsi="宋体" w:hint="eastAsia"/>
            <w:noProof/>
            <w:sz w:val="28"/>
          </w:rPr>
          <w:fldChar w:fldCharType="end"/>
        </w:r>
      </w:hyperlink>
    </w:p>
    <w:p w:rsidR="004408FE" w:rsidRDefault="00437179">
      <w:pPr>
        <w:rPr>
          <w:rFonts w:ascii="彩虹粗仿宋" w:eastAsia="彩虹粗仿宋"/>
          <w:sz w:val="24"/>
        </w:rPr>
      </w:pPr>
      <w:r>
        <w:rPr>
          <w:rFonts w:ascii="彩虹粗仿宋" w:eastAsia="彩虹粗仿宋" w:hAnsi="宋体" w:hint="eastAsia"/>
          <w:sz w:val="28"/>
        </w:rPr>
        <w:fldChar w:fldCharType="end"/>
      </w:r>
    </w:p>
    <w:p w:rsidR="004408FE" w:rsidRDefault="00437179">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w:t>
      </w:r>
      <w:proofErr w:type="gramStart"/>
      <w:r>
        <w:rPr>
          <w:rFonts w:ascii="彩虹粗仿宋" w:eastAsia="彩虹粗仿宋" w:hAnsi="宋体" w:cs="Arial" w:hint="eastAsia"/>
          <w:sz w:val="24"/>
        </w:rPr>
        <w:t>施罗德瑞卓三年</w:t>
      </w:r>
      <w:proofErr w:type="gramEnd"/>
      <w:r>
        <w:rPr>
          <w:rFonts w:ascii="彩虹粗仿宋" w:eastAsia="彩虹粗仿宋" w:hAnsi="宋体" w:cs="Arial" w:hint="eastAsia"/>
          <w:sz w:val="24"/>
        </w:rPr>
        <w:t>持有期混合型</w:t>
      </w:r>
      <w:r>
        <w:rPr>
          <w:rFonts w:ascii="彩虹粗仿宋" w:eastAsia="彩虹粗仿宋" w:hAnsi="宋体" w:cs="Arial" w:hint="eastAsia"/>
          <w:kern w:val="0"/>
          <w:sz w:val="24"/>
        </w:rPr>
        <w:t>证券投资基金；</w:t>
      </w:r>
    </w:p>
    <w:p w:rsidR="004408FE" w:rsidRDefault="00437179">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lastRenderedPageBreak/>
        <w:t>鉴于中国建设银行股份有限公司系一家依照中国法律合法成立并有效存续的银行，按照相关法律法规的规定具备担任基金托管人的资格和能力；</w:t>
      </w:r>
    </w:p>
    <w:p w:rsidR="004408FE" w:rsidRDefault="00437179">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w:t>
      </w:r>
      <w:proofErr w:type="gramStart"/>
      <w:r>
        <w:rPr>
          <w:rFonts w:ascii="彩虹粗仿宋" w:eastAsia="彩虹粗仿宋" w:hAnsi="宋体" w:cs="Arial" w:hint="eastAsia"/>
          <w:sz w:val="24"/>
        </w:rPr>
        <w:t>施罗德瑞卓三年</w:t>
      </w:r>
      <w:proofErr w:type="gramEnd"/>
      <w:r>
        <w:rPr>
          <w:rFonts w:ascii="彩虹粗仿宋" w:eastAsia="彩虹粗仿宋" w:hAnsi="宋体" w:cs="Arial" w:hint="eastAsia"/>
          <w:sz w:val="24"/>
        </w:rPr>
        <w:t>持有期混合型</w:t>
      </w:r>
      <w:r>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w:t>
      </w:r>
      <w:proofErr w:type="gramStart"/>
      <w:r>
        <w:rPr>
          <w:rFonts w:ascii="彩虹粗仿宋" w:eastAsia="彩虹粗仿宋" w:hAnsi="宋体" w:cs="Arial" w:hint="eastAsia"/>
          <w:sz w:val="24"/>
        </w:rPr>
        <w:t>施罗德瑞卓三年</w:t>
      </w:r>
      <w:proofErr w:type="gramEnd"/>
      <w:r>
        <w:rPr>
          <w:rFonts w:ascii="彩虹粗仿宋" w:eastAsia="彩虹粗仿宋" w:hAnsi="宋体" w:cs="Arial" w:hint="eastAsia"/>
          <w:sz w:val="24"/>
        </w:rPr>
        <w:t>持有期混合型</w:t>
      </w:r>
      <w:r>
        <w:rPr>
          <w:rFonts w:ascii="彩虹粗仿宋" w:eastAsia="彩虹粗仿宋" w:hAnsi="宋体" w:cs="Arial" w:hint="eastAsia"/>
          <w:kern w:val="0"/>
          <w:sz w:val="24"/>
        </w:rPr>
        <w:t>证券投资基金的基金托管人；</w:t>
      </w:r>
    </w:p>
    <w:p w:rsidR="004408FE" w:rsidRDefault="00437179">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w:t>
      </w:r>
      <w:proofErr w:type="gramStart"/>
      <w:r>
        <w:rPr>
          <w:rFonts w:ascii="彩虹粗仿宋" w:eastAsia="彩虹粗仿宋" w:hAnsi="宋体" w:cs="Arial" w:hint="eastAsia"/>
          <w:kern w:val="0"/>
          <w:sz w:val="24"/>
        </w:rPr>
        <w:t>明确</w:t>
      </w:r>
      <w:r>
        <w:rPr>
          <w:rFonts w:ascii="彩虹粗仿宋" w:eastAsia="彩虹粗仿宋" w:hAnsi="宋体" w:cs="Arial" w:hint="eastAsia"/>
          <w:sz w:val="24"/>
        </w:rPr>
        <w:t>交</w:t>
      </w:r>
      <w:proofErr w:type="gramEnd"/>
      <w:r>
        <w:rPr>
          <w:rFonts w:ascii="彩虹粗仿宋" w:eastAsia="彩虹粗仿宋" w:hAnsi="宋体" w:cs="Arial" w:hint="eastAsia"/>
          <w:sz w:val="24"/>
        </w:rPr>
        <w:t>银</w:t>
      </w:r>
      <w:proofErr w:type="gramStart"/>
      <w:r>
        <w:rPr>
          <w:rFonts w:ascii="彩虹粗仿宋" w:eastAsia="彩虹粗仿宋" w:hAnsi="宋体" w:cs="Arial" w:hint="eastAsia"/>
          <w:sz w:val="24"/>
        </w:rPr>
        <w:t>施罗德瑞卓三年</w:t>
      </w:r>
      <w:proofErr w:type="gramEnd"/>
      <w:r>
        <w:rPr>
          <w:rFonts w:ascii="彩虹粗仿宋" w:eastAsia="彩虹粗仿宋" w:hAnsi="宋体" w:cs="Arial" w:hint="eastAsia"/>
          <w:sz w:val="24"/>
        </w:rPr>
        <w:t>持有期混合型</w:t>
      </w:r>
      <w:r>
        <w:rPr>
          <w:rFonts w:ascii="彩虹粗仿宋" w:eastAsia="彩虹粗仿宋" w:hAnsi="宋体" w:cs="Arial" w:hint="eastAsia"/>
          <w:kern w:val="0"/>
          <w:sz w:val="24"/>
        </w:rPr>
        <w:t>证券投资基金的基金管理人和基金托管人之间的权利义务关系，特制订本托管协议；</w:t>
      </w:r>
    </w:p>
    <w:p w:rsidR="004408FE" w:rsidRDefault="00437179">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交银施罗德瑞卓三年持有期混合型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4408FE" w:rsidRDefault="00437179">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若本基金实施</w:t>
      </w:r>
      <w:proofErr w:type="gramStart"/>
      <w:r>
        <w:rPr>
          <w:rFonts w:ascii="彩虹粗仿宋" w:eastAsia="彩虹粗仿宋" w:hAnsi="宋体" w:cs="Arial" w:hint="eastAsia"/>
          <w:kern w:val="0"/>
          <w:sz w:val="24"/>
          <w:lang w:val="en-GB"/>
        </w:rPr>
        <w:t>侧袋机制</w:t>
      </w:r>
      <w:proofErr w:type="gramEnd"/>
      <w:r>
        <w:rPr>
          <w:rFonts w:ascii="彩虹粗仿宋" w:eastAsia="彩虹粗仿宋" w:hAnsi="宋体" w:cs="Arial" w:hint="eastAsia"/>
          <w:kern w:val="0"/>
          <w:sz w:val="24"/>
          <w:lang w:val="en-GB"/>
        </w:rPr>
        <w:t>的，</w:t>
      </w:r>
      <w:proofErr w:type="gramStart"/>
      <w:r>
        <w:rPr>
          <w:rFonts w:ascii="彩虹粗仿宋" w:eastAsia="彩虹粗仿宋" w:hAnsi="宋体" w:cs="Arial" w:hint="eastAsia"/>
          <w:kern w:val="0"/>
          <w:sz w:val="24"/>
          <w:lang w:val="en-GB"/>
        </w:rPr>
        <w:t>侧袋机制</w:t>
      </w:r>
      <w:proofErr w:type="gramEnd"/>
      <w:r>
        <w:rPr>
          <w:rFonts w:ascii="彩虹粗仿宋" w:eastAsia="彩虹粗仿宋" w:hAnsi="宋体" w:cs="Arial" w:hint="eastAsia"/>
          <w:kern w:val="0"/>
          <w:sz w:val="24"/>
          <w:lang w:val="en-GB"/>
        </w:rPr>
        <w:t>实施期间的相关安排</w:t>
      </w:r>
      <w:proofErr w:type="gramStart"/>
      <w:r>
        <w:rPr>
          <w:rFonts w:ascii="彩虹粗仿宋" w:eastAsia="彩虹粗仿宋" w:hAnsi="宋体" w:cs="Arial" w:hint="eastAsia"/>
          <w:kern w:val="0"/>
          <w:sz w:val="24"/>
          <w:lang w:val="en-GB"/>
        </w:rPr>
        <w:t>见基金</w:t>
      </w:r>
      <w:proofErr w:type="gramEnd"/>
      <w:r>
        <w:rPr>
          <w:rFonts w:ascii="彩虹粗仿宋" w:eastAsia="彩虹粗仿宋" w:hAnsi="宋体" w:cs="Arial" w:hint="eastAsia"/>
          <w:kern w:val="0"/>
          <w:sz w:val="24"/>
          <w:lang w:val="en-GB"/>
        </w:rPr>
        <w:t>合同和招募说明书的规定。</w:t>
      </w:r>
    </w:p>
    <w:p w:rsidR="004408FE" w:rsidRDefault="004408FE">
      <w:pPr>
        <w:rPr>
          <w:rFonts w:ascii="彩虹粗仿宋" w:eastAsia="彩虹粗仿宋"/>
          <w:sz w:val="24"/>
          <w:lang w:val="en-GB"/>
        </w:rPr>
      </w:pPr>
    </w:p>
    <w:p w:rsidR="004408FE" w:rsidRDefault="00437179">
      <w:pPr>
        <w:pStyle w:val="2"/>
        <w:jc w:val="center"/>
        <w:rPr>
          <w:rFonts w:ascii="彩虹粗仿宋" w:eastAsia="彩虹粗仿宋"/>
        </w:rPr>
      </w:pPr>
      <w:bookmarkStart w:id="0" w:name="_Toc124325885"/>
      <w:r>
        <w:rPr>
          <w:rFonts w:ascii="彩虹粗仿宋" w:eastAsia="彩虹粗仿宋" w:hint="eastAsia"/>
        </w:rPr>
        <w:t>一、基金托管协议当事人</w:t>
      </w:r>
      <w:bookmarkEnd w:id="0"/>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w:t>
      </w:r>
      <w:proofErr w:type="gramStart"/>
      <w:r>
        <w:rPr>
          <w:rFonts w:ascii="彩虹粗仿宋" w:eastAsia="彩虹粗仿宋" w:hAnsi="宋体" w:cs="Arial" w:hint="eastAsia"/>
          <w:sz w:val="24"/>
        </w:rPr>
        <w:t>新区世纪</w:t>
      </w:r>
      <w:proofErr w:type="gramEnd"/>
      <w:r>
        <w:rPr>
          <w:rFonts w:ascii="彩虹粗仿宋" w:eastAsia="彩虹粗仿宋" w:hAnsi="宋体" w:cs="Arial" w:hint="eastAsia"/>
          <w:sz w:val="24"/>
        </w:rPr>
        <w:t>大道</w:t>
      </w:r>
      <w:r>
        <w:rPr>
          <w:rFonts w:ascii="彩虹粗仿宋" w:eastAsia="彩虹粗仿宋" w:hAnsi="宋体" w:cs="Arial"/>
          <w:sz w:val="24"/>
        </w:rPr>
        <w:t>8号国</w:t>
      </w:r>
      <w:proofErr w:type="gramStart"/>
      <w:r>
        <w:rPr>
          <w:rFonts w:ascii="彩虹粗仿宋" w:eastAsia="彩虹粗仿宋" w:hAnsi="宋体" w:cs="Arial" w:hint="eastAsia"/>
          <w:sz w:val="24"/>
        </w:rPr>
        <w:t>金中心</w:t>
      </w:r>
      <w:proofErr w:type="gramEnd"/>
      <w:r>
        <w:rPr>
          <w:rFonts w:ascii="彩虹粗仿宋" w:eastAsia="彩虹粗仿宋" w:hAnsi="宋体" w:cs="Arial" w:hint="eastAsia"/>
          <w:sz w:val="24"/>
        </w:rPr>
        <w:t>二期</w:t>
      </w:r>
      <w:r>
        <w:rPr>
          <w:rFonts w:ascii="彩虹粗仿宋" w:eastAsia="彩虹粗仿宋" w:hAnsi="宋体" w:cs="Arial"/>
          <w:sz w:val="24"/>
        </w:rPr>
        <w:t>21-22楼</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w:t>
      </w:r>
      <w:proofErr w:type="gramStart"/>
      <w:r>
        <w:rPr>
          <w:rFonts w:ascii="彩虹粗仿宋" w:eastAsia="彩虹粗仿宋" w:hAnsi="宋体" w:cs="Arial" w:hint="eastAsia"/>
          <w:sz w:val="24"/>
        </w:rPr>
        <w:t>监基金字</w:t>
      </w:r>
      <w:proofErr w:type="gramEnd"/>
      <w:r>
        <w:rPr>
          <w:rFonts w:hint="eastAsia"/>
        </w:rPr>
        <w:t>[</w:t>
      </w:r>
      <w:r>
        <w:t>2005</w:t>
      </w:r>
      <w:r>
        <w:rPr>
          <w:rFonts w:hint="eastAsia"/>
        </w:rPr>
        <w:t>]</w:t>
      </w:r>
      <w:r>
        <w:t>128</w:t>
      </w:r>
      <w:r>
        <w:rPr>
          <w:rFonts w:ascii="彩虹粗仿宋" w:eastAsia="彩虹粗仿宋" w:hAnsi="宋体" w:cs="Arial" w:hint="eastAsia"/>
          <w:sz w:val="24"/>
        </w:rPr>
        <w:t>号</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经营范围：基金募集、基金销售、资产管理和中国证监会许可的其它业务。</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1" w:name="OLE_LINK3"/>
      <w:r>
        <w:rPr>
          <w:rFonts w:ascii="彩虹粗仿宋" w:eastAsia="彩虹粗仿宋" w:hAnsi="宋体" w:cs="Arial" w:hint="eastAsia"/>
          <w:sz w:val="24"/>
        </w:rPr>
        <w:t>]</w:t>
      </w:r>
      <w:bookmarkEnd w:id="1"/>
      <w:r>
        <w:rPr>
          <w:rFonts w:ascii="彩虹粗仿宋" w:eastAsia="彩虹粗仿宋" w:hAnsi="宋体" w:cs="Arial" w:hint="eastAsia"/>
          <w:sz w:val="24"/>
        </w:rPr>
        <w:t>12号</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4408FE" w:rsidRDefault="00437179">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408FE" w:rsidRDefault="004408FE">
      <w:pPr>
        <w:rPr>
          <w:rFonts w:ascii="彩虹粗仿宋" w:eastAsia="彩虹粗仿宋"/>
          <w:sz w:val="24"/>
        </w:rPr>
      </w:pPr>
    </w:p>
    <w:p w:rsidR="004408FE" w:rsidRDefault="00437179">
      <w:pPr>
        <w:pStyle w:val="2"/>
        <w:jc w:val="center"/>
        <w:rPr>
          <w:rFonts w:ascii="彩虹粗仿宋" w:eastAsia="彩虹粗仿宋"/>
          <w:sz w:val="30"/>
        </w:rPr>
      </w:pPr>
      <w:bookmarkStart w:id="2" w:name="_Toc124325886"/>
      <w:r>
        <w:rPr>
          <w:rFonts w:ascii="彩虹粗仿宋" w:eastAsia="彩虹粗仿宋" w:hint="eastAsia"/>
          <w:sz w:val="30"/>
        </w:rPr>
        <w:t>二、基金托管协议的依据、目的和原则</w:t>
      </w:r>
      <w:bookmarkEnd w:id="2"/>
    </w:p>
    <w:p w:rsidR="004408FE" w:rsidRDefault="0043717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4408FE" w:rsidRDefault="0043717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4408FE" w:rsidRDefault="004408FE">
      <w:pPr>
        <w:rPr>
          <w:rFonts w:ascii="彩虹粗仿宋" w:eastAsia="彩虹粗仿宋"/>
          <w:sz w:val="24"/>
        </w:rPr>
      </w:pPr>
    </w:p>
    <w:p w:rsidR="004408FE" w:rsidRDefault="00437179">
      <w:pPr>
        <w:pStyle w:val="2"/>
        <w:jc w:val="center"/>
        <w:rPr>
          <w:rFonts w:ascii="彩虹粗仿宋" w:eastAsia="彩虹粗仿宋"/>
          <w:sz w:val="30"/>
          <w:szCs w:val="24"/>
        </w:rPr>
      </w:pPr>
      <w:bookmarkStart w:id="3" w:name="_Toc124325887"/>
      <w:r>
        <w:rPr>
          <w:rFonts w:ascii="彩虹粗仿宋" w:eastAsia="彩虹粗仿宋" w:hint="eastAsia"/>
          <w:sz w:val="30"/>
        </w:rPr>
        <w:t>三、基金托管人对基金管理人的业务监督和核查</w:t>
      </w:r>
      <w:bookmarkEnd w:id="3"/>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408FE" w:rsidRDefault="00437179">
      <w:pPr>
        <w:adjustRightInd w:val="0"/>
        <w:snapToGrid w:val="0"/>
        <w:ind w:firstLineChars="200" w:firstLine="480"/>
        <w:rPr>
          <w:rFonts w:ascii="彩虹粗仿宋" w:eastAsia="彩虹粗仿宋" w:hAnsi="宋体" w:cs="Arial"/>
          <w:sz w:val="24"/>
        </w:rPr>
      </w:pPr>
      <w:bookmarkStart w:id="4" w:name="_Hlk499715022"/>
      <w:r>
        <w:rPr>
          <w:rFonts w:ascii="彩虹粗仿宋" w:eastAsia="彩虹粗仿宋" w:hAnsi="宋体" w:cs="Arial" w:hint="eastAsia"/>
          <w:sz w:val="24"/>
        </w:rPr>
        <w:t>本基金的投资范围为具有良好流动性的金融工具，包括国内依法发行上市的股票（含中小板、创业板及其他经中国证监会核准</w:t>
      </w:r>
      <w:r>
        <w:rPr>
          <w:rFonts w:ascii="彩虹粗仿宋" w:eastAsia="彩虹粗仿宋" w:hAnsi="宋体" w:cs="Arial" w:hint="eastAsia"/>
          <w:bCs/>
          <w:sz w:val="24"/>
        </w:rPr>
        <w:t>或注册</w:t>
      </w:r>
      <w:r>
        <w:rPr>
          <w:rFonts w:ascii="彩虹粗仿宋" w:eastAsia="彩虹粗仿宋" w:hAnsi="宋体" w:cs="Arial" w:hint="eastAsia"/>
          <w:sz w:val="24"/>
        </w:rPr>
        <w:t>上市的股票</w:t>
      </w:r>
      <w:r>
        <w:rPr>
          <w:rFonts w:ascii="彩虹粗仿宋" w:eastAsia="彩虹粗仿宋" w:hAnsi="宋体" w:cs="Arial" w:hint="eastAsia"/>
          <w:bCs/>
          <w:sz w:val="24"/>
        </w:rPr>
        <w:t>、存托凭证</w:t>
      </w:r>
      <w:r>
        <w:rPr>
          <w:rFonts w:ascii="彩虹粗仿宋" w:eastAsia="彩虹粗仿宋" w:hAnsi="宋体" w:cs="Arial" w:hint="eastAsia"/>
          <w:sz w:val="24"/>
        </w:rPr>
        <w:t>）、港股通标的股票、债券（含国债、央行票据、金融债券、政府支持债券、政府支持机构债券、地方政府债券、企业债券、公司债券、可转换债券（</w:t>
      </w:r>
      <w:proofErr w:type="gramStart"/>
      <w:r>
        <w:rPr>
          <w:rFonts w:ascii="彩虹粗仿宋" w:eastAsia="彩虹粗仿宋" w:hAnsi="宋体" w:cs="Arial" w:hint="eastAsia"/>
          <w:sz w:val="24"/>
        </w:rPr>
        <w:t>含可分离</w:t>
      </w:r>
      <w:proofErr w:type="gramEnd"/>
      <w:r>
        <w:rPr>
          <w:rFonts w:ascii="彩虹粗仿宋" w:eastAsia="彩虹粗仿宋" w:hAnsi="宋体" w:cs="Arial" w:hint="eastAsia"/>
          <w:sz w:val="24"/>
        </w:rPr>
        <w:t>交易可转换债券）、可交换公司债券、次级债券、中期票据、短期融资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、超短期融资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等）、资产支持证券、货币市场工具、债券回购、同业存单、银行存款（</w:t>
      </w:r>
      <w:proofErr w:type="gramStart"/>
      <w:r>
        <w:rPr>
          <w:rFonts w:ascii="彩虹粗仿宋" w:eastAsia="彩虹粗仿宋" w:hAnsi="宋体" w:cs="Arial" w:hint="eastAsia"/>
          <w:sz w:val="24"/>
        </w:rPr>
        <w:t>含协议</w:t>
      </w:r>
      <w:proofErr w:type="gramEnd"/>
      <w:r>
        <w:rPr>
          <w:rFonts w:ascii="彩虹粗仿宋" w:eastAsia="彩虹粗仿宋" w:hAnsi="宋体" w:cs="Arial" w:hint="eastAsia"/>
          <w:sz w:val="24"/>
        </w:rPr>
        <w:t>存款、定期存款及其他银行存款）、股指期货以及法律法规或中国证监会允许基金投资的其他金融工具(但须符合中国证监会相关规定)。</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基金的投资组合比例为：股票投资</w:t>
      </w:r>
      <w:r>
        <w:rPr>
          <w:rFonts w:ascii="彩虹粗仿宋" w:eastAsia="彩虹粗仿宋" w:hAnsi="宋体" w:cs="Arial" w:hint="eastAsia"/>
          <w:bCs/>
          <w:sz w:val="24"/>
        </w:rPr>
        <w:t>（</w:t>
      </w:r>
      <w:proofErr w:type="gramStart"/>
      <w:r>
        <w:rPr>
          <w:rFonts w:ascii="彩虹粗仿宋" w:eastAsia="彩虹粗仿宋" w:hAnsi="宋体" w:cs="Arial"/>
          <w:bCs/>
          <w:sz w:val="24"/>
        </w:rPr>
        <w:t>含存托</w:t>
      </w:r>
      <w:proofErr w:type="gramEnd"/>
      <w:r>
        <w:rPr>
          <w:rFonts w:ascii="彩虹粗仿宋" w:eastAsia="彩虹粗仿宋" w:hAnsi="宋体" w:cs="Arial"/>
          <w:bCs/>
          <w:sz w:val="24"/>
        </w:rPr>
        <w:t>凭证</w:t>
      </w:r>
      <w:r>
        <w:rPr>
          <w:rFonts w:ascii="彩虹粗仿宋" w:eastAsia="彩虹粗仿宋" w:hAnsi="宋体" w:cs="Arial" w:hint="eastAsia"/>
          <w:bCs/>
          <w:sz w:val="24"/>
        </w:rPr>
        <w:t>）</w:t>
      </w:r>
      <w:r>
        <w:rPr>
          <w:rFonts w:ascii="彩虹粗仿宋" w:eastAsia="彩虹粗仿宋" w:hAnsi="宋体" w:cs="Arial" w:hint="eastAsia"/>
          <w:sz w:val="24"/>
        </w:rPr>
        <w:t>占基金资产的比例为60%-95%，其中投资于港股通标的股票的比例占股票资产的</w:t>
      </w:r>
      <w:r>
        <w:rPr>
          <w:rFonts w:ascii="彩虹粗仿宋" w:eastAsia="彩虹粗仿宋" w:hAnsi="宋体" w:cs="Arial"/>
          <w:sz w:val="24"/>
        </w:rPr>
        <w:t>0%-50%</w:t>
      </w:r>
      <w:r>
        <w:rPr>
          <w:rFonts w:ascii="彩虹粗仿宋" w:eastAsia="彩虹粗仿宋" w:hAnsi="宋体" w:cs="Arial"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rsidR="004408FE" w:rsidRDefault="0043717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4408FE" w:rsidRDefault="00437179">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4408FE" w:rsidRDefault="00437179">
      <w:pPr>
        <w:adjustRightInd w:val="0"/>
        <w:snapToGrid w:val="0"/>
        <w:ind w:firstLineChars="200" w:firstLine="480"/>
        <w:rPr>
          <w:rFonts w:ascii="彩虹粗仿宋" w:eastAsia="彩虹粗仿宋"/>
          <w:i/>
          <w:sz w:val="24"/>
        </w:rPr>
      </w:pPr>
      <w:r>
        <w:rPr>
          <w:rFonts w:ascii="彩虹粗仿宋" w:eastAsia="彩虹粗仿宋"/>
          <w:sz w:val="24"/>
        </w:rPr>
        <w:t>1.</w:t>
      </w:r>
      <w:r>
        <w:rPr>
          <w:rFonts w:ascii="彩虹粗仿宋" w:eastAsia="彩虹粗仿宋" w:hAnsi="宋体" w:cs="Arial" w:hint="eastAsia"/>
          <w:sz w:val="24"/>
        </w:rPr>
        <w:t>股票投资</w:t>
      </w:r>
      <w:r>
        <w:rPr>
          <w:rFonts w:hint="eastAsia"/>
          <w:bCs/>
          <w:sz w:val="24"/>
        </w:rPr>
        <w:t>（</w:t>
      </w:r>
      <w:proofErr w:type="gramStart"/>
      <w:r>
        <w:rPr>
          <w:rFonts w:hint="eastAsia"/>
          <w:bCs/>
          <w:sz w:val="24"/>
        </w:rPr>
        <w:t>含</w:t>
      </w:r>
      <w:r>
        <w:rPr>
          <w:bCs/>
          <w:sz w:val="24"/>
        </w:rPr>
        <w:t>存托</w:t>
      </w:r>
      <w:proofErr w:type="gramEnd"/>
      <w:r>
        <w:rPr>
          <w:bCs/>
          <w:sz w:val="24"/>
        </w:rPr>
        <w:t>凭证</w:t>
      </w:r>
      <w:r>
        <w:rPr>
          <w:rFonts w:hint="eastAsia"/>
          <w:bCs/>
          <w:sz w:val="24"/>
        </w:rPr>
        <w:t>）</w:t>
      </w:r>
      <w:r>
        <w:rPr>
          <w:rFonts w:ascii="彩虹粗仿宋" w:eastAsia="彩虹粗仿宋" w:hAnsi="宋体" w:cs="Arial" w:hint="eastAsia"/>
          <w:sz w:val="24"/>
        </w:rPr>
        <w:t>占基金资产的比例为60%-95%，其中投资于港股通标的股票的比例占股票资产的</w:t>
      </w:r>
      <w:r>
        <w:rPr>
          <w:rFonts w:ascii="彩虹粗仿宋" w:eastAsia="彩虹粗仿宋" w:hAnsi="宋体" w:cs="Arial"/>
          <w:sz w:val="24"/>
        </w:rPr>
        <w:t>0%-50%</w:t>
      </w:r>
      <w:r>
        <w:rPr>
          <w:rFonts w:ascii="彩虹粗仿宋" w:eastAsia="彩虹粗仿宋" w:hAnsi="宋体" w:cs="Arial" w:hint="eastAsia"/>
          <w:sz w:val="24"/>
        </w:rPr>
        <w:t>；</w:t>
      </w:r>
    </w:p>
    <w:p w:rsidR="004408FE" w:rsidRDefault="00437179">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hAnsi="宋体" w:cs="Arial" w:hint="eastAsia"/>
          <w:sz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r>
        <w:rPr>
          <w:rFonts w:ascii="彩虹粗仿宋" w:eastAsia="彩虹粗仿宋" w:hint="eastAsia"/>
          <w:sz w:val="24"/>
        </w:rPr>
        <w:t>；</w:t>
      </w:r>
    </w:p>
    <w:p w:rsidR="004408FE" w:rsidRDefault="00437179">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w:t>
      </w:r>
      <w:r>
        <w:rPr>
          <w:rFonts w:ascii="彩虹粗仿宋" w:eastAsia="彩虹粗仿宋" w:hAnsi="宋体" w:cs="Arial" w:hint="eastAsia"/>
          <w:sz w:val="24"/>
        </w:rPr>
        <w:t>（同一家公司在内地和香港同时上市的</w:t>
      </w:r>
      <w:r>
        <w:rPr>
          <w:rFonts w:ascii="彩虹粗仿宋" w:eastAsia="彩虹粗仿宋" w:hAnsi="宋体" w:cs="Arial"/>
          <w:sz w:val="24"/>
        </w:rPr>
        <w:t xml:space="preserve">A+H </w:t>
      </w:r>
      <w:r>
        <w:rPr>
          <w:rFonts w:ascii="彩虹粗仿宋" w:eastAsia="彩虹粗仿宋" w:hAnsi="宋体" w:cs="Arial" w:hint="eastAsia"/>
          <w:sz w:val="24"/>
        </w:rPr>
        <w:t>股合计计算）</w:t>
      </w:r>
      <w:r>
        <w:rPr>
          <w:rFonts w:ascii="彩虹粗仿宋" w:eastAsia="彩虹粗仿宋" w:hint="eastAsia"/>
          <w:sz w:val="24"/>
        </w:rPr>
        <w:t>，其市值不超过基金资产净值的10％；</w:t>
      </w:r>
    </w:p>
    <w:p w:rsidR="004408FE" w:rsidRDefault="00437179">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rsidR="004408FE" w:rsidRDefault="00437179">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rsidR="004408FE" w:rsidRDefault="00437179">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rsidR="004408FE" w:rsidRDefault="00437179">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rsidR="004408FE" w:rsidRDefault="00437179">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rsidR="004408FE" w:rsidRDefault="00437179">
      <w:pPr>
        <w:adjustRightInd w:val="0"/>
        <w:snapToGrid w:val="0"/>
        <w:ind w:firstLineChars="200" w:firstLine="480"/>
        <w:rPr>
          <w:rFonts w:ascii="彩虹粗仿宋" w:eastAsia="彩虹粗仿宋"/>
          <w:sz w:val="24"/>
        </w:rPr>
      </w:pPr>
      <w:r>
        <w:rPr>
          <w:rFonts w:ascii="彩虹粗仿宋" w:eastAsia="彩虹粗仿宋"/>
          <w:sz w:val="24"/>
        </w:rPr>
        <w:t>9</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4408FE" w:rsidRDefault="00437179">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4408FE" w:rsidRDefault="00437179">
      <w:pPr>
        <w:adjustRightInd w:val="0"/>
        <w:snapToGrid w:val="0"/>
        <w:ind w:firstLineChars="200" w:firstLine="480"/>
        <w:rPr>
          <w:rFonts w:ascii="彩虹粗仿宋" w:eastAsia="彩虹粗仿宋"/>
          <w:sz w:val="24"/>
        </w:rPr>
      </w:pPr>
      <w:r>
        <w:rPr>
          <w:rFonts w:ascii="彩虹粗仿宋" w:eastAsia="彩虹粗仿宋"/>
          <w:sz w:val="24"/>
        </w:rPr>
        <w:t>11</w:t>
      </w:r>
      <w:r>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14.</w:t>
      </w:r>
      <w:r>
        <w:rPr>
          <w:rFonts w:ascii="彩虹粗仿宋" w:eastAsia="彩虹粗仿宋" w:hAnsi="宋体" w:cs="Arial" w:hint="eastAsia"/>
          <w:sz w:val="24"/>
        </w:rPr>
        <w:t>本基金参与股指期货交易，则：</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（1）本基金在任何交易日日终，持有的买入股指期货合约价值，不得超过基金资产净值的10%；</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（3）本基金在任何交易日日终，持有的卖出股指期货合约价值不得超过基金持有的股票总市值的20%；</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（5）本基金在任何交易日内交易（不包括平仓）的股指期货合约的成交金额不得超过上一交易日基金资产净值的20%；</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p>
    <w:p w:rsidR="004408FE" w:rsidRDefault="00437179" w:rsidP="00A83CE9">
      <w:pPr>
        <w:pStyle w:val="a0"/>
        <w:adjustRightInd w:val="0"/>
        <w:snapToGrid w:val="0"/>
        <w:ind w:firstLine="480"/>
        <w:rPr>
          <w:rFonts w:ascii="彩虹粗仿宋" w:eastAsia="彩虹粗仿宋"/>
          <w:sz w:val="24"/>
        </w:rPr>
      </w:pPr>
      <w:r>
        <w:rPr>
          <w:rFonts w:ascii="彩虹粗仿宋" w:eastAsia="彩虹粗仿宋" w:hAnsi="宋体" w:cs="Arial" w:hint="eastAsia"/>
          <w:sz w:val="24"/>
        </w:rPr>
        <w:t>15</w:t>
      </w:r>
      <w:r>
        <w:rPr>
          <w:rFonts w:ascii="彩虹粗仿宋" w:eastAsia="彩虹粗仿宋" w:hAnsi="宋体" w:cs="Arial"/>
          <w:sz w:val="24"/>
        </w:rPr>
        <w:t>.</w:t>
      </w:r>
      <w:r>
        <w:rPr>
          <w:rFonts w:ascii="彩虹粗仿宋" w:eastAsia="彩虹粗仿宋" w:hAnsi="宋体" w:cs="Arial" w:hint="eastAsia"/>
          <w:sz w:val="24"/>
        </w:rPr>
        <w:t>本基金资产总值不超过基金资产净值的140%；</w:t>
      </w:r>
    </w:p>
    <w:p w:rsidR="004408FE" w:rsidRDefault="00437179">
      <w:pPr>
        <w:pStyle w:val="a0"/>
        <w:adjustRightInd w:val="0"/>
        <w:snapToGrid w:val="0"/>
        <w:ind w:firstLine="480"/>
        <w:rPr>
          <w:rFonts w:ascii="彩虹粗仿宋" w:eastAsia="彩虹粗仿宋" w:hAnsi="宋体" w:cs="Arial"/>
          <w:bCs/>
          <w:sz w:val="24"/>
        </w:rPr>
      </w:pPr>
      <w:r>
        <w:rPr>
          <w:rFonts w:ascii="彩虹粗仿宋" w:eastAsia="彩虹粗仿宋" w:hAnsi="宋体" w:cs="Arial"/>
          <w:sz w:val="24"/>
        </w:rPr>
        <w:t>1</w:t>
      </w:r>
      <w:r>
        <w:rPr>
          <w:rFonts w:ascii="彩虹粗仿宋" w:eastAsia="彩虹粗仿宋" w:hAnsi="宋体" w:cs="Arial" w:hint="eastAsia"/>
          <w:sz w:val="24"/>
        </w:rPr>
        <w:t>6</w:t>
      </w:r>
      <w:r>
        <w:rPr>
          <w:rFonts w:ascii="彩虹粗仿宋" w:eastAsia="彩虹粗仿宋" w:hAnsi="宋体" w:cs="Arial"/>
          <w:sz w:val="24"/>
        </w:rPr>
        <w:t>.</w:t>
      </w:r>
      <w:r>
        <w:rPr>
          <w:rFonts w:ascii="彩虹粗仿宋" w:eastAsia="彩虹粗仿宋" w:hAnsi="宋体" w:cs="Arial" w:hint="eastAsia"/>
          <w:bCs/>
          <w:sz w:val="24"/>
        </w:rPr>
        <w:t xml:space="preserve"> 本基金投资存托凭证的比例限制依照境内上市交易的股票执行；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bCs/>
          <w:sz w:val="24"/>
        </w:rPr>
        <w:t>17</w:t>
      </w:r>
      <w:r>
        <w:rPr>
          <w:rFonts w:ascii="彩虹粗仿宋" w:eastAsia="彩虹粗仿宋" w:hAnsi="宋体" w:cs="Arial"/>
          <w:bCs/>
          <w:sz w:val="24"/>
        </w:rPr>
        <w:t>.</w:t>
      </w:r>
      <w:r>
        <w:rPr>
          <w:rFonts w:ascii="彩虹粗仿宋" w:eastAsia="彩虹粗仿宋" w:hAnsi="宋体" w:cs="Arial" w:hint="eastAsia"/>
          <w:sz w:val="24"/>
        </w:rPr>
        <w:t>法律法规及中国证监会规定的和《基金合同》约定的其他投资限制。</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w:t>
      </w:r>
      <w:r>
        <w:rPr>
          <w:rFonts w:ascii="彩虹粗仿宋" w:eastAsia="彩虹粗仿宋" w:hAnsi="宋体" w:cs="Arial"/>
          <w:sz w:val="24"/>
        </w:rPr>
        <w:t>上述第</w:t>
      </w:r>
      <w:r>
        <w:rPr>
          <w:rFonts w:ascii="彩虹粗仿宋" w:eastAsia="彩虹粗仿宋" w:hAnsi="宋体" w:cs="Arial" w:hint="eastAsia"/>
          <w:sz w:val="24"/>
        </w:rPr>
        <w:t>2、</w:t>
      </w:r>
      <w:r>
        <w:rPr>
          <w:rFonts w:ascii="彩虹粗仿宋" w:eastAsia="彩虹粗仿宋" w:hAnsi="宋体" w:cs="Arial"/>
          <w:sz w:val="24"/>
        </w:rPr>
        <w:t>9</w:t>
      </w: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项情形</w:t>
      </w:r>
      <w:r>
        <w:rPr>
          <w:rFonts w:ascii="彩虹粗仿宋" w:eastAsia="彩虹粗仿宋" w:hAnsi="宋体" w:cs="Arial"/>
          <w:sz w:val="24"/>
        </w:rPr>
        <w:t>之外，</w:t>
      </w:r>
      <w:r>
        <w:rPr>
          <w:rFonts w:ascii="彩虹粗仿宋" w:eastAsia="彩虹粗仿宋" w:hAnsi="宋体" w:cs="Arial" w:hint="eastAsia"/>
          <w:sz w:val="24"/>
        </w:rPr>
        <w:t>因证券、</w:t>
      </w:r>
      <w:r>
        <w:rPr>
          <w:rFonts w:ascii="彩虹粗仿宋" w:eastAsia="彩虹粗仿宋" w:hAnsi="宋体" w:cs="Arial"/>
          <w:sz w:val="24"/>
        </w:rPr>
        <w:t>期货</w:t>
      </w:r>
      <w:r>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Pr>
          <w:rFonts w:ascii="彩虹粗仿宋" w:eastAsia="彩虹粗仿宋" w:hAnsi="宋体" w:cs="Arial"/>
          <w:sz w:val="24"/>
        </w:rPr>
        <w:t>法规另有规定的，从其规定。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w:t>
      </w:r>
      <w:r>
        <w:rPr>
          <w:rFonts w:ascii="彩虹粗仿宋" w:eastAsia="彩虹粗仿宋" w:hAnsi="宋体" w:cs="Arial"/>
          <w:sz w:val="24"/>
        </w:rPr>
        <w:t>6</w:t>
      </w:r>
      <w:r>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4"/>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w:t>
      </w:r>
      <w:bookmarkStart w:id="5" w:name="OLE_LINK1"/>
      <w:r>
        <w:rPr>
          <w:rFonts w:ascii="彩虹粗仿宋" w:eastAsia="彩虹粗仿宋" w:hAnsi="宋体" w:cs="Arial" w:hint="eastAsia"/>
          <w:sz w:val="24"/>
        </w:rPr>
        <w:t>根据有关法律法规的规定及《基金合同》的约定，</w:t>
      </w:r>
      <w:bookmarkEnd w:id="5"/>
      <w:r>
        <w:rPr>
          <w:rFonts w:ascii="彩虹粗仿宋" w:eastAsia="彩虹粗仿宋" w:hAnsi="宋体" w:cs="Arial" w:hint="eastAsia"/>
          <w:sz w:val="24"/>
        </w:rPr>
        <w:t>对本托管协议第十五条第（九）</w:t>
      </w:r>
      <w:proofErr w:type="gramStart"/>
      <w:r>
        <w:rPr>
          <w:rFonts w:ascii="彩虹粗仿宋" w:eastAsia="彩虹粗仿宋" w:hAnsi="宋体" w:cs="Arial" w:hint="eastAsia"/>
          <w:sz w:val="24"/>
        </w:rPr>
        <w:t>款基金</w:t>
      </w:r>
      <w:proofErr w:type="gramEnd"/>
      <w:r>
        <w:rPr>
          <w:rFonts w:ascii="彩虹粗仿宋" w:eastAsia="彩虹粗仿宋" w:hAnsi="宋体" w:cs="Arial" w:hint="eastAsia"/>
          <w:sz w:val="24"/>
        </w:rPr>
        <w:t>投资禁止行为通过事后监督方式进行监督。</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若管理人未提供交易对手名单，则视同可与所有交易对手进行交易。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的流通受限证券包括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等流通受限证券。本基金不投资有</w:t>
      </w:r>
      <w:proofErr w:type="gramStart"/>
      <w:r>
        <w:rPr>
          <w:rFonts w:ascii="彩虹粗仿宋" w:eastAsia="彩虹粗仿宋" w:hAnsi="宋体" w:cs="Arial" w:hint="eastAsia"/>
          <w:sz w:val="24"/>
        </w:rPr>
        <w:t>锁定期但锁定</w:t>
      </w:r>
      <w:proofErr w:type="gramEnd"/>
      <w:r>
        <w:rPr>
          <w:rFonts w:ascii="彩虹粗仿宋" w:eastAsia="彩虹粗仿宋" w:hAnsi="宋体" w:cs="Arial" w:hint="eastAsia"/>
          <w:sz w:val="24"/>
        </w:rPr>
        <w:t>期不明确的证券。</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产生的流通受限证券登记存管问题，造成基金托管人无法安全保管本基金资产的责任与损失，及因流通受限证券存管直接影响本基金安全的责任及损失，由基金管理人承担。</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导致本基金出现损失致使基金托管人承担连带赔偿责任的，基金管理人应赔偿基金托管人由此遭受的损失。</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（4）信息披露情况。</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408FE" w:rsidRDefault="004408FE">
      <w:pPr>
        <w:rPr>
          <w:rFonts w:ascii="彩虹粗仿宋" w:eastAsia="彩虹粗仿宋"/>
          <w:sz w:val="24"/>
        </w:rPr>
      </w:pPr>
    </w:p>
    <w:p w:rsidR="004408FE" w:rsidRDefault="00437179">
      <w:pPr>
        <w:pStyle w:val="2"/>
        <w:jc w:val="center"/>
        <w:rPr>
          <w:rFonts w:ascii="彩虹粗仿宋" w:eastAsia="彩虹粗仿宋"/>
          <w:sz w:val="30"/>
        </w:rPr>
      </w:pPr>
      <w:bookmarkStart w:id="6" w:name="_Toc86737929"/>
      <w:bookmarkStart w:id="7" w:name="_Toc110830492"/>
      <w:bookmarkStart w:id="8" w:name="_Toc86726439"/>
      <w:bookmarkStart w:id="9" w:name="_Toc108512358"/>
      <w:bookmarkStart w:id="10" w:name="_Toc86225291"/>
      <w:bookmarkStart w:id="11" w:name="_Toc86727355"/>
      <w:bookmarkStart w:id="12" w:name="_Toc118774803"/>
      <w:bookmarkStart w:id="13" w:name="_Toc110761796"/>
      <w:bookmarkStart w:id="14" w:name="_Toc86223242"/>
      <w:bookmarkStart w:id="15" w:name="_Toc119402710"/>
      <w:bookmarkStart w:id="16" w:name="_Toc120435783"/>
      <w:bookmarkStart w:id="17" w:name="_Toc86649722"/>
      <w:bookmarkStart w:id="18" w:name="_Toc118972648"/>
      <w:bookmarkStart w:id="19" w:name="_Toc124325888"/>
      <w:bookmarkStart w:id="20" w:name="_Toc118212950"/>
      <w:bookmarkStart w:id="21" w:name="_Toc110765660"/>
      <w:bookmarkStart w:id="22" w:name="_Toc89163368"/>
      <w:r>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408FE" w:rsidRDefault="004408FE">
      <w:pPr>
        <w:rPr>
          <w:rFonts w:ascii="彩虹粗仿宋" w:eastAsia="彩虹粗仿宋"/>
          <w:sz w:val="24"/>
        </w:rPr>
      </w:pPr>
    </w:p>
    <w:p w:rsidR="004408FE" w:rsidRDefault="00437179">
      <w:pPr>
        <w:pStyle w:val="2"/>
        <w:jc w:val="center"/>
        <w:rPr>
          <w:rFonts w:ascii="彩虹粗仿宋" w:eastAsia="彩虹粗仿宋"/>
          <w:sz w:val="30"/>
        </w:rPr>
      </w:pPr>
      <w:bookmarkStart w:id="23" w:name="_Toc84234435"/>
      <w:bookmarkStart w:id="24" w:name="_Toc118212951"/>
      <w:bookmarkStart w:id="25" w:name="_Toc118774804"/>
      <w:bookmarkStart w:id="26" w:name="_Toc118972649"/>
      <w:bookmarkStart w:id="27" w:name="_Toc119402711"/>
      <w:bookmarkStart w:id="28" w:name="_Toc84133786"/>
      <w:bookmarkStart w:id="29" w:name="_Toc84234388"/>
      <w:bookmarkStart w:id="30" w:name="_Toc86225292"/>
      <w:bookmarkStart w:id="31" w:name="_Toc86727356"/>
      <w:bookmarkStart w:id="32" w:name="_Toc110761797"/>
      <w:bookmarkStart w:id="33" w:name="_Toc110765661"/>
      <w:bookmarkStart w:id="34" w:name="_Toc86223243"/>
      <w:bookmarkStart w:id="35" w:name="_Toc108512359"/>
      <w:bookmarkStart w:id="36" w:name="_Toc89163369"/>
      <w:bookmarkStart w:id="37" w:name="_Toc120435784"/>
      <w:bookmarkStart w:id="38" w:name="_Toc124325889"/>
      <w:bookmarkStart w:id="39" w:name="_Toc86204789"/>
      <w:bookmarkStart w:id="40" w:name="_Toc86649723"/>
      <w:bookmarkStart w:id="41" w:name="_Toc86737930"/>
      <w:bookmarkStart w:id="42" w:name="_Toc86726440"/>
      <w:bookmarkStart w:id="43" w:name="_Toc110830493"/>
      <w:r>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彩虹粗仿宋" w:eastAsia="彩虹粗仿宋" w:hAnsi="宋体" w:cs="Arial" w:hint="eastAsia"/>
          <w:sz w:val="24"/>
        </w:rPr>
        <w:t>收交易</w:t>
      </w:r>
      <w:proofErr w:type="gramEnd"/>
      <w:r>
        <w:rPr>
          <w:rFonts w:ascii="彩虹粗仿宋" w:eastAsia="彩虹粗仿宋" w:hAnsi="宋体" w:cs="Arial" w:hint="eastAsia"/>
          <w:sz w:val="24"/>
        </w:rPr>
        <w:t>费、结算费和账户维护费等费用）。</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1.基金募集期间募集认购</w:t>
      </w:r>
      <w:r>
        <w:rPr>
          <w:rFonts w:ascii="彩虹粗仿宋" w:eastAsia="彩虹粗仿宋" w:hAnsi="宋体" w:cs="Arial"/>
          <w:sz w:val="24"/>
        </w:rPr>
        <w:t>款项</w:t>
      </w:r>
      <w:r>
        <w:rPr>
          <w:rFonts w:ascii="彩虹粗仿宋" w:eastAsia="彩虹粗仿宋" w:hAnsi="宋体" w:cs="Arial" w:hint="eastAsia"/>
          <w:sz w:val="24"/>
        </w:rPr>
        <w:t>应存于基金管理人在具有托管资格的商业银行开立的“基金募集专户”。该账户由基金管理人开立并管理。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2.基金募集期满或基金停止募集时，募集的基金份额总额、基金募集金额、基金份额持有人人数符合《基金法》、《运作办法》等有关规定后，基金管理人应将属于基金财产的全部资金划入基金托管人为</w:t>
      </w:r>
      <w:r>
        <w:rPr>
          <w:rFonts w:ascii="彩虹粗仿宋" w:eastAsia="彩虹粗仿宋" w:hAnsi="宋体" w:cs="Arial"/>
          <w:sz w:val="24"/>
        </w:rPr>
        <w:t>本基金</w:t>
      </w:r>
      <w:r>
        <w:rPr>
          <w:rFonts w:ascii="彩虹粗仿宋" w:eastAsia="彩虹粗仿宋" w:hAnsi="宋体" w:cs="Arial" w:hint="eastAsia"/>
          <w:sz w:val="24"/>
        </w:rPr>
        <w:t>开立的基金银行账户，同时在规定时间内，聘请</w:t>
      </w:r>
      <w:r>
        <w:rPr>
          <w:rFonts w:ascii="彩虹粗仿宋" w:eastAsia="彩虹粗仿宋" w:hAnsi="宋体" w:cs="Arial" w:hint="eastAsia"/>
          <w:bCs/>
          <w:sz w:val="24"/>
        </w:rPr>
        <w:t>符合《中华人民共和国证券法》规定</w:t>
      </w:r>
      <w:r>
        <w:rPr>
          <w:rFonts w:ascii="彩虹粗仿宋" w:eastAsia="彩虹粗仿宋" w:hAnsi="宋体" w:cs="Arial" w:hint="eastAsia"/>
          <w:sz w:val="24"/>
        </w:rPr>
        <w:t>的会计师事务所进行验资，出具验资报告。出具的验资报告由参加验资的2名或2名以上中国注册会计师签字方为有效。</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5.基金管理人应于基金合同终止后及时完成收益兑付、费用结清及其他应收应付款项资金划转，在确保后续不再发生款项进出后的10个工作日内向托管人发出销户申请。</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w:t>
      </w:r>
      <w:proofErr w:type="gramStart"/>
      <w:r>
        <w:rPr>
          <w:rFonts w:ascii="彩虹粗仿宋" w:eastAsia="彩虹粗仿宋" w:hAnsi="宋体" w:cs="Arial" w:hint="eastAsia"/>
          <w:sz w:val="24"/>
        </w:rPr>
        <w:t>待本基金</w:t>
      </w:r>
      <w:proofErr w:type="gramEnd"/>
      <w:r>
        <w:rPr>
          <w:rFonts w:ascii="彩虹粗仿宋" w:eastAsia="彩虹粗仿宋" w:hAnsi="宋体" w:cs="Arial" w:hint="eastAsia"/>
          <w:sz w:val="24"/>
        </w:rPr>
        <w:t>启始运营后，基金管理人可向基金托管人发送划款指令，将代垫开户费从本基金托管资金账户中扣还基金管理人。</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w:t>
      </w:r>
      <w:proofErr w:type="gramStart"/>
      <w:r>
        <w:rPr>
          <w:rFonts w:ascii="彩虹粗仿宋" w:eastAsia="彩虹粗仿宋" w:hAnsi="宋体" w:cs="Arial" w:hint="eastAsia"/>
          <w:sz w:val="24"/>
        </w:rPr>
        <w:t>需基金</w:t>
      </w:r>
      <w:proofErr w:type="gramEnd"/>
      <w:r>
        <w:rPr>
          <w:rFonts w:ascii="彩虹粗仿宋" w:eastAsia="彩虹粗仿宋" w:hAnsi="宋体" w:cs="Arial" w:hint="eastAsia"/>
          <w:sz w:val="24"/>
        </w:rPr>
        <w:t>托管人提供配合的，基金托管人应予以配合。</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低于法律法规规定的最低期限。</w:t>
      </w:r>
    </w:p>
    <w:p w:rsidR="004408FE" w:rsidRDefault="004408FE">
      <w:pPr>
        <w:rPr>
          <w:rFonts w:ascii="彩虹粗仿宋" w:eastAsia="彩虹粗仿宋"/>
          <w:sz w:val="24"/>
        </w:rPr>
      </w:pPr>
    </w:p>
    <w:p w:rsidR="004408FE" w:rsidRDefault="00437179">
      <w:pPr>
        <w:pStyle w:val="2"/>
        <w:jc w:val="center"/>
        <w:rPr>
          <w:rFonts w:ascii="彩虹粗仿宋" w:eastAsia="彩虹粗仿宋"/>
          <w:sz w:val="30"/>
        </w:rPr>
      </w:pPr>
      <w:bookmarkStart w:id="44" w:name="_Toc118212952"/>
      <w:bookmarkStart w:id="45" w:name="_Toc118774805"/>
      <w:bookmarkStart w:id="46" w:name="_Toc120435785"/>
      <w:bookmarkStart w:id="47" w:name="_Toc86737931"/>
      <w:bookmarkStart w:id="48" w:name="_Toc110765662"/>
      <w:bookmarkStart w:id="49" w:name="_Toc110830494"/>
      <w:bookmarkStart w:id="50" w:name="_Toc110761798"/>
      <w:bookmarkStart w:id="51" w:name="_Toc84234436"/>
      <w:bookmarkStart w:id="52" w:name="_Toc89163370"/>
      <w:bookmarkStart w:id="53" w:name="_Toc108512360"/>
      <w:bookmarkStart w:id="54" w:name="_Toc118972650"/>
      <w:bookmarkStart w:id="55" w:name="_Toc119402712"/>
      <w:bookmarkStart w:id="56" w:name="_Toc86223244"/>
      <w:bookmarkStart w:id="57" w:name="_Toc86649724"/>
      <w:bookmarkStart w:id="58" w:name="_Toc86727357"/>
      <w:bookmarkStart w:id="59" w:name="_Toc84234389"/>
      <w:bookmarkStart w:id="60" w:name="_Toc84133787"/>
      <w:bookmarkStart w:id="61" w:name="_Toc86225293"/>
      <w:bookmarkStart w:id="62" w:name="_Toc86726441"/>
      <w:bookmarkStart w:id="63" w:name="_Toc86204790"/>
      <w:bookmarkStart w:id="64" w:name="_Toc124325890"/>
      <w:r>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sz w:val="24"/>
        </w:rPr>
        <w:t>并相关</w:t>
      </w:r>
      <w:proofErr w:type="gramEnd"/>
      <w:r>
        <w:rPr>
          <w:rFonts w:ascii="彩虹粗仿宋" w:eastAsia="彩虹粗仿宋" w:hAnsi="宋体" w:cs="Arial" w:hint="eastAsia"/>
          <w:sz w:val="24"/>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4408FE" w:rsidRDefault="00437179">
      <w:pPr>
        <w:pStyle w:val="a0"/>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不同，由此产生的责任由基金管理人承担。基金托管人更换接受基金管理人指令的人员，应提前通过录音电话通知基金管理人。</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4408FE" w:rsidRDefault="004408FE">
      <w:pPr>
        <w:adjustRightInd w:val="0"/>
        <w:snapToGrid w:val="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65" w:name="_Toc86223245"/>
      <w:bookmarkStart w:id="66" w:name="_Toc86204791"/>
      <w:bookmarkStart w:id="67" w:name="_Toc86649725"/>
      <w:bookmarkStart w:id="68" w:name="_Toc110761799"/>
      <w:bookmarkStart w:id="69" w:name="_Toc118972651"/>
      <w:bookmarkStart w:id="70" w:name="_Toc119402713"/>
      <w:bookmarkStart w:id="71" w:name="_Toc86225294"/>
      <w:bookmarkStart w:id="72" w:name="_Toc89163371"/>
      <w:bookmarkStart w:id="73" w:name="_Toc86727358"/>
      <w:bookmarkStart w:id="74" w:name="_Toc108512361"/>
      <w:bookmarkStart w:id="75" w:name="_Toc110765663"/>
      <w:bookmarkStart w:id="76" w:name="_Toc110830495"/>
      <w:bookmarkStart w:id="77" w:name="_Toc118212953"/>
      <w:bookmarkStart w:id="78" w:name="_Toc84234437"/>
      <w:bookmarkStart w:id="79" w:name="_Toc86726442"/>
      <w:bookmarkStart w:id="80" w:name="_Toc118774806"/>
      <w:bookmarkStart w:id="81" w:name="_Toc84234390"/>
      <w:bookmarkStart w:id="82" w:name="_Toc120435786"/>
      <w:bookmarkStart w:id="83" w:name="_Toc124325891"/>
      <w:bookmarkStart w:id="84" w:name="_Toc86737932"/>
      <w:bookmarkStart w:id="85" w:name="_Toc84133788"/>
      <w:r>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基金管理人负责选择代理本基金</w:t>
      </w:r>
      <w:r>
        <w:rPr>
          <w:rFonts w:ascii="彩虹粗仿宋" w:eastAsia="彩虹粗仿宋" w:hAnsi="宋体" w:cs="Arial"/>
          <w:sz w:val="24"/>
        </w:rPr>
        <w:t>股指期货交易的</w:t>
      </w:r>
      <w:r>
        <w:rPr>
          <w:rFonts w:ascii="彩虹粗仿宋" w:eastAsia="彩虹粗仿宋" w:hAnsi="宋体" w:cs="Arial" w:hint="eastAsia"/>
          <w:sz w:val="24"/>
        </w:rPr>
        <w:t>期货经纪机构，并与其签订期货经纪合同。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造成债券回购交收违约或因折算率变化造成质押欠库，导致中国证券登记结算有限责任公司欠库扣款或对质押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进行处置造成的投资风险和损失由基金管理人承担。</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基金托管账户与“基金清算账户”间的资金结算遵循“全额清算、净额交收”的原则，每日(T日：就</w:t>
      </w:r>
      <w:r>
        <w:rPr>
          <w:rFonts w:ascii="彩虹粗仿宋" w:eastAsia="彩虹粗仿宋" w:hAnsi="宋体" w:cs="Arial"/>
          <w:sz w:val="24"/>
        </w:rPr>
        <w:t>本条款而言，指</w:t>
      </w:r>
      <w:r>
        <w:rPr>
          <w:rFonts w:ascii="彩虹粗仿宋" w:eastAsia="彩虹粗仿宋" w:hAnsi="宋体" w:cs="Arial" w:hint="eastAsia"/>
          <w:sz w:val="24"/>
        </w:rPr>
        <w:t>资金交收日，下同)按照托管账户应收资金与应付资金的差额来确定托管账户净应收额或净应付额，以此确定资金交收额。发生巨额赎回的情形，款项的交收参照本</w:t>
      </w:r>
      <w:proofErr w:type="gramStart"/>
      <w:r>
        <w:rPr>
          <w:rFonts w:ascii="彩虹粗仿宋" w:eastAsia="彩虹粗仿宋" w:hAnsi="宋体" w:cs="Arial" w:hint="eastAsia"/>
          <w:sz w:val="24"/>
        </w:rPr>
        <w:t>基金基金</w:t>
      </w:r>
      <w:proofErr w:type="gramEnd"/>
      <w:r>
        <w:rPr>
          <w:rFonts w:ascii="彩虹粗仿宋" w:eastAsia="彩虹粗仿宋" w:hAnsi="宋体" w:cs="Arial" w:hint="eastAsia"/>
          <w:sz w:val="24"/>
        </w:rPr>
        <w:t>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1.基金管理人确定分红方案通知基金托管人，双方核定后依照《信息披露办法》的有关规定在中国证监会规定媒介上公告。</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rsidR="004408FE" w:rsidRDefault="004408FE">
      <w:pPr>
        <w:pStyle w:val="a0"/>
        <w:adjustRightInd w:val="0"/>
        <w:snapToGrid w:val="0"/>
        <w:ind w:firstLine="48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86" w:name="_Toc124325892"/>
      <w:r>
        <w:rPr>
          <w:rFonts w:ascii="彩虹粗仿宋" w:eastAsia="彩虹粗仿宋" w:hint="eastAsia"/>
          <w:sz w:val="30"/>
        </w:rPr>
        <w:t>八、基金资产净值计算和会计核算</w:t>
      </w:r>
      <w:bookmarkEnd w:id="86"/>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基金管理人于每个工作日计算基金资产净值及基金份额净值，并按规定公告。如遇特殊情况，经履行适当程序，可以适当延迟计算或公告。</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w:t>
      </w:r>
      <w:proofErr w:type="gramStart"/>
      <w:r>
        <w:rPr>
          <w:rFonts w:ascii="彩虹粗仿宋" w:eastAsia="彩虹粗仿宋" w:hAnsi="宋体" w:cs="Arial" w:hint="eastAsia"/>
          <w:sz w:val="24"/>
        </w:rPr>
        <w:t>应每个</w:t>
      </w:r>
      <w:proofErr w:type="gramEnd"/>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基金所拥有的股票、债券、资产支持证券、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等流通受限股票，按监管机构或行业协会有关规定确定公允价值。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同一证券同时在两个或两个以上市场交易的，按证券所处的市场分别估值。估值计算中涉及港币对人民币汇率的，将依据下列信息提供机构所提供的汇率为基准：当日中国人民银行或其授权机构公布的人民币汇率中间价。</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当发生大额申购或赎回情形时，基金管理人可以采用摆动定价机制，以确保基金估值的公平性。</w:t>
      </w:r>
    </w:p>
    <w:p w:rsidR="004408FE" w:rsidRDefault="00437179">
      <w:pPr>
        <w:pStyle w:val="a0"/>
        <w:adjustRightInd w:val="0"/>
        <w:snapToGrid w:val="0"/>
        <w:ind w:firstLine="480"/>
        <w:rPr>
          <w:rFonts w:ascii="彩虹粗仿宋" w:eastAsia="彩虹粗仿宋" w:hAnsi="宋体" w:cs="Arial"/>
          <w:bCs/>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Pr>
          <w:rFonts w:ascii="彩虹粗仿宋" w:eastAsia="彩虹粗仿宋" w:hAnsi="宋体" w:cs="Arial" w:hint="eastAsia"/>
          <w:bCs/>
          <w:sz w:val="24"/>
        </w:rPr>
        <w:t>本基金投资存托凭证的估值核算依照境内上市交易的股票执行。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）相关法律法规以及监管部门有强制规定的，从其规定。如有新增事项，按国家最新规定估值。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6</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4408FE" w:rsidRDefault="0043717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.当特定资产占前一估值日基金资产净值50%以上的，经与基金托管人协商确认后，基金管理人应当暂停估值；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期间的基金资产估值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的，应根据基金合同的约定</w:t>
      </w:r>
      <w:proofErr w:type="gramStart"/>
      <w:r>
        <w:rPr>
          <w:rFonts w:ascii="彩虹粗仿宋" w:eastAsia="彩虹粗仿宋" w:hAnsi="宋体" w:cs="Arial" w:hint="eastAsia"/>
          <w:sz w:val="24"/>
        </w:rPr>
        <w:t>对主袋账户</w:t>
      </w:r>
      <w:proofErr w:type="gramEnd"/>
      <w:r>
        <w:rPr>
          <w:rFonts w:ascii="彩虹粗仿宋" w:eastAsia="彩虹粗仿宋" w:hAnsi="宋体" w:cs="Arial" w:hint="eastAsia"/>
          <w:sz w:val="24"/>
        </w:rPr>
        <w:t>资产进行估值并</w:t>
      </w:r>
      <w:proofErr w:type="gramStart"/>
      <w:r>
        <w:rPr>
          <w:rFonts w:ascii="彩虹粗仿宋" w:eastAsia="彩虹粗仿宋" w:hAnsi="宋体" w:cs="Arial" w:hint="eastAsia"/>
          <w:sz w:val="24"/>
        </w:rPr>
        <w:t>披露主袋账户</w:t>
      </w:r>
      <w:proofErr w:type="gramEnd"/>
      <w:r>
        <w:rPr>
          <w:rFonts w:ascii="彩虹粗仿宋" w:eastAsia="彩虹粗仿宋" w:hAnsi="宋体" w:cs="Arial" w:hint="eastAsia"/>
          <w:sz w:val="24"/>
        </w:rPr>
        <w:t>的基金净值信息，暂停</w:t>
      </w:r>
      <w:proofErr w:type="gramStart"/>
      <w:r>
        <w:rPr>
          <w:rFonts w:ascii="彩虹粗仿宋" w:eastAsia="彩虹粗仿宋" w:hAnsi="宋体" w:cs="Arial" w:hint="eastAsia"/>
          <w:sz w:val="24"/>
        </w:rPr>
        <w:t>披露侧袋账户</w:t>
      </w:r>
      <w:proofErr w:type="gramEnd"/>
      <w:r>
        <w:rPr>
          <w:rFonts w:ascii="彩虹粗仿宋" w:eastAsia="彩虹粗仿宋" w:hAnsi="宋体" w:cs="Arial" w:hint="eastAsia"/>
          <w:sz w:val="24"/>
        </w:rPr>
        <w:t>份额净值。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（六）基金会计制度</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（七）基金账册的建立</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（八）基金财务报表与报告的编制和复核</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Pr>
          <w:rFonts w:ascii="彩虹粗仿宋" w:eastAsia="彩虹粗仿宋" w:hAnsi="宋体" w:cs="Arial" w:hint="eastAsia"/>
          <w:bCs/>
          <w:sz w:val="24"/>
        </w:rPr>
        <w:t>符合《中华人民共和国证券法》规定的会计师事务所</w:t>
      </w:r>
      <w:r>
        <w:rPr>
          <w:rFonts w:ascii="彩虹粗仿宋" w:eastAsia="彩虹粗仿宋" w:hAnsi="宋体" w:cs="Arial" w:hint="eastAsia"/>
          <w:sz w:val="24"/>
        </w:rPr>
        <w:t>审计。《基金合同》生效不足两个月的，基金管理人可以不编制当期季度报告、中期报告或者年度报告。</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（九）基金管理人应在编制季度报告、中期报告或者年度报告之前及时向基金托管人提供基金业绩比较基准的基础数据和编制结果。</w:t>
      </w:r>
    </w:p>
    <w:p w:rsidR="004408FE" w:rsidRDefault="004408FE">
      <w:pPr>
        <w:pStyle w:val="a0"/>
        <w:adjustRightInd w:val="0"/>
        <w:snapToGrid w:val="0"/>
        <w:ind w:firstLineChars="0" w:firstLine="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87" w:name="_Toc124325893"/>
      <w:r>
        <w:rPr>
          <w:rFonts w:ascii="彩虹粗仿宋" w:eastAsia="彩虹粗仿宋" w:hint="eastAsia"/>
          <w:sz w:val="30"/>
        </w:rPr>
        <w:t>九、基金收益分配</w:t>
      </w:r>
      <w:bookmarkEnd w:id="87"/>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基金份额进行再投资；投资者红利再投资所得基金份额不受最短持有期限制；若投资者不选择，本基金默认的收益分配方式是现金分红；</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4.每一基金份额享有同等分配权；</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规定媒介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rsidR="004408FE" w:rsidRDefault="0043717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4408FE" w:rsidRDefault="0043717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期间的收益分配</w:t>
      </w:r>
    </w:p>
    <w:p w:rsidR="004408FE" w:rsidRDefault="0043717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侧袋账户</w:t>
      </w:r>
      <w:proofErr w:type="gramEnd"/>
      <w:r>
        <w:rPr>
          <w:rFonts w:ascii="彩虹粗仿宋" w:eastAsia="彩虹粗仿宋" w:hAnsi="宋体" w:cs="Arial" w:hint="eastAsia"/>
          <w:sz w:val="24"/>
        </w:rPr>
        <w:t>不进行收益分配，详见招募说明书的规定。</w:t>
      </w:r>
    </w:p>
    <w:p w:rsidR="004408FE" w:rsidRDefault="004408FE">
      <w:pPr>
        <w:adjustRightInd w:val="0"/>
        <w:snapToGrid w:val="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88" w:name="_Toc124325894"/>
      <w:r>
        <w:rPr>
          <w:rFonts w:ascii="彩虹粗仿宋" w:eastAsia="彩虹粗仿宋" w:hint="eastAsia"/>
          <w:sz w:val="30"/>
        </w:rPr>
        <w:t>十、基金信息披露</w:t>
      </w:r>
      <w:bookmarkEnd w:id="88"/>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基金的信息披露内容主要包括基金招募说明书、《基金合同》、托管协议、基金产品资料概要、基金份额发售公告、《基金合同》生效公告、基金净值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期间的信息披露、清算报告、本基金投资股指期货、资产支持证券、港股通标的股票、根据法律法规需要披露的信息、中国证监会规定的其他信息。基金年度报告中的财务会计报告需</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《中华人民共和国证券法》规定的会计师事务所审计后，方可披露。</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依法必须披露的信息发布后，基金管理人、基金托管人应当按照相关法律法规规定将信息置备于各自办公场所，供社会公众查阅、复制</w:t>
      </w:r>
      <w:r>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期间的信息披露</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的，相关信息披露义务人应当根据法律法规、基金合同和招募说明书的规定进行信息披露，详见招募说明书的规定。</w:t>
      </w:r>
    </w:p>
    <w:p w:rsidR="004408FE" w:rsidRDefault="004408FE">
      <w:pPr>
        <w:pStyle w:val="a0"/>
        <w:ind w:firstLineChars="0" w:firstLine="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89" w:name="_Toc124325895"/>
      <w:r>
        <w:rPr>
          <w:rFonts w:ascii="彩虹粗仿宋" w:eastAsia="彩虹粗仿宋" w:hint="eastAsia"/>
          <w:sz w:val="30"/>
        </w:rPr>
        <w:t>十一、基金费用</w:t>
      </w:r>
      <w:bookmarkEnd w:id="89"/>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w:t>
      </w:r>
      <w:bookmarkStart w:id="90" w:name="_GoBack"/>
      <w:r w:rsidR="00825BD4">
        <w:rPr>
          <w:rFonts w:ascii="彩虹粗仿宋" w:eastAsia="彩虹粗仿宋" w:hAnsi="宋体" w:cs="Arial"/>
          <w:sz w:val="24"/>
        </w:rPr>
        <w:t>2</w:t>
      </w:r>
      <w:bookmarkEnd w:id="90"/>
      <w:r>
        <w:rPr>
          <w:rFonts w:ascii="彩虹粗仿宋" w:eastAsia="彩虹粗仿宋" w:hAnsi="宋体" w:cs="Arial" w:hint="eastAsia"/>
          <w:sz w:val="24"/>
        </w:rPr>
        <w:t>%年费率计提。管理费的计算方法如下：</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sz w:val="24"/>
        </w:rPr>
        <w:t>0.2</w:t>
      </w:r>
      <w:r>
        <w:rPr>
          <w:rFonts w:ascii="彩虹粗仿宋" w:eastAsia="彩虹粗仿宋" w:hAnsi="宋体" w:cs="Arial" w:hint="eastAsia"/>
          <w:sz w:val="24"/>
        </w:rPr>
        <w:t>%年费率计提。托管费的计算方法如下：</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（三）基金的开户费用、证券、</w:t>
      </w:r>
      <w:r>
        <w:rPr>
          <w:rFonts w:ascii="彩虹粗仿宋" w:eastAsia="彩虹粗仿宋" w:hAnsi="宋体" w:cs="Arial"/>
          <w:sz w:val="24"/>
        </w:rPr>
        <w:t>期货</w:t>
      </w:r>
      <w:r>
        <w:rPr>
          <w:rFonts w:ascii="彩虹粗仿宋" w:eastAsia="彩虹粗仿宋" w:hAnsi="宋体" w:cs="Arial" w:hint="eastAsia"/>
          <w:sz w:val="24"/>
        </w:rPr>
        <w:t>交易费用、基金的银行汇划费用、账户维护费用、《基金合同》生效后与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的信息披露费用、基金份额持有人大会费用、《基金合同》生效后与基金有关的会计师费、律师费、仲裁费</w:t>
      </w:r>
      <w:r>
        <w:rPr>
          <w:rFonts w:ascii="彩虹粗仿宋" w:eastAsia="彩虹粗仿宋" w:hAnsi="宋体" w:cs="Arial"/>
          <w:sz w:val="24"/>
        </w:rPr>
        <w:t>和诉讼费</w:t>
      </w:r>
      <w:r>
        <w:rPr>
          <w:rFonts w:ascii="彩虹粗仿宋" w:eastAsia="彩虹粗仿宋" w:hAnsi="宋体" w:cs="Arial" w:hint="eastAsia"/>
          <w:sz w:val="24"/>
        </w:rPr>
        <w:t>、</w:t>
      </w:r>
      <w:r>
        <w:rPr>
          <w:rFonts w:ascii="彩虹粗仿宋" w:eastAsia="彩虹粗仿宋" w:hAnsi="宋体" w:cs="Arial" w:hint="eastAsia"/>
          <w:bCs/>
          <w:sz w:val="24"/>
        </w:rPr>
        <w:t>因投资港股通标的股票而产生的各项合理费用</w:t>
      </w:r>
      <w:r>
        <w:rPr>
          <w:rFonts w:ascii="彩虹粗仿宋" w:eastAsia="彩虹粗仿宋" w:hAnsi="宋体" w:cs="Arial" w:hint="eastAsia"/>
          <w:sz w:val="24"/>
        </w:rPr>
        <w:t>及按照国家有关规定和《基金合同》约定，可以在基金财产中列支的其他费用，列入当期基金费用。</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（四）不列入基金费用的项目</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（五）基金管理费和基金托管费的调整</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基金管理人和基金托管人可根据基金</w:t>
      </w:r>
      <w:r>
        <w:rPr>
          <w:rFonts w:ascii="彩虹粗仿宋" w:eastAsia="彩虹粗仿宋" w:hAnsi="宋体" w:cs="Arial"/>
          <w:sz w:val="24"/>
        </w:rPr>
        <w:t>发展情况调整</w:t>
      </w:r>
      <w:r>
        <w:rPr>
          <w:rFonts w:ascii="彩虹粗仿宋" w:eastAsia="彩虹粗仿宋" w:hAnsi="宋体" w:cs="Arial" w:hint="eastAsia"/>
          <w:sz w:val="24"/>
        </w:rPr>
        <w:t>基金管理费和基金托管费，调整基金</w:t>
      </w:r>
      <w:r>
        <w:rPr>
          <w:rFonts w:ascii="彩虹粗仿宋" w:eastAsia="彩虹粗仿宋" w:hAnsi="宋体" w:cs="Arial"/>
          <w:sz w:val="24"/>
        </w:rPr>
        <w:t>管理费率、基金托管费率</w:t>
      </w:r>
      <w:proofErr w:type="gramStart"/>
      <w:r>
        <w:rPr>
          <w:rFonts w:ascii="彩虹粗仿宋" w:eastAsia="彩虹粗仿宋" w:hAnsi="宋体" w:cs="Arial"/>
          <w:sz w:val="24"/>
        </w:rPr>
        <w:t>须召开</w:t>
      </w:r>
      <w:proofErr w:type="gramEnd"/>
      <w:r>
        <w:rPr>
          <w:rFonts w:ascii="彩虹粗仿宋" w:eastAsia="彩虹粗仿宋" w:hAnsi="宋体" w:cs="Arial" w:hint="eastAsia"/>
          <w:sz w:val="24"/>
        </w:rPr>
        <w:t>基金份额持有人大会。基金管理人必须最迟于新的费率实施日前按照</w:t>
      </w:r>
      <w:r>
        <w:rPr>
          <w:rFonts w:ascii="彩虹粗仿宋" w:eastAsia="彩虹粗仿宋" w:hAnsi="宋体" w:cs="Arial"/>
          <w:sz w:val="24"/>
        </w:rPr>
        <w:t>《信息披露办法》的规定</w:t>
      </w:r>
      <w:r>
        <w:rPr>
          <w:rFonts w:ascii="彩虹粗仿宋" w:eastAsia="彩虹粗仿宋" w:hAnsi="宋体" w:cs="Arial" w:hint="eastAsia"/>
          <w:sz w:val="24"/>
        </w:rPr>
        <w:t>在规定媒介上刊登公告。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（六）基金管理费和基金托管费的复核程序、支付方式和时间</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Pr>
          <w:rFonts w:ascii="彩虹粗仿宋" w:eastAsia="彩虹粗仿宋" w:hAnsi="宋体" w:cs="Arial" w:hint="eastAsia"/>
          <w:sz w:val="24"/>
        </w:rPr>
        <w:t>基金管理费、基金托管费每日计提，按月支付。由基金托管人根据与基金管理人核对一致的财务数据，自动在月初5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的，支付日期顺延。费用自动扣划后，基金管理人应进行核对，如发现数据不符，及时联系基金托管人协商解决。</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在首期支付基金管理费前，基金管理人应向基金托管人出具正式函件指定基金管理费的收款账户。基金管理人如需要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账户，应提前5个工作日向基金托管人出具书面的收款账户变更通知。</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期间的基金费用</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与侧袋账户</w:t>
      </w:r>
      <w:proofErr w:type="gramEnd"/>
      <w:r>
        <w:rPr>
          <w:rFonts w:ascii="彩虹粗仿宋" w:eastAsia="彩虹粗仿宋" w:hAnsi="宋体" w:cs="Arial" w:hint="eastAsia"/>
          <w:sz w:val="24"/>
        </w:rPr>
        <w:t>有关的费用可以</w:t>
      </w:r>
      <w:proofErr w:type="gramStart"/>
      <w:r>
        <w:rPr>
          <w:rFonts w:ascii="彩虹粗仿宋" w:eastAsia="彩虹粗仿宋" w:hAnsi="宋体" w:cs="Arial" w:hint="eastAsia"/>
          <w:sz w:val="24"/>
        </w:rPr>
        <w:t>从侧袋账户</w:t>
      </w:r>
      <w:proofErr w:type="gramEnd"/>
      <w:r>
        <w:rPr>
          <w:rFonts w:ascii="彩虹粗仿宋" w:eastAsia="彩虹粗仿宋" w:hAnsi="宋体" w:cs="Arial" w:hint="eastAsia"/>
          <w:sz w:val="24"/>
        </w:rPr>
        <w:t>中列支，但应</w:t>
      </w:r>
      <w:proofErr w:type="gramStart"/>
      <w:r>
        <w:rPr>
          <w:rFonts w:ascii="彩虹粗仿宋" w:eastAsia="彩虹粗仿宋" w:hAnsi="宋体" w:cs="Arial" w:hint="eastAsia"/>
          <w:sz w:val="24"/>
        </w:rPr>
        <w:t>待侧袋</w:t>
      </w:r>
      <w:proofErr w:type="gramEnd"/>
      <w:r>
        <w:rPr>
          <w:rFonts w:ascii="彩虹粗仿宋" w:eastAsia="彩虹粗仿宋" w:hAnsi="宋体" w:cs="Arial" w:hint="eastAsia"/>
          <w:sz w:val="24"/>
        </w:rPr>
        <w:t>账户资产变现后方可列支，有关费用可酌情收取或减免，但不得收取管理费，详见招募说明书的规定。</w:t>
      </w:r>
    </w:p>
    <w:p w:rsidR="004408FE" w:rsidRDefault="004408FE">
      <w:pPr>
        <w:adjustRightInd w:val="0"/>
        <w:snapToGrid w:val="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低于法律法规规定的最低期限。如不能妥善保管，则按相关法规承担责任。</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4408FE" w:rsidRDefault="004408FE">
      <w:pPr>
        <w:adjustRightInd w:val="0"/>
        <w:snapToGrid w:val="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rsidR="004408FE" w:rsidRDefault="00437179">
      <w:pPr>
        <w:adjustRightInd w:val="0"/>
        <w:snapToGrid w:val="0"/>
        <w:ind w:firstLineChars="200"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（四）基金管理人和基金托管人应按各自职责完整保存原始凭证、记账凭证、基金账册、交易记录和重要合同等，承担保密义务并保存不低于法律法规规定的最低期限。</w:t>
      </w:r>
    </w:p>
    <w:p w:rsidR="004408FE" w:rsidRDefault="004408FE">
      <w:pPr>
        <w:adjustRightInd w:val="0"/>
        <w:snapToGrid w:val="0"/>
        <w:rPr>
          <w:rFonts w:ascii="彩虹粗仿宋" w:eastAsia="彩虹粗仿宋"/>
          <w:sz w:val="30"/>
          <w:szCs w:val="30"/>
        </w:rPr>
      </w:pPr>
    </w:p>
    <w:p w:rsidR="004408FE" w:rsidRDefault="00437179">
      <w:pPr>
        <w:pStyle w:val="2"/>
        <w:jc w:val="center"/>
        <w:rPr>
          <w:rFonts w:ascii="彩虹粗仿宋" w:eastAsia="彩虹粗仿宋"/>
          <w:sz w:val="30"/>
        </w:rPr>
      </w:pPr>
      <w:bookmarkStart w:id="93" w:name="_Toc124325898"/>
      <w:r>
        <w:rPr>
          <w:rFonts w:ascii="彩虹粗仿宋" w:eastAsia="彩虹粗仿宋" w:hint="eastAsia"/>
          <w:sz w:val="30"/>
        </w:rPr>
        <w:t>十四、基金管理人和基金托管人的更换</w:t>
      </w:r>
      <w:bookmarkEnd w:id="93"/>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管理人由基金托管人或由单独或合计持有10%以上(含10%)基金份额的基金份额持有人提名；</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管理人形成决议，该决议需经参加大会的基金份额持有人所持表决权的三分之二以上(含三分之二)表决通过，决议自表决通过之日起生效，</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管理人应当符合法律法规及中国证监会规定的资格条件；</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(5)公告：基金管理人更换后，由基金托管人在更换基金管理人的基金份额持有人大会决议生效后依照《信息披露办法》的规定在规定媒介公告；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管理人或者临时基金管理人应与基金托管人核对基金资产总值和净值；</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(7)审计：基金管理人职责终止的，应当按照法律法规规定聘请符合《中华人民共和国证券法》规定的会计师事务所对基金财产进行审计，并将审计结果予以公告，同时报中国证监会备案，</w:t>
      </w:r>
      <w:r>
        <w:rPr>
          <w:rFonts w:ascii="彩虹粗仿宋" w:eastAsia="彩虹粗仿宋" w:hAnsi="宋体" w:cs="Arial"/>
          <w:sz w:val="24"/>
        </w:rPr>
        <w:t>审计费用从基金财产中列支</w:t>
      </w:r>
      <w:r>
        <w:rPr>
          <w:rFonts w:ascii="彩虹粗仿宋" w:eastAsia="彩虹粗仿宋" w:hAnsi="宋体" w:cs="Arial" w:hint="eastAsia"/>
          <w:sz w:val="24"/>
        </w:rPr>
        <w:t>；</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托管人由基金管理人或由单独或合计持有10%以上(含10%)基金份额的基金份额持有人提名；</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托管人形成决议，该决议需经参加大会的基金份额持有人所持表决权的三分之二以上(含三分之二)表决通过，决议自表决通过之日起生效，</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托管人应当符合法律法规及中国证监会规定的资格条件；</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(5)公告：基金托管人更换后，由基金管理人在更换基金托管人的基金份额持有人大会决议生效后依照《信息披露办法》的规定在规定媒介公告；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托管人或者临时基金托管人与基金管理人核对基金资产总值和净值；</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(7)审计：基金托管人职责终止的，应当按照法律法规规定聘请符合《中华人民共和国证券法》规定的会计师事务所对基金财产进行审计，并将审计结果予以公告，同时报中国证监会备案，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托管人应在更换基金管理人和基金托管人的基金份额持有人大会决议生效后依照《信息披露办法》的规定在规定媒介上联合公告。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管理人或基金托管人应继续履行相关职责，并保证不做出对基金份额持有人的利益造成损害的行为。</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管理人或基金托管人在继续履行相关职责期间，仍有权按照基金合同的约定收取基金管理费或基金托管费。</w:t>
      </w:r>
    </w:p>
    <w:p w:rsidR="004408FE" w:rsidRDefault="004408FE">
      <w:pPr>
        <w:adjustRightInd w:val="0"/>
        <w:snapToGrid w:val="0"/>
        <w:ind w:firstLineChars="200" w:firstLine="48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rsidR="004408FE" w:rsidRDefault="004408FE">
      <w:pPr>
        <w:adjustRightInd w:val="0"/>
        <w:snapToGrid w:val="0"/>
        <w:rPr>
          <w:rFonts w:ascii="彩虹粗仿宋" w:eastAsia="彩虹粗仿宋"/>
          <w:sz w:val="30"/>
          <w:szCs w:val="30"/>
        </w:rPr>
      </w:pPr>
    </w:p>
    <w:p w:rsidR="004408FE" w:rsidRDefault="00437179">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4408FE" w:rsidRDefault="00437179">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Pr>
          <w:rFonts w:ascii="彩虹粗仿宋" w:eastAsia="彩虹粗仿宋" w:hAnsi="宋体" w:cs="Arial"/>
          <w:bCs/>
          <w:sz w:val="24"/>
        </w:rPr>
        <w:t>符合</w:t>
      </w:r>
      <w:r>
        <w:rPr>
          <w:rFonts w:ascii="彩虹粗仿宋" w:eastAsia="彩虹粗仿宋" w:hAnsi="宋体" w:cs="Arial" w:hint="eastAsia"/>
          <w:bCs/>
          <w:sz w:val="24"/>
        </w:rPr>
        <w:t>《中华人民共和国证券法》规定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个工作日内由基金财产清算小组进行公告，基金财产清算小组应当将清算报告登载在规定网站上，并将清算报告提示性公告登载在规定报刊上。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基金财产清算账册及有关文件由基金托管人保存不低于法律法规规定的最低期限。</w:t>
      </w:r>
    </w:p>
    <w:p w:rsidR="004408FE" w:rsidRDefault="004408FE">
      <w:pPr>
        <w:adjustRightInd w:val="0"/>
        <w:snapToGrid w:val="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96" w:name="_Toc124325901"/>
      <w:r>
        <w:rPr>
          <w:rFonts w:ascii="彩虹粗仿宋" w:eastAsia="彩虹粗仿宋" w:hint="eastAsia"/>
          <w:sz w:val="30"/>
        </w:rPr>
        <w:t>十七、违约责任</w:t>
      </w:r>
      <w:bookmarkEnd w:id="96"/>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在没有过错的情况下，基金管理人由于按照《基金合同》规定的投资原则行使或不行使其投资权而造成的损失等；</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4408FE" w:rsidRDefault="004408FE">
      <w:pPr>
        <w:adjustRightInd w:val="0"/>
        <w:snapToGrid w:val="0"/>
        <w:ind w:firstLineChars="200" w:firstLine="48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97" w:name="_Toc124325902"/>
      <w:r>
        <w:rPr>
          <w:rFonts w:ascii="彩虹粗仿宋" w:eastAsia="彩虹粗仿宋" w:hint="eastAsia"/>
          <w:sz w:val="30"/>
        </w:rPr>
        <w:t>十八、争议解决方式</w:t>
      </w:r>
      <w:bookmarkEnd w:id="97"/>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rsidR="004408FE" w:rsidRDefault="004408FE">
      <w:pPr>
        <w:adjustRightInd w:val="0"/>
        <w:snapToGrid w:val="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98" w:name="_Toc124325903"/>
      <w:r>
        <w:rPr>
          <w:rFonts w:ascii="彩虹粗仿宋" w:eastAsia="彩虹粗仿宋" w:hint="eastAsia"/>
          <w:sz w:val="30"/>
        </w:rPr>
        <w:t>十九、托管协议的效力</w:t>
      </w:r>
      <w:bookmarkEnd w:id="98"/>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rsidR="004408FE" w:rsidRDefault="004408FE">
      <w:pPr>
        <w:adjustRightInd w:val="0"/>
        <w:snapToGrid w:val="0"/>
        <w:ind w:firstLineChars="200" w:firstLine="480"/>
        <w:rPr>
          <w:rFonts w:ascii="彩虹粗仿宋" w:eastAsia="彩虹粗仿宋" w:hAnsi="宋体" w:cs="Arial"/>
          <w:sz w:val="24"/>
        </w:rPr>
      </w:pPr>
    </w:p>
    <w:p w:rsidR="004408FE" w:rsidRDefault="00437179">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4408FE" w:rsidRDefault="004408FE">
      <w:pPr>
        <w:adjustRightInd w:val="0"/>
        <w:snapToGrid w:val="0"/>
        <w:rPr>
          <w:rFonts w:ascii="彩虹粗仿宋" w:eastAsia="彩虹粗仿宋"/>
          <w:b/>
          <w:bCs/>
        </w:rPr>
      </w:pPr>
    </w:p>
    <w:p w:rsidR="004408FE" w:rsidRDefault="00437179">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rsidR="004408FE" w:rsidRDefault="004371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4408FE" w:rsidRDefault="004408FE">
      <w:pPr>
        <w:adjustRightInd w:val="0"/>
        <w:snapToGrid w:val="0"/>
        <w:ind w:firstLineChars="200" w:firstLine="480"/>
        <w:rPr>
          <w:rFonts w:ascii="彩虹粗仿宋" w:eastAsia="彩虹粗仿宋" w:hAnsi="宋体" w:cs="Arial"/>
          <w:sz w:val="24"/>
        </w:rPr>
        <w:sectPr w:rsidR="004408FE">
          <w:headerReference w:type="default" r:id="rId9"/>
          <w:pgSz w:w="11906" w:h="16838"/>
          <w:pgMar w:top="1418" w:right="1701" w:bottom="1418" w:left="1701" w:header="851" w:footer="992" w:gutter="0"/>
          <w:cols w:space="425"/>
          <w:docGrid w:type="lines" w:linePitch="312"/>
        </w:sectPr>
      </w:pPr>
    </w:p>
    <w:p w:rsidR="004408FE" w:rsidRDefault="00437179">
      <w:pPr>
        <w:spacing w:line="360" w:lineRule="auto"/>
        <w:ind w:right="26"/>
        <w:rPr>
          <w:rFonts w:ascii="彩虹粗仿宋" w:eastAsia="彩虹粗仿宋"/>
          <w:sz w:val="24"/>
        </w:rPr>
      </w:pPr>
      <w:r>
        <w:rPr>
          <w:rFonts w:ascii="彩虹粗仿宋" w:eastAsia="彩虹粗仿宋" w:hint="eastAsia"/>
          <w:sz w:val="24"/>
        </w:rPr>
        <w:t>本页无正文，为《交银</w:t>
      </w:r>
      <w:r>
        <w:rPr>
          <w:rFonts w:ascii="彩虹粗仿宋" w:eastAsia="彩虹粗仿宋"/>
          <w:sz w:val="24"/>
        </w:rPr>
        <w:t>施罗德</w:t>
      </w:r>
      <w:r>
        <w:rPr>
          <w:rFonts w:ascii="彩虹粗仿宋" w:eastAsia="彩虹粗仿宋" w:hint="eastAsia"/>
          <w:sz w:val="24"/>
        </w:rPr>
        <w:t>瑞卓三年持有期</w:t>
      </w:r>
      <w:r>
        <w:rPr>
          <w:rFonts w:ascii="彩虹粗仿宋" w:eastAsia="彩虹粗仿宋"/>
          <w:sz w:val="24"/>
        </w:rPr>
        <w:t>混合型</w:t>
      </w:r>
      <w:r>
        <w:rPr>
          <w:rFonts w:ascii="彩虹粗仿宋" w:eastAsia="彩虹粗仿宋" w:hint="eastAsia"/>
          <w:sz w:val="24"/>
        </w:rPr>
        <w:t>证券投资基金托管协议》的签字盖章页。</w:t>
      </w:r>
    </w:p>
    <w:p w:rsidR="004408FE" w:rsidRDefault="004408FE">
      <w:pPr>
        <w:spacing w:line="360" w:lineRule="auto"/>
        <w:rPr>
          <w:rFonts w:ascii="彩虹粗仿宋" w:eastAsia="彩虹粗仿宋"/>
          <w:sz w:val="24"/>
        </w:rPr>
      </w:pPr>
    </w:p>
    <w:p w:rsidR="004408FE" w:rsidRDefault="004408FE">
      <w:pPr>
        <w:spacing w:line="360" w:lineRule="auto"/>
        <w:rPr>
          <w:rFonts w:ascii="彩虹粗仿宋" w:eastAsia="彩虹粗仿宋"/>
          <w:sz w:val="24"/>
        </w:rPr>
      </w:pPr>
    </w:p>
    <w:p w:rsidR="004408FE" w:rsidRDefault="00437179">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rsidR="004408FE" w:rsidRDefault="004408FE">
      <w:pPr>
        <w:spacing w:line="360" w:lineRule="auto"/>
        <w:ind w:right="26"/>
        <w:rPr>
          <w:rFonts w:ascii="彩虹粗仿宋" w:eastAsia="彩虹粗仿宋"/>
          <w:sz w:val="24"/>
        </w:rPr>
      </w:pPr>
    </w:p>
    <w:p w:rsidR="004408FE" w:rsidRDefault="004408FE">
      <w:pPr>
        <w:spacing w:line="360" w:lineRule="auto"/>
        <w:ind w:right="26"/>
        <w:rPr>
          <w:rFonts w:ascii="彩虹粗仿宋" w:eastAsia="彩虹粗仿宋"/>
          <w:sz w:val="24"/>
        </w:rPr>
      </w:pPr>
    </w:p>
    <w:p w:rsidR="004408FE" w:rsidRDefault="004408FE">
      <w:pPr>
        <w:spacing w:line="360" w:lineRule="auto"/>
        <w:ind w:right="26"/>
        <w:rPr>
          <w:rFonts w:ascii="彩虹粗仿宋" w:eastAsia="彩虹粗仿宋"/>
          <w:sz w:val="24"/>
        </w:rPr>
      </w:pPr>
    </w:p>
    <w:p w:rsidR="004408FE" w:rsidRDefault="00437179">
      <w:pPr>
        <w:spacing w:line="360" w:lineRule="auto"/>
        <w:ind w:right="26"/>
        <w:rPr>
          <w:rFonts w:ascii="彩虹粗仿宋" w:eastAsia="彩虹粗仿宋"/>
          <w:sz w:val="24"/>
        </w:rPr>
      </w:pPr>
      <w:r>
        <w:rPr>
          <w:rFonts w:ascii="彩虹粗仿宋" w:eastAsia="彩虹粗仿宋" w:hint="eastAsia"/>
          <w:sz w:val="24"/>
        </w:rPr>
        <w:t>法定代表人或授权代表：</w:t>
      </w:r>
    </w:p>
    <w:p w:rsidR="004408FE" w:rsidRDefault="004408FE">
      <w:pPr>
        <w:spacing w:line="360" w:lineRule="auto"/>
        <w:ind w:right="26"/>
        <w:rPr>
          <w:rFonts w:ascii="彩虹粗仿宋" w:eastAsia="彩虹粗仿宋"/>
          <w:sz w:val="24"/>
        </w:rPr>
      </w:pPr>
    </w:p>
    <w:p w:rsidR="004408FE" w:rsidRDefault="004408FE">
      <w:pPr>
        <w:spacing w:line="360" w:lineRule="auto"/>
        <w:ind w:right="26"/>
        <w:rPr>
          <w:rFonts w:ascii="彩虹粗仿宋" w:eastAsia="彩虹粗仿宋"/>
          <w:sz w:val="24"/>
        </w:rPr>
      </w:pPr>
    </w:p>
    <w:p w:rsidR="004408FE" w:rsidRDefault="004408FE">
      <w:pPr>
        <w:spacing w:line="360" w:lineRule="auto"/>
        <w:ind w:right="26"/>
        <w:rPr>
          <w:rFonts w:ascii="彩虹粗仿宋" w:eastAsia="彩虹粗仿宋"/>
          <w:sz w:val="24"/>
        </w:rPr>
      </w:pPr>
    </w:p>
    <w:p w:rsidR="004408FE" w:rsidRDefault="00437179">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rsidR="004408FE" w:rsidRDefault="004408FE">
      <w:pPr>
        <w:spacing w:line="360" w:lineRule="auto"/>
        <w:ind w:right="26"/>
        <w:rPr>
          <w:rFonts w:ascii="彩虹粗仿宋" w:eastAsia="彩虹粗仿宋"/>
          <w:sz w:val="24"/>
        </w:rPr>
      </w:pPr>
    </w:p>
    <w:p w:rsidR="004408FE" w:rsidRDefault="004408FE">
      <w:pPr>
        <w:spacing w:line="360" w:lineRule="auto"/>
        <w:ind w:right="26"/>
        <w:rPr>
          <w:rFonts w:ascii="彩虹粗仿宋" w:eastAsia="彩虹粗仿宋"/>
          <w:sz w:val="24"/>
        </w:rPr>
      </w:pPr>
    </w:p>
    <w:p w:rsidR="004408FE" w:rsidRDefault="004408FE">
      <w:pPr>
        <w:spacing w:line="360" w:lineRule="auto"/>
        <w:ind w:right="26"/>
        <w:rPr>
          <w:rFonts w:ascii="彩虹粗仿宋" w:eastAsia="彩虹粗仿宋"/>
          <w:sz w:val="24"/>
        </w:rPr>
      </w:pPr>
    </w:p>
    <w:p w:rsidR="004408FE" w:rsidRDefault="00437179">
      <w:pPr>
        <w:rPr>
          <w:rFonts w:ascii="彩虹粗仿宋" w:eastAsia="彩虹粗仿宋"/>
          <w:sz w:val="24"/>
        </w:rPr>
      </w:pPr>
      <w:r>
        <w:rPr>
          <w:rFonts w:ascii="彩虹粗仿宋" w:eastAsia="彩虹粗仿宋" w:hint="eastAsia"/>
          <w:sz w:val="24"/>
        </w:rPr>
        <w:t>法定代表人或授权代表：</w:t>
      </w:r>
    </w:p>
    <w:p w:rsidR="004408FE" w:rsidRDefault="004408FE">
      <w:pPr>
        <w:rPr>
          <w:rFonts w:ascii="彩虹粗仿宋" w:eastAsia="彩虹粗仿宋"/>
          <w:sz w:val="24"/>
        </w:rPr>
      </w:pPr>
    </w:p>
    <w:p w:rsidR="004408FE" w:rsidRDefault="004408FE">
      <w:pPr>
        <w:rPr>
          <w:rFonts w:ascii="彩虹粗仿宋" w:eastAsia="彩虹粗仿宋"/>
          <w:sz w:val="24"/>
        </w:rPr>
      </w:pPr>
    </w:p>
    <w:p w:rsidR="004408FE" w:rsidRDefault="004408FE">
      <w:pPr>
        <w:rPr>
          <w:rFonts w:ascii="彩虹粗仿宋" w:eastAsia="彩虹粗仿宋"/>
          <w:sz w:val="24"/>
        </w:rPr>
      </w:pPr>
    </w:p>
    <w:p w:rsidR="004408FE" w:rsidRDefault="00437179">
      <w:r>
        <w:rPr>
          <w:rFonts w:hint="eastAsia"/>
        </w:rPr>
        <w:t>签订地点：北京</w:t>
      </w:r>
    </w:p>
    <w:p w:rsidR="004408FE" w:rsidRDefault="004408FE"/>
    <w:p w:rsidR="004408FE" w:rsidRDefault="00437179">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4408FE">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BFC" w:rsidRDefault="00241BFC">
      <w:r>
        <w:separator/>
      </w:r>
    </w:p>
  </w:endnote>
  <w:endnote w:type="continuationSeparator" w:id="0">
    <w:p w:rsidR="00241BFC" w:rsidRDefault="0024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roman"/>
    <w:pitch w:val="default"/>
    <w:sig w:usb0="00000000" w:usb1="0000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彩虹粗仿宋">
    <w:altName w:val="方正仿宋_GBK"/>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BFC" w:rsidRDefault="00241BFC">
      <w:r>
        <w:separator/>
      </w:r>
    </w:p>
  </w:footnote>
  <w:footnote w:type="continuationSeparator" w:id="0">
    <w:p w:rsidR="00241BFC" w:rsidRDefault="00241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8FE" w:rsidRDefault="00437179">
    <w:pPr>
      <w:pStyle w:val="ae"/>
      <w:jc w:val="right"/>
    </w:pPr>
    <w:r>
      <w:rPr>
        <w:rFonts w:hint="eastAsia"/>
        <w:noProof/>
      </w:rPr>
      <w:drawing>
        <wp:anchor distT="0" distB="0" distL="114300" distR="114300" simplePos="0" relativeHeight="251659264" behindDoc="0" locked="0" layoutInCell="1" allowOverlap="1">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a:xfrm>
                    <a:off x="0" y="0"/>
                    <a:ext cx="1714500" cy="247650"/>
                  </a:xfrm>
                  <a:prstGeom prst="rect">
                    <a:avLst/>
                  </a:prstGeom>
                  <a:noFill/>
                  <a:ln>
                    <a:noFill/>
                  </a:ln>
                </pic:spPr>
              </pic:pic>
            </a:graphicData>
          </a:graphic>
        </wp:anchor>
      </w:drawing>
    </w:r>
    <w:r>
      <w:rPr>
        <w:rFonts w:hint="eastAsia"/>
      </w:rPr>
      <w:t>交银</w:t>
    </w:r>
    <w:proofErr w:type="gramStart"/>
    <w:r>
      <w:t>施罗德</w:t>
    </w:r>
    <w:r>
      <w:rPr>
        <w:rFonts w:hint="eastAsia"/>
      </w:rPr>
      <w:t>瑞卓三年</w:t>
    </w:r>
    <w:proofErr w:type="gramEnd"/>
    <w:r>
      <w:rPr>
        <w:rFonts w:hint="eastAsia"/>
      </w:rPr>
      <w:t>持有期</w:t>
    </w:r>
    <w:r>
      <w:t>混合型证券投资基金</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8FE" w:rsidRDefault="004408FE">
    <w:pPr>
      <w:pStyle w:val="a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A03"/>
    <w:rsid w:val="000076BA"/>
    <w:rsid w:val="0002708A"/>
    <w:rsid w:val="00036E6C"/>
    <w:rsid w:val="000451AA"/>
    <w:rsid w:val="000464DB"/>
    <w:rsid w:val="0005262A"/>
    <w:rsid w:val="0006099E"/>
    <w:rsid w:val="000701A7"/>
    <w:rsid w:val="00071F96"/>
    <w:rsid w:val="0007422F"/>
    <w:rsid w:val="00076EDE"/>
    <w:rsid w:val="00097535"/>
    <w:rsid w:val="000A3AC8"/>
    <w:rsid w:val="000B0F3F"/>
    <w:rsid w:val="000B3CA9"/>
    <w:rsid w:val="000B68B2"/>
    <w:rsid w:val="000C297B"/>
    <w:rsid w:val="000C6593"/>
    <w:rsid w:val="000C7EBD"/>
    <w:rsid w:val="000F6AB7"/>
    <w:rsid w:val="0010049A"/>
    <w:rsid w:val="00103652"/>
    <w:rsid w:val="00126B23"/>
    <w:rsid w:val="00144253"/>
    <w:rsid w:val="00144D6D"/>
    <w:rsid w:val="001664ED"/>
    <w:rsid w:val="00182EE9"/>
    <w:rsid w:val="0018762A"/>
    <w:rsid w:val="00191972"/>
    <w:rsid w:val="00194895"/>
    <w:rsid w:val="001A21CE"/>
    <w:rsid w:val="001A2681"/>
    <w:rsid w:val="001B0987"/>
    <w:rsid w:val="001B57BD"/>
    <w:rsid w:val="001C0465"/>
    <w:rsid w:val="001C2257"/>
    <w:rsid w:val="001C6978"/>
    <w:rsid w:val="001D5594"/>
    <w:rsid w:val="001E5623"/>
    <w:rsid w:val="001E7A03"/>
    <w:rsid w:val="001F2A75"/>
    <w:rsid w:val="001F682A"/>
    <w:rsid w:val="002107D9"/>
    <w:rsid w:val="00213061"/>
    <w:rsid w:val="00220F22"/>
    <w:rsid w:val="00226D43"/>
    <w:rsid w:val="00231040"/>
    <w:rsid w:val="002310E9"/>
    <w:rsid w:val="00232E70"/>
    <w:rsid w:val="00235357"/>
    <w:rsid w:val="00240E3D"/>
    <w:rsid w:val="00241BFC"/>
    <w:rsid w:val="00251CA8"/>
    <w:rsid w:val="002569ED"/>
    <w:rsid w:val="00271864"/>
    <w:rsid w:val="00277CD9"/>
    <w:rsid w:val="002826A7"/>
    <w:rsid w:val="002905CF"/>
    <w:rsid w:val="00296AFE"/>
    <w:rsid w:val="002A1BE9"/>
    <w:rsid w:val="002B3B24"/>
    <w:rsid w:val="002C127D"/>
    <w:rsid w:val="002D1D54"/>
    <w:rsid w:val="002F094F"/>
    <w:rsid w:val="002F2931"/>
    <w:rsid w:val="002F3DE1"/>
    <w:rsid w:val="003007B6"/>
    <w:rsid w:val="00304D20"/>
    <w:rsid w:val="00305A55"/>
    <w:rsid w:val="00306741"/>
    <w:rsid w:val="00312783"/>
    <w:rsid w:val="00326339"/>
    <w:rsid w:val="003551D1"/>
    <w:rsid w:val="00364095"/>
    <w:rsid w:val="00364A25"/>
    <w:rsid w:val="0037231D"/>
    <w:rsid w:val="003726BE"/>
    <w:rsid w:val="00385012"/>
    <w:rsid w:val="00391DC8"/>
    <w:rsid w:val="003A1B40"/>
    <w:rsid w:val="003A6DF6"/>
    <w:rsid w:val="003D0EEA"/>
    <w:rsid w:val="003D583E"/>
    <w:rsid w:val="003E31DC"/>
    <w:rsid w:val="003E4611"/>
    <w:rsid w:val="003E71A8"/>
    <w:rsid w:val="00402FE3"/>
    <w:rsid w:val="004211E7"/>
    <w:rsid w:val="0042215B"/>
    <w:rsid w:val="0042280C"/>
    <w:rsid w:val="00424A4B"/>
    <w:rsid w:val="00424D8C"/>
    <w:rsid w:val="00424DBA"/>
    <w:rsid w:val="00434A73"/>
    <w:rsid w:val="00437179"/>
    <w:rsid w:val="0043775E"/>
    <w:rsid w:val="004408FE"/>
    <w:rsid w:val="00461B52"/>
    <w:rsid w:val="00462395"/>
    <w:rsid w:val="00472897"/>
    <w:rsid w:val="00473263"/>
    <w:rsid w:val="00482D1E"/>
    <w:rsid w:val="004A566A"/>
    <w:rsid w:val="004B0DAF"/>
    <w:rsid w:val="004C742F"/>
    <w:rsid w:val="004E14F3"/>
    <w:rsid w:val="004E6FD0"/>
    <w:rsid w:val="004F5FC3"/>
    <w:rsid w:val="004F7051"/>
    <w:rsid w:val="00530F17"/>
    <w:rsid w:val="00535B4B"/>
    <w:rsid w:val="0056231C"/>
    <w:rsid w:val="005623B2"/>
    <w:rsid w:val="00567488"/>
    <w:rsid w:val="005709CB"/>
    <w:rsid w:val="0058092A"/>
    <w:rsid w:val="005933AC"/>
    <w:rsid w:val="00595B36"/>
    <w:rsid w:val="005A0400"/>
    <w:rsid w:val="005C092F"/>
    <w:rsid w:val="005D004A"/>
    <w:rsid w:val="005F09CB"/>
    <w:rsid w:val="005F2FFD"/>
    <w:rsid w:val="00612D6F"/>
    <w:rsid w:val="00614707"/>
    <w:rsid w:val="0061608D"/>
    <w:rsid w:val="00617149"/>
    <w:rsid w:val="00621866"/>
    <w:rsid w:val="0063715B"/>
    <w:rsid w:val="00653BFA"/>
    <w:rsid w:val="006611F9"/>
    <w:rsid w:val="00670E5B"/>
    <w:rsid w:val="00673462"/>
    <w:rsid w:val="00677EF2"/>
    <w:rsid w:val="00684014"/>
    <w:rsid w:val="00695B55"/>
    <w:rsid w:val="006B0301"/>
    <w:rsid w:val="006B2441"/>
    <w:rsid w:val="006B5C2D"/>
    <w:rsid w:val="006F6389"/>
    <w:rsid w:val="00710C44"/>
    <w:rsid w:val="00723601"/>
    <w:rsid w:val="00737DC5"/>
    <w:rsid w:val="0076725A"/>
    <w:rsid w:val="00780C25"/>
    <w:rsid w:val="00796807"/>
    <w:rsid w:val="007A15B5"/>
    <w:rsid w:val="007C0F90"/>
    <w:rsid w:val="007C5B5E"/>
    <w:rsid w:val="007D0866"/>
    <w:rsid w:val="007F5424"/>
    <w:rsid w:val="00825BD4"/>
    <w:rsid w:val="00833A27"/>
    <w:rsid w:val="008516A6"/>
    <w:rsid w:val="008672D9"/>
    <w:rsid w:val="00883402"/>
    <w:rsid w:val="008B5E56"/>
    <w:rsid w:val="008B7946"/>
    <w:rsid w:val="008E0B35"/>
    <w:rsid w:val="008E1F1F"/>
    <w:rsid w:val="008F0D04"/>
    <w:rsid w:val="008F74EC"/>
    <w:rsid w:val="00900A50"/>
    <w:rsid w:val="009145BF"/>
    <w:rsid w:val="00915A7C"/>
    <w:rsid w:val="00923D50"/>
    <w:rsid w:val="00930190"/>
    <w:rsid w:val="009326C6"/>
    <w:rsid w:val="00940F72"/>
    <w:rsid w:val="009448C9"/>
    <w:rsid w:val="00945E83"/>
    <w:rsid w:val="009522F8"/>
    <w:rsid w:val="00954945"/>
    <w:rsid w:val="0096064F"/>
    <w:rsid w:val="00962C31"/>
    <w:rsid w:val="00963F57"/>
    <w:rsid w:val="00966C65"/>
    <w:rsid w:val="00977C44"/>
    <w:rsid w:val="009A4EAE"/>
    <w:rsid w:val="009B3CCF"/>
    <w:rsid w:val="009D79D3"/>
    <w:rsid w:val="009E3187"/>
    <w:rsid w:val="009E691F"/>
    <w:rsid w:val="009E7DA5"/>
    <w:rsid w:val="009F5D6F"/>
    <w:rsid w:val="00A05112"/>
    <w:rsid w:val="00A247C8"/>
    <w:rsid w:val="00A64FA1"/>
    <w:rsid w:val="00A70203"/>
    <w:rsid w:val="00A74EFA"/>
    <w:rsid w:val="00A8077D"/>
    <w:rsid w:val="00A80B44"/>
    <w:rsid w:val="00A83CE9"/>
    <w:rsid w:val="00AB4E7B"/>
    <w:rsid w:val="00AE1EFF"/>
    <w:rsid w:val="00AE3D74"/>
    <w:rsid w:val="00AF08AD"/>
    <w:rsid w:val="00AF224B"/>
    <w:rsid w:val="00AF2283"/>
    <w:rsid w:val="00B13134"/>
    <w:rsid w:val="00B14218"/>
    <w:rsid w:val="00B16CA6"/>
    <w:rsid w:val="00B36E22"/>
    <w:rsid w:val="00B37D6C"/>
    <w:rsid w:val="00B457B9"/>
    <w:rsid w:val="00B53C60"/>
    <w:rsid w:val="00B55924"/>
    <w:rsid w:val="00B6437B"/>
    <w:rsid w:val="00B86E94"/>
    <w:rsid w:val="00B90D0D"/>
    <w:rsid w:val="00BD4BFA"/>
    <w:rsid w:val="00BF7465"/>
    <w:rsid w:val="00C00D47"/>
    <w:rsid w:val="00C233B5"/>
    <w:rsid w:val="00C37790"/>
    <w:rsid w:val="00C507D7"/>
    <w:rsid w:val="00C51361"/>
    <w:rsid w:val="00C71239"/>
    <w:rsid w:val="00C71B46"/>
    <w:rsid w:val="00C955C5"/>
    <w:rsid w:val="00C962EB"/>
    <w:rsid w:val="00CA7822"/>
    <w:rsid w:val="00CC53EA"/>
    <w:rsid w:val="00CE67A2"/>
    <w:rsid w:val="00CF3BBC"/>
    <w:rsid w:val="00CF41DE"/>
    <w:rsid w:val="00CF7823"/>
    <w:rsid w:val="00D00878"/>
    <w:rsid w:val="00D12C1B"/>
    <w:rsid w:val="00D228C7"/>
    <w:rsid w:val="00D23A4A"/>
    <w:rsid w:val="00D247DE"/>
    <w:rsid w:val="00D24CDF"/>
    <w:rsid w:val="00D33D96"/>
    <w:rsid w:val="00D36093"/>
    <w:rsid w:val="00D47703"/>
    <w:rsid w:val="00D50634"/>
    <w:rsid w:val="00D64ADB"/>
    <w:rsid w:val="00D67B20"/>
    <w:rsid w:val="00D93E41"/>
    <w:rsid w:val="00DB2260"/>
    <w:rsid w:val="00DB6C4E"/>
    <w:rsid w:val="00DB7496"/>
    <w:rsid w:val="00DC469F"/>
    <w:rsid w:val="00DE13C8"/>
    <w:rsid w:val="00DF2047"/>
    <w:rsid w:val="00DF3C08"/>
    <w:rsid w:val="00E100AB"/>
    <w:rsid w:val="00E24DD0"/>
    <w:rsid w:val="00E42C2C"/>
    <w:rsid w:val="00E43A23"/>
    <w:rsid w:val="00E44AA9"/>
    <w:rsid w:val="00E46BB4"/>
    <w:rsid w:val="00E46CAF"/>
    <w:rsid w:val="00E529B7"/>
    <w:rsid w:val="00E60B76"/>
    <w:rsid w:val="00E62B95"/>
    <w:rsid w:val="00E644F3"/>
    <w:rsid w:val="00E975C2"/>
    <w:rsid w:val="00EA031A"/>
    <w:rsid w:val="00EB13C7"/>
    <w:rsid w:val="00EB29A4"/>
    <w:rsid w:val="00EB7D85"/>
    <w:rsid w:val="00EC20B2"/>
    <w:rsid w:val="00EC2D72"/>
    <w:rsid w:val="00EC4E1C"/>
    <w:rsid w:val="00EC51F9"/>
    <w:rsid w:val="00EC66A1"/>
    <w:rsid w:val="00ED6D65"/>
    <w:rsid w:val="00EE7A06"/>
    <w:rsid w:val="00EF21C8"/>
    <w:rsid w:val="00EF56EB"/>
    <w:rsid w:val="00EF67D7"/>
    <w:rsid w:val="00F16794"/>
    <w:rsid w:val="00F2031C"/>
    <w:rsid w:val="00F21143"/>
    <w:rsid w:val="00F45A3A"/>
    <w:rsid w:val="00F66409"/>
    <w:rsid w:val="00F700E4"/>
    <w:rsid w:val="00F71EB1"/>
    <w:rsid w:val="00F75E96"/>
    <w:rsid w:val="00F82333"/>
    <w:rsid w:val="00FA436C"/>
    <w:rsid w:val="00FD58E5"/>
    <w:rsid w:val="00FD613B"/>
    <w:rsid w:val="00FD71B5"/>
    <w:rsid w:val="00FF0D63"/>
    <w:rsid w:val="00FF40A9"/>
    <w:rsid w:val="00FF6EE0"/>
    <w:rsid w:val="383B7079"/>
    <w:rsid w:val="3A574E83"/>
    <w:rsid w:val="45B4233A"/>
    <w:rsid w:val="46A2402E"/>
    <w:rsid w:val="784577B9"/>
    <w:rsid w:val="7931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05B8"/>
  <w15:docId w15:val="{63730F64-4982-4E03-82E3-DC6498FF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lsdException w:name="toc 8" w:semiHidden="1" w:uiPriority="0" w:qFormat="1"/>
    <w:lsdException w:name="toc 9" w:semiHidden="1" w:uiPriority="0" w:qFormat="1"/>
    <w:lsdException w:name="Normal Indent" w:uiPriority="0"/>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pPr>
      <w:ind w:leftChars="1200" w:left="2520"/>
    </w:pPr>
  </w:style>
  <w:style w:type="paragraph" w:styleId="a4">
    <w:name w:val="annotation text"/>
    <w:basedOn w:val="a"/>
    <w:link w:val="a5"/>
    <w:qFormat/>
    <w:pPr>
      <w:jc w:val="left"/>
    </w:pPr>
  </w:style>
  <w:style w:type="paragraph" w:styleId="a6">
    <w:name w:val="Body Text"/>
    <w:basedOn w:val="a"/>
    <w:link w:val="a7"/>
    <w:qFormat/>
    <w:pPr>
      <w:spacing w:line="360" w:lineRule="auto"/>
    </w:pPr>
    <w:rPr>
      <w:rFonts w:ascii="仿宋_GB2312" w:eastAsia="仿宋_GB2312"/>
      <w:color w:val="000000"/>
      <w:kern w:val="0"/>
      <w:sz w:val="24"/>
      <w:szCs w:val="28"/>
    </w:rPr>
  </w:style>
  <w:style w:type="paragraph" w:styleId="a8">
    <w:name w:val="Body Text Indent"/>
    <w:basedOn w:val="a"/>
    <w:link w:val="a9"/>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a">
    <w:name w:val="Balloon Text"/>
    <w:basedOn w:val="a"/>
    <w:link w:val="ab"/>
    <w:semiHidden/>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1">
    <w:name w:val="annotation subject"/>
    <w:basedOn w:val="a4"/>
    <w:next w:val="a4"/>
    <w:link w:val="af2"/>
    <w:qFormat/>
    <w:rPr>
      <w:b/>
      <w:bCs/>
    </w:rPr>
  </w:style>
  <w:style w:type="character" w:styleId="af3">
    <w:name w:val="Strong"/>
    <w:qFormat/>
    <w:rPr>
      <w:b/>
      <w:bCs/>
    </w:rPr>
  </w:style>
  <w:style w:type="character" w:styleId="af4">
    <w:name w:val="page number"/>
    <w:basedOn w:val="a1"/>
    <w:qFormat/>
  </w:style>
  <w:style w:type="character" w:styleId="af5">
    <w:name w:val="FollowedHyperlink"/>
    <w:basedOn w:val="a1"/>
    <w:uiPriority w:val="99"/>
    <w:semiHidden/>
    <w:unhideWhenUsed/>
    <w:qFormat/>
    <w:rPr>
      <w:color w:val="954F72" w:themeColor="followedHyperlink"/>
      <w:u w:val="single"/>
    </w:rPr>
  </w:style>
  <w:style w:type="character" w:styleId="af6">
    <w:name w:val="Hyperlink"/>
    <w:qFormat/>
    <w:rPr>
      <w:color w:val="0000FF"/>
      <w:u w:val="single"/>
    </w:rPr>
  </w:style>
  <w:style w:type="character" w:styleId="af7">
    <w:name w:val="annotation reference"/>
    <w:qFormat/>
    <w:rPr>
      <w:sz w:val="21"/>
      <w:szCs w:val="21"/>
    </w:rPr>
  </w:style>
  <w:style w:type="character" w:customStyle="1" w:styleId="20">
    <w:name w:val="标题 2 字符"/>
    <w:basedOn w:val="a1"/>
    <w:link w:val="2"/>
    <w:qFormat/>
    <w:rPr>
      <w:rFonts w:ascii="Arial" w:eastAsia="黑体" w:hAnsi="Arial" w:cs="Times New Roman"/>
      <w:b/>
      <w:sz w:val="32"/>
      <w:szCs w:val="20"/>
    </w:rPr>
  </w:style>
  <w:style w:type="character" w:customStyle="1" w:styleId="af">
    <w:name w:val="页眉 字符"/>
    <w:basedOn w:val="a1"/>
    <w:link w:val="ae"/>
    <w:qFormat/>
    <w:rPr>
      <w:rFonts w:ascii="Times New Roman" w:eastAsia="宋体" w:hAnsi="Times New Roman" w:cs="Times New Roman"/>
      <w:sz w:val="18"/>
      <w:szCs w:val="18"/>
    </w:rPr>
  </w:style>
  <w:style w:type="character" w:customStyle="1" w:styleId="ad">
    <w:name w:val="页脚 字符"/>
    <w:basedOn w:val="a1"/>
    <w:link w:val="ac"/>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7">
    <w:name w:val="正文文本 字符"/>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a9">
    <w:name w:val="正文文本缩进 字符"/>
    <w:basedOn w:val="a1"/>
    <w:link w:val="a8"/>
    <w:qFormat/>
    <w:rPr>
      <w:rFonts w:ascii="Times New Roman" w:eastAsia="方正仿宋简体" w:hAnsi="Times New Roman" w:cs="Times New Roman"/>
      <w:sz w:val="24"/>
      <w:szCs w:val="30"/>
    </w:rPr>
  </w:style>
  <w:style w:type="character" w:customStyle="1" w:styleId="22">
    <w:name w:val="正文文本缩进 2 字符"/>
    <w:basedOn w:val="a1"/>
    <w:link w:val="21"/>
    <w:qFormat/>
    <w:rPr>
      <w:rFonts w:ascii="宋体" w:eastAsia="宋体" w:hAnsi="宋体" w:cs="Times New Roman"/>
      <w:sz w:val="28"/>
      <w:szCs w:val="20"/>
    </w:rPr>
  </w:style>
  <w:style w:type="character" w:customStyle="1" w:styleId="31">
    <w:name w:val="正文文本缩进 3 字符"/>
    <w:basedOn w:val="a1"/>
    <w:link w:val="30"/>
    <w:qFormat/>
    <w:rPr>
      <w:rFonts w:ascii="仿宋_GB2312" w:eastAsia="仿宋_GB2312" w:hAnsi="宋体" w:cs="Arial"/>
      <w:color w:val="000000"/>
      <w:sz w:val="24"/>
      <w:szCs w:val="24"/>
    </w:rPr>
  </w:style>
  <w:style w:type="character" w:customStyle="1" w:styleId="ab">
    <w:name w:val="批注框文本 字符"/>
    <w:basedOn w:val="a1"/>
    <w:link w:val="aa"/>
    <w:semiHidden/>
    <w:qFormat/>
    <w:rPr>
      <w:rFonts w:ascii="Times New Roman" w:eastAsia="宋体" w:hAnsi="Times New Roman" w:cs="Times New Roman"/>
      <w:sz w:val="18"/>
      <w:szCs w:val="18"/>
    </w:rPr>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a5">
    <w:name w:val="批注文字 字符"/>
    <w:basedOn w:val="a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0">
    <w:name w:val="HTML 预设格式 字符"/>
    <w:basedOn w:val="a1"/>
    <w:link w:val="HTML"/>
    <w:uiPriority w:val="99"/>
    <w:qFormat/>
    <w:rPr>
      <w:rFonts w:ascii="宋体" w:eastAsia="宋体" w:hAnsi="宋体" w:cs="宋体"/>
      <w:kern w:val="0"/>
      <w:sz w:val="24"/>
      <w:szCs w:val="24"/>
    </w:rPr>
  </w:style>
  <w:style w:type="character" w:customStyle="1" w:styleId="af2">
    <w:name w:val="批注主题 字符"/>
    <w:basedOn w:val="a5"/>
    <w:link w:val="af1"/>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customStyle="1" w:styleId="24">
    <w:name w:val="修订2"/>
    <w:hidden/>
    <w:uiPriority w:val="99"/>
    <w:semiHidden/>
    <w:qFormat/>
    <w:rPr>
      <w:rFonts w:ascii="Times New Roman" w:eastAsia="宋体" w:hAnsi="Times New Roman" w:cs="Times New Roman"/>
      <w:kern w:val="2"/>
      <w:sz w:val="21"/>
      <w:szCs w:val="24"/>
    </w:rPr>
  </w:style>
  <w:style w:type="paragraph" w:styleId="af8">
    <w:name w:val="Date"/>
    <w:basedOn w:val="a"/>
    <w:next w:val="a"/>
    <w:link w:val="af9"/>
    <w:uiPriority w:val="99"/>
    <w:semiHidden/>
    <w:unhideWhenUsed/>
    <w:rsid w:val="00B13134"/>
    <w:pPr>
      <w:ind w:leftChars="2500" w:left="100"/>
    </w:pPr>
  </w:style>
  <w:style w:type="character" w:customStyle="1" w:styleId="af9">
    <w:name w:val="日期 字符"/>
    <w:basedOn w:val="a1"/>
    <w:link w:val="af8"/>
    <w:uiPriority w:val="99"/>
    <w:semiHidden/>
    <w:rsid w:val="00B1313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EF596-6C7A-4CA4-980A-FF1D29F3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34</Pages>
  <Words>4853</Words>
  <Characters>27666</Characters>
  <Application>Microsoft Office Word</Application>
  <DocSecurity>0</DocSecurity>
  <Lines>230</Lines>
  <Paragraphs>64</Paragraphs>
  <ScaleCrop>false</ScaleCrop>
  <Company>Microsoft</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许帆</cp:lastModifiedBy>
  <cp:revision>104</cp:revision>
  <cp:lastPrinted>2019-09-19T08:32:00Z</cp:lastPrinted>
  <dcterms:created xsi:type="dcterms:W3CDTF">2019-07-31T05:23:00Z</dcterms:created>
  <dcterms:modified xsi:type="dcterms:W3CDTF">2023-07-07T10:01:00Z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