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before="0" w:after="0"/>
        <w:jc w:val="center"/>
        <w:rPr>
          <w:rFonts w:asciiTheme="minorEastAsia" w:hAnsiTheme="minorEastAsia" w:eastAsiaTheme="minorEastAsia"/>
          <w:color w:val="auto"/>
          <w:sz w:val="30"/>
        </w:rPr>
      </w:pPr>
      <w:bookmarkStart w:id="0" w:name="_Toc20098"/>
      <w:bookmarkStart w:id="1" w:name="_Toc5108"/>
      <w:bookmarkStart w:id="2" w:name="_Toc233456272"/>
      <w:bookmarkStart w:id="3" w:name="_Toc393284155"/>
      <w:bookmarkStart w:id="4" w:name="_Toc9054"/>
      <w:bookmarkStart w:id="5" w:name="_Toc17263"/>
      <w:bookmarkStart w:id="6" w:name="_Toc12499"/>
      <w:bookmarkStart w:id="7" w:name="_Toc1360"/>
      <w:bookmarkStart w:id="8" w:name="_Toc7437"/>
      <w:bookmarkStart w:id="9" w:name="_Toc366654940"/>
      <w:bookmarkStart w:id="10" w:name="_Toc21122"/>
      <w:bookmarkStart w:id="11" w:name="_Toc15664"/>
      <w:bookmarkStart w:id="12" w:name="_Toc395532111"/>
      <w:bookmarkStart w:id="13" w:name="_Toc462410111"/>
      <w:bookmarkStart w:id="14" w:name="_Toc32355"/>
      <w:bookmarkStart w:id="15" w:name="_Toc258829400"/>
      <w:bookmarkStart w:id="16" w:name="_Toc141703905"/>
      <w:r>
        <w:rPr>
          <w:rFonts w:hint="eastAsia" w:asciiTheme="minorEastAsia" w:hAnsiTheme="minorEastAsia" w:eastAsiaTheme="minorEastAsia"/>
          <w:color w:val="auto"/>
          <w:sz w:val="30"/>
        </w:rPr>
        <w:t>交银施罗德鸿信一年持有期混合型证券投资基金基金合同</w:t>
      </w:r>
      <w:r>
        <w:rPr>
          <w:rFonts w:asciiTheme="minorEastAsia" w:hAnsiTheme="minorEastAsia" w:eastAsia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spacing w:line="360" w:lineRule="auto"/>
        <w:ind w:firstLine="420" w:firstLineChars="200"/>
        <w:rPr>
          <w:rFonts w:asciiTheme="minorEastAsia" w:hAnsiTheme="minorEastAsia" w:eastAsiaTheme="minorEastAsia"/>
        </w:rPr>
      </w:pPr>
    </w:p>
    <w:p>
      <w:pPr>
        <w:spacing w:line="360" w:lineRule="auto"/>
        <w:ind w:firstLine="482" w:firstLineChars="200"/>
        <w:outlineLvl w:val="1"/>
        <w:rPr>
          <w:b/>
          <w:bCs/>
          <w:sz w:val="24"/>
        </w:rPr>
      </w:pPr>
      <w:r>
        <w:rPr>
          <w:b/>
          <w:bCs/>
          <w:sz w:val="24"/>
        </w:rPr>
        <w:t>一、基金管理人、基金托管人和基金份额持有人的权利、义务</w:t>
      </w:r>
    </w:p>
    <w:p>
      <w:pPr>
        <w:spacing w:line="360" w:lineRule="auto"/>
        <w:ind w:firstLine="480" w:firstLineChars="200"/>
        <w:outlineLvl w:val="2"/>
        <w:rPr>
          <w:bCs/>
          <w:sz w:val="24"/>
        </w:rPr>
      </w:pPr>
      <w:r>
        <w:rPr>
          <w:rFonts w:hAnsi="宋体"/>
          <w:bCs/>
          <w:sz w:val="24"/>
        </w:rPr>
        <w:t>（一）基金管理人的权利</w:t>
      </w:r>
    </w:p>
    <w:p>
      <w:pPr>
        <w:spacing w:line="360" w:lineRule="auto"/>
        <w:ind w:firstLine="480" w:firstLineChars="200"/>
        <w:rPr>
          <w:rFonts w:hAnsi="宋体"/>
          <w:bCs/>
          <w:sz w:val="24"/>
        </w:rPr>
      </w:pPr>
      <w:r>
        <w:rPr>
          <w:rFonts w:hint="eastAsia" w:hAnsi="宋体"/>
          <w:bCs/>
          <w:sz w:val="24"/>
        </w:rPr>
        <w:t>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w:t>
      </w:r>
      <w:r>
        <w:rPr>
          <w:bCs/>
          <w:sz w:val="24"/>
        </w:rPr>
        <w:t>金；</w:t>
      </w:r>
    </w:p>
    <w:p>
      <w:pPr>
        <w:spacing w:line="360" w:lineRule="auto"/>
        <w:ind w:firstLine="480" w:firstLineChars="200"/>
        <w:rPr>
          <w:bCs/>
          <w:sz w:val="24"/>
        </w:rPr>
      </w:pPr>
      <w:r>
        <w:rPr>
          <w:bCs/>
          <w:sz w:val="24"/>
        </w:rPr>
        <w:t>（2）自《基金合同》生效之日起，根据法律法规和《基金合同》独立运用并管理基金财产；</w:t>
      </w:r>
      <w:bookmarkStart w:id="17" w:name="_GoBack"/>
      <w:bookmarkEnd w:id="17"/>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（8）选择、更换基金销售机构，对基金销售机构的相关行为进行监督和处理；</w:t>
      </w:r>
    </w:p>
    <w:p>
      <w:pPr>
        <w:spacing w:line="440" w:lineRule="atLeast"/>
        <w:ind w:firstLine="480" w:firstLineChars="200"/>
        <w:rPr>
          <w:bCs/>
          <w:sz w:val="24"/>
        </w:rPr>
      </w:pPr>
      <w:r>
        <w:rPr>
          <w:bCs/>
          <w:sz w:val="24"/>
        </w:rPr>
        <w:t>（9）担任或委托其他符合条件的机构担任基金登记机构办理基金登记业务并获得《基金合同》规定的费用；</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（11）在《基金合同》约定的范围内，拒绝或暂停受理申购与赎回申请；</w:t>
      </w:r>
    </w:p>
    <w:p>
      <w:pPr>
        <w:spacing w:line="440" w:lineRule="atLeast"/>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spacing w:line="440" w:lineRule="atLeast"/>
        <w:ind w:firstLine="480" w:firstLineChars="200"/>
        <w:rPr>
          <w:bCs/>
          <w:sz w:val="24"/>
        </w:rPr>
      </w:pPr>
      <w:r>
        <w:rPr>
          <w:bCs/>
          <w:sz w:val="24"/>
        </w:rPr>
        <w:t>（13）在法律法规允许的前提下，为基金的利益依法为基金进行融资；</w:t>
      </w:r>
    </w:p>
    <w:p>
      <w:pPr>
        <w:spacing w:line="440" w:lineRule="atLeast"/>
        <w:ind w:firstLine="480" w:firstLineChars="200"/>
        <w:rPr>
          <w:bCs/>
          <w:sz w:val="24"/>
        </w:rPr>
      </w:pPr>
      <w:r>
        <w:rPr>
          <w:bCs/>
          <w:sz w:val="24"/>
        </w:rPr>
        <w:t>（14）以基金管理人的名义，代表基金份额持有人的利益行使诉讼权利或者实施其他法律行为；</w:t>
      </w:r>
    </w:p>
    <w:p>
      <w:pPr>
        <w:spacing w:line="440" w:lineRule="atLeast"/>
        <w:ind w:firstLine="480" w:firstLineChars="200"/>
        <w:rPr>
          <w:bCs/>
          <w:sz w:val="24"/>
        </w:rPr>
      </w:pPr>
      <w:r>
        <w:rPr>
          <w:bCs/>
          <w:sz w:val="24"/>
        </w:rPr>
        <w:t>（15）选择、更换律师事务所、会计师事务所、证券经纪商</w:t>
      </w:r>
      <w:r>
        <w:rPr>
          <w:rFonts w:hint="eastAsia"/>
          <w:bCs/>
          <w:sz w:val="24"/>
        </w:rPr>
        <w:t>、期货经纪机构</w:t>
      </w:r>
      <w:r>
        <w:rPr>
          <w:bCs/>
          <w:sz w:val="24"/>
        </w:rPr>
        <w:t>或其他为基金提供服务的外部机构；</w:t>
      </w:r>
    </w:p>
    <w:p>
      <w:pPr>
        <w:spacing w:line="440" w:lineRule="atLeast"/>
        <w:ind w:firstLine="480" w:firstLineChars="200"/>
        <w:rPr>
          <w:bCs/>
          <w:sz w:val="24"/>
        </w:rPr>
      </w:pPr>
      <w:r>
        <w:rPr>
          <w:bCs/>
          <w:sz w:val="24"/>
        </w:rPr>
        <w:t>（16）在符合有关法律、法规的前提下，制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pPr>
        <w:spacing w:line="440" w:lineRule="atLeast"/>
        <w:ind w:firstLine="480" w:firstLineChars="200"/>
        <w:rPr>
          <w:bCs/>
          <w:sz w:val="24"/>
        </w:rPr>
      </w:pPr>
      <w:r>
        <w:rPr>
          <w:bCs/>
          <w:sz w:val="24"/>
        </w:rPr>
        <w:t>（17）法律法规及中国证监会规定的和《基金合同》约定的其他权利。</w:t>
      </w:r>
    </w:p>
    <w:p>
      <w:pPr>
        <w:spacing w:line="440" w:lineRule="atLeast"/>
        <w:ind w:firstLine="480" w:firstLineChars="200"/>
        <w:outlineLvl w:val="2"/>
        <w:rPr>
          <w:bCs/>
          <w:sz w:val="24"/>
        </w:rPr>
      </w:pPr>
      <w:r>
        <w:rPr>
          <w:bCs/>
          <w:sz w:val="24"/>
        </w:rPr>
        <w:t>（二）基金管理人的义务</w:t>
      </w:r>
    </w:p>
    <w:p>
      <w:pPr>
        <w:spacing w:line="440" w:lineRule="atLeast"/>
        <w:ind w:firstLine="480" w:firstLineChars="200"/>
        <w:rPr>
          <w:bCs/>
          <w:sz w:val="24"/>
        </w:rPr>
      </w:pPr>
      <w:r>
        <w:rPr>
          <w:bCs/>
          <w:sz w:val="24"/>
        </w:rPr>
        <w:t>根据《基金法》、《运作办法》及其他有关规定，基金管理人的义务包括但不限于：</w:t>
      </w:r>
    </w:p>
    <w:p>
      <w:pPr>
        <w:spacing w:line="440" w:lineRule="atLeast"/>
        <w:ind w:firstLine="480" w:firstLineChars="200"/>
        <w:rPr>
          <w:bCs/>
          <w:sz w:val="24"/>
        </w:rPr>
      </w:pPr>
      <w:r>
        <w:rPr>
          <w:bCs/>
          <w:sz w:val="24"/>
        </w:rPr>
        <w:t>（1）依法募集</w:t>
      </w:r>
      <w:r>
        <w:rPr>
          <w:rFonts w:hint="eastAsia"/>
          <w:bCs/>
          <w:sz w:val="24"/>
        </w:rPr>
        <w:t>资</w:t>
      </w:r>
      <w:r>
        <w:rPr>
          <w:bCs/>
          <w:sz w:val="24"/>
        </w:rPr>
        <w:t>金，办理或者委托经中国证监会认定的其他机构办理基金份额的发售、申购、赎回和登记事宜；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（8）采取适当合理的措施使计算基金份额认购、申购、赎回和注销价格的方法符合《基金合同》等法律文件的规定，按有关规定计算并公告基金</w:t>
      </w:r>
      <w:r>
        <w:rPr>
          <w:rFonts w:hint="eastAsia"/>
          <w:bCs/>
          <w:sz w:val="24"/>
        </w:rPr>
        <w:t>净值信息</w:t>
      </w:r>
      <w:r>
        <w:rPr>
          <w:bCs/>
          <w:sz w:val="24"/>
        </w:rPr>
        <w:t>，确定基金份额申购、赎回的价格；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w:t>
      </w:r>
      <w:r>
        <w:rPr>
          <w:rFonts w:hint="eastAsia"/>
          <w:bCs/>
          <w:sz w:val="24"/>
        </w:rPr>
        <w:t>报告</w:t>
      </w:r>
      <w:r>
        <w:rPr>
          <w:bCs/>
          <w:sz w:val="24"/>
        </w:rPr>
        <w:t>、</w:t>
      </w:r>
      <w:r>
        <w:rPr>
          <w:rFonts w:hint="eastAsia"/>
          <w:bCs/>
          <w:sz w:val="24"/>
        </w:rPr>
        <w:t>中期报告</w:t>
      </w:r>
      <w:r>
        <w:rPr>
          <w:bCs/>
          <w:sz w:val="24"/>
        </w:rPr>
        <w:t>和年度报告；</w:t>
      </w:r>
    </w:p>
    <w:p>
      <w:pPr>
        <w:spacing w:line="360" w:lineRule="auto"/>
        <w:ind w:firstLine="480" w:firstLineChars="200"/>
        <w:rPr>
          <w:bCs/>
          <w:sz w:val="24"/>
        </w:rPr>
      </w:pPr>
      <w:r>
        <w:rPr>
          <w:bCs/>
          <w:sz w:val="24"/>
        </w:rPr>
        <w:t>（11）严格按照《基金法》、《基金合同》及其他有关规定，履行信息披露及报告义务；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不低于法律法规规定的最低期限</w:t>
      </w:r>
      <w:r>
        <w:rPr>
          <w:bCs/>
          <w:sz w:val="24"/>
        </w:rPr>
        <w:t>；</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pPr>
        <w:spacing w:line="360" w:lineRule="auto"/>
        <w:ind w:firstLine="480" w:firstLineChars="200"/>
        <w:rPr>
          <w:bCs/>
          <w:sz w:val="24"/>
        </w:rPr>
      </w:pPr>
      <w:r>
        <w:rPr>
          <w:bCs/>
          <w:sz w:val="24"/>
        </w:rPr>
        <w:t>（24）基金管理人在募集期间未能达到基金的备案条件，《基金合同》不能生效，基金管理人承担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spacing w:line="360" w:lineRule="auto"/>
        <w:ind w:firstLine="480" w:firstLineChars="200"/>
        <w:outlineLvl w:val="2"/>
        <w:rPr>
          <w:bCs/>
          <w:sz w:val="24"/>
        </w:rPr>
      </w:pPr>
      <w:r>
        <w:rPr>
          <w:rFonts w:hAnsi="宋体"/>
          <w:bCs/>
          <w:sz w:val="24"/>
        </w:rPr>
        <w:t>（三）基金托管人的权利</w:t>
      </w:r>
    </w:p>
    <w:p>
      <w:pPr>
        <w:spacing w:line="360" w:lineRule="auto"/>
        <w:ind w:firstLine="480" w:firstLineChars="200"/>
        <w:rPr>
          <w:rFonts w:hAnsi="宋体"/>
          <w:bCs/>
          <w:sz w:val="24"/>
        </w:rPr>
      </w:pPr>
      <w:r>
        <w:rPr>
          <w:rFonts w:hAnsi="宋体"/>
          <w:bCs/>
          <w:sz w:val="24"/>
        </w:rPr>
        <w:t>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账户等投资所需账户、协助开立股指期货业务相关账户及交易编码、</w:t>
      </w:r>
      <w:r>
        <w:rPr>
          <w:bCs/>
          <w:sz w:val="24"/>
        </w:rPr>
        <w:t>为基金办理证券</w:t>
      </w:r>
      <w:r>
        <w:rPr>
          <w:rFonts w:hint="eastAsia"/>
          <w:bCs/>
          <w:sz w:val="24"/>
        </w:rPr>
        <w:t>、期货</w:t>
      </w:r>
      <w:r>
        <w:rPr>
          <w:bCs/>
          <w:sz w:val="24"/>
        </w:rPr>
        <w:t>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outlineLvl w:val="2"/>
        <w:rPr>
          <w:sz w:val="24"/>
        </w:rPr>
      </w:pPr>
      <w:r>
        <w:rPr>
          <w:rFonts w:hAnsi="宋体"/>
          <w:bCs/>
          <w:sz w:val="24"/>
        </w:rPr>
        <w:t>（四）</w:t>
      </w:r>
      <w:r>
        <w:rPr>
          <w:rFonts w:hAnsi="宋体"/>
          <w:sz w:val="24"/>
        </w:rPr>
        <w:t>基金托管人的义务</w:t>
      </w:r>
    </w:p>
    <w:p>
      <w:pPr>
        <w:autoSpaceDE w:val="0"/>
        <w:autoSpaceDN w:val="0"/>
        <w:adjustRightInd w:val="0"/>
        <w:spacing w:line="360" w:lineRule="auto"/>
        <w:ind w:firstLine="480" w:firstLineChars="200"/>
        <w:jc w:val="left"/>
        <w:rPr>
          <w:bCs/>
          <w:sz w:val="24"/>
        </w:rPr>
      </w:pPr>
      <w:r>
        <w:rPr>
          <w:rFonts w:hAnsi="宋体"/>
          <w:bCs/>
          <w:sz w:val="24"/>
        </w:rPr>
        <w:t>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（6）按规定开设基金财产的资金账户和证券账户</w:t>
      </w:r>
      <w:r>
        <w:rPr>
          <w:rFonts w:hint="eastAsia"/>
          <w:bCs/>
          <w:sz w:val="24"/>
        </w:rPr>
        <w:t>等投资所需账户，协助开立股指期货业务相关账户及交易编码，</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p>
    <w:p>
      <w:pPr>
        <w:spacing w:line="360" w:lineRule="auto"/>
        <w:ind w:firstLine="480" w:firstLineChars="200"/>
        <w:rPr>
          <w:bCs/>
          <w:sz w:val="24"/>
        </w:rPr>
      </w:pPr>
      <w:r>
        <w:rPr>
          <w:bCs/>
          <w:sz w:val="24"/>
        </w:rPr>
        <w:t>（8）复核、审查基金管理人计算的基金资产净值、</w:t>
      </w:r>
      <w:r>
        <w:rPr>
          <w:rFonts w:hint="eastAsia"/>
          <w:bCs/>
          <w:sz w:val="24"/>
        </w:rPr>
        <w:t>基金份额净值</w:t>
      </w:r>
      <w:r>
        <w:rPr>
          <w:bCs/>
          <w:sz w:val="24"/>
        </w:rPr>
        <w:t>、</w:t>
      </w:r>
      <w:r>
        <w:rPr>
          <w:rFonts w:hint="eastAsia"/>
          <w:bCs/>
          <w:sz w:val="24"/>
        </w:rPr>
        <w:t>基金份额申购、</w:t>
      </w:r>
      <w:r>
        <w:rPr>
          <w:bCs/>
          <w:sz w:val="24"/>
        </w:rPr>
        <w:t>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bCs/>
          <w:sz w:val="24"/>
        </w:rPr>
        <w:t>不低于法律法规规定的最低期限</w:t>
      </w:r>
      <w:r>
        <w:rPr>
          <w:bCs/>
          <w:sz w:val="24"/>
        </w:rPr>
        <w:t>；</w:t>
      </w:r>
    </w:p>
    <w:p>
      <w:pPr>
        <w:spacing w:line="360" w:lineRule="auto"/>
        <w:ind w:firstLine="480" w:firstLineChars="200"/>
        <w:rPr>
          <w:bCs/>
          <w:sz w:val="24"/>
        </w:rPr>
      </w:pPr>
      <w:r>
        <w:rPr>
          <w:bCs/>
          <w:sz w:val="24"/>
        </w:rPr>
        <w:t>（12）建立并保存基金份额持有人名册；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w:t>
      </w:r>
      <w:r>
        <w:rPr>
          <w:bCs/>
          <w:sz w:val="24"/>
        </w:rPr>
        <w:t>管理人、基金份额持有人依法召集基金份额持有人大会；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w:t>
      </w:r>
      <w:r>
        <w:rPr>
          <w:rFonts w:hint="eastAsia"/>
          <w:bCs/>
          <w:sz w:val="24"/>
        </w:rPr>
        <w:t>业监督管理</w:t>
      </w:r>
      <w:r>
        <w:rPr>
          <w:bCs/>
          <w:sz w:val="24"/>
        </w:rPr>
        <w:t>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p>
    <w:p>
      <w:pPr>
        <w:spacing w:line="360" w:lineRule="auto"/>
        <w:ind w:firstLine="480" w:firstLineChars="200"/>
        <w:rPr>
          <w:bCs/>
          <w:sz w:val="24"/>
        </w:rPr>
      </w:pPr>
      <w:r>
        <w:rPr>
          <w:bCs/>
          <w:sz w:val="24"/>
        </w:rPr>
        <w:t>（21）执行生效的基金份额持有人大会的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（22）法律法规及中国证监会规定的和《基金合同》约定的其他义务。</w:t>
      </w:r>
    </w:p>
    <w:p>
      <w:pPr>
        <w:spacing w:line="360" w:lineRule="auto"/>
        <w:ind w:firstLine="480" w:firstLineChars="200"/>
        <w:outlineLvl w:val="2"/>
        <w:rPr>
          <w:bCs/>
          <w:sz w:val="24"/>
        </w:rPr>
      </w:pPr>
      <w:r>
        <w:rPr>
          <w:bCs/>
          <w:sz w:val="24"/>
        </w:rPr>
        <w:t>（五）基金份额持有人的权利</w:t>
      </w:r>
    </w:p>
    <w:p>
      <w:pPr>
        <w:spacing w:line="360" w:lineRule="auto"/>
        <w:ind w:firstLine="480" w:firstLineChars="20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rFonts w:hint="eastAsia"/>
          <w:bCs/>
          <w:sz w:val="24"/>
        </w:rPr>
        <w:t>同一类别</w:t>
      </w:r>
      <w:r>
        <w:rPr>
          <w:bCs/>
          <w:sz w:val="24"/>
        </w:rPr>
        <w:t>每份基金份额具有同等的合法权益。</w:t>
      </w:r>
    </w:p>
    <w:p>
      <w:pPr>
        <w:autoSpaceDE w:val="0"/>
        <w:autoSpaceDN w:val="0"/>
        <w:adjustRightInd w:val="0"/>
        <w:spacing w:line="360" w:lineRule="auto"/>
        <w:ind w:firstLine="480" w:firstLineChars="200"/>
        <w:jc w:val="left"/>
        <w:rPr>
          <w:bCs/>
          <w:sz w:val="24"/>
          <w:szCs w:val="24"/>
        </w:rPr>
      </w:pPr>
      <w:r>
        <w:rPr>
          <w:rFonts w:hAnsi="宋体"/>
          <w:bCs/>
          <w:sz w:val="24"/>
          <w:szCs w:val="24"/>
        </w:rPr>
        <w:t>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p>
    <w:p>
      <w:pPr>
        <w:spacing w:line="360" w:lineRule="auto"/>
        <w:ind w:firstLine="480" w:firstLineChars="200"/>
        <w:rPr>
          <w:bCs/>
          <w:sz w:val="24"/>
        </w:rPr>
      </w:pPr>
      <w:r>
        <w:rPr>
          <w:bCs/>
          <w:sz w:val="24"/>
        </w:rPr>
        <w:t>（3）依法</w:t>
      </w:r>
      <w:r>
        <w:rPr>
          <w:rFonts w:hint="eastAsia"/>
          <w:bCs/>
          <w:sz w:val="24"/>
        </w:rPr>
        <w:t>并按照基金合同和招募说明书的规定转让或者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（4）按照规定要求召开基金份额持有人大会或者召集基金份额持有人大会；</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outlineLvl w:val="2"/>
        <w:rPr>
          <w:sz w:val="24"/>
          <w:szCs w:val="24"/>
        </w:rPr>
      </w:pPr>
      <w:r>
        <w:rPr>
          <w:rFonts w:hAnsi="宋体"/>
          <w:bCs/>
          <w:sz w:val="24"/>
          <w:szCs w:val="24"/>
        </w:rPr>
        <w:t>（六）</w:t>
      </w:r>
      <w:r>
        <w:rPr>
          <w:rFonts w:hAnsi="宋体"/>
          <w:sz w:val="24"/>
          <w:szCs w:val="24"/>
        </w:rPr>
        <w:t>基金份额持有人的义务</w:t>
      </w:r>
    </w:p>
    <w:p>
      <w:pPr>
        <w:autoSpaceDE w:val="0"/>
        <w:autoSpaceDN w:val="0"/>
        <w:adjustRightInd w:val="0"/>
        <w:spacing w:line="360" w:lineRule="auto"/>
        <w:ind w:firstLine="480" w:firstLineChars="200"/>
        <w:jc w:val="left"/>
        <w:rPr>
          <w:rFonts w:hAnsi="宋体"/>
          <w:bCs/>
          <w:sz w:val="24"/>
          <w:szCs w:val="24"/>
        </w:rPr>
      </w:pPr>
      <w:r>
        <w:rPr>
          <w:rFonts w:hAnsi="宋体"/>
          <w:bCs/>
          <w:sz w:val="24"/>
          <w:szCs w:val="24"/>
        </w:rPr>
        <w:t>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（2）了解所投资基金产品，了解自身风险承受能力，自主判断基金的投资价值，自主做出投资决策，自行承担投资风险；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w:t>
      </w:r>
      <w:r>
        <w:rPr>
          <w:rFonts w:hint="eastAsia"/>
          <w:bCs/>
          <w:sz w:val="24"/>
        </w:rPr>
        <w:t>交纳</w:t>
      </w:r>
      <w:r>
        <w:rPr>
          <w:bCs/>
          <w:sz w:val="24"/>
        </w:rPr>
        <w:t>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rFonts w:hint="eastAsia"/>
          <w:bCs/>
          <w:sz w:val="24"/>
        </w:rPr>
      </w:pPr>
      <w:r>
        <w:rPr>
          <w:rFonts w:hint="eastAsia"/>
          <w:bCs/>
          <w:sz w:val="24"/>
        </w:rPr>
        <w:t>（9）遵守基金管理人、基金托管人、销售机构和登记机构的相关交易及业务规则；</w:t>
      </w:r>
    </w:p>
    <w:p>
      <w:pPr>
        <w:spacing w:line="360" w:lineRule="auto"/>
        <w:ind w:firstLine="480" w:firstLineChars="200"/>
        <w:rPr>
          <w:rFonts w:hint="eastAsia"/>
          <w:bCs/>
          <w:sz w:val="24"/>
        </w:rPr>
      </w:pPr>
      <w:r>
        <w:rPr>
          <w:rFonts w:hint="eastAsia"/>
          <w:bCs/>
          <w:sz w:val="24"/>
        </w:rPr>
        <w:t>（10）提供基金管理人和监管机构依法要求提供的信息，以及不时的更新和补充，并保证其真实性；</w:t>
      </w:r>
    </w:p>
    <w:p>
      <w:pPr>
        <w:spacing w:line="360" w:lineRule="auto"/>
        <w:ind w:firstLine="480" w:firstLineChars="200"/>
        <w:rPr>
          <w:bCs/>
          <w:sz w:val="24"/>
        </w:rPr>
      </w:pPr>
      <w:r>
        <w:rPr>
          <w:bCs/>
          <w:sz w:val="24"/>
        </w:rPr>
        <w:t>（11）法律法规及中国证监会规定的和《基金合同》约定的其他义务。</w:t>
      </w:r>
    </w:p>
    <w:p>
      <w:pPr>
        <w:spacing w:line="360" w:lineRule="auto"/>
        <w:ind w:firstLine="482" w:firstLineChars="200"/>
        <w:outlineLvl w:val="1"/>
        <w:rPr>
          <w:b/>
          <w:bCs/>
          <w:sz w:val="24"/>
        </w:rPr>
      </w:pPr>
      <w:r>
        <w:rPr>
          <w:b/>
          <w:bCs/>
          <w:sz w:val="24"/>
        </w:rPr>
        <w:t>二、基金份额持有人大会召集、议事及表决的程序和规则</w:t>
      </w:r>
    </w:p>
    <w:p>
      <w:pPr>
        <w:spacing w:line="360" w:lineRule="auto"/>
        <w:ind w:firstLine="480" w:firstLineChars="20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bCs/>
          <w:sz w:val="24"/>
        </w:rPr>
      </w:pPr>
      <w:r>
        <w:rPr>
          <w:rFonts w:hint="eastAsia"/>
          <w:bCs/>
          <w:sz w:val="24"/>
        </w:rPr>
        <w:t>本基金份额持有人大会不设日常机构。</w:t>
      </w:r>
    </w:p>
    <w:p>
      <w:pPr>
        <w:spacing w:line="360" w:lineRule="auto"/>
        <w:ind w:firstLine="480" w:firstLineChars="200"/>
        <w:rPr>
          <w:bCs/>
          <w:sz w:val="24"/>
        </w:rPr>
      </w:pPr>
      <w:r>
        <w:rPr>
          <w:bCs/>
          <w:sz w:val="24"/>
        </w:rPr>
        <w:t>（一）召开事由</w:t>
      </w:r>
    </w:p>
    <w:p>
      <w:pPr>
        <w:spacing w:line="360" w:lineRule="auto"/>
        <w:ind w:firstLine="480" w:firstLineChars="200"/>
        <w:rPr>
          <w:bCs/>
          <w:sz w:val="24"/>
        </w:rPr>
      </w:pPr>
      <w:r>
        <w:rPr>
          <w:bCs/>
          <w:sz w:val="24"/>
        </w:rPr>
        <w:t>1</w:t>
      </w:r>
      <w:r>
        <w:rPr>
          <w:rFonts w:hint="eastAsia"/>
          <w:bCs/>
          <w:sz w:val="24"/>
        </w:rPr>
        <w:t>、当出现或需要决定下列事由之一的，应当召开基金份额持有人大会，法律法规、</w:t>
      </w:r>
      <w:r>
        <w:rPr>
          <w:bCs/>
          <w:sz w:val="24"/>
        </w:rPr>
        <w:t>基金合同</w:t>
      </w:r>
      <w:r>
        <w:rPr>
          <w:rFonts w:hint="eastAsia"/>
          <w:bCs/>
          <w:sz w:val="24"/>
        </w:rPr>
        <w:t>和中国证监会另有规定的除外：</w:t>
      </w:r>
    </w:p>
    <w:p>
      <w:pPr>
        <w:spacing w:line="360" w:lineRule="auto"/>
        <w:ind w:firstLine="480" w:firstLineChars="200"/>
        <w:rPr>
          <w:rFonts w:hint="eastAsia"/>
          <w:bCs/>
          <w:sz w:val="24"/>
        </w:rPr>
      </w:pPr>
      <w:r>
        <w:rPr>
          <w:rFonts w:hint="eastAsia"/>
          <w:bCs/>
          <w:sz w:val="24"/>
        </w:rPr>
        <w:t>（1）终止《基金合同》；</w:t>
      </w:r>
    </w:p>
    <w:p>
      <w:pPr>
        <w:spacing w:line="360" w:lineRule="auto"/>
        <w:ind w:firstLine="480" w:firstLineChars="200"/>
        <w:rPr>
          <w:rFonts w:hint="eastAsia"/>
          <w:bCs/>
          <w:sz w:val="24"/>
        </w:rPr>
      </w:pPr>
      <w:r>
        <w:rPr>
          <w:rFonts w:hint="eastAsia"/>
          <w:bCs/>
          <w:sz w:val="24"/>
        </w:rPr>
        <w:t>（2）更换基金管理人；</w:t>
      </w:r>
    </w:p>
    <w:p>
      <w:pPr>
        <w:spacing w:line="360" w:lineRule="auto"/>
        <w:ind w:firstLine="480" w:firstLineChars="200"/>
        <w:rPr>
          <w:rFonts w:hint="eastAsia"/>
          <w:bCs/>
          <w:sz w:val="24"/>
        </w:rPr>
      </w:pPr>
      <w:r>
        <w:rPr>
          <w:rFonts w:hint="eastAsia"/>
          <w:bCs/>
          <w:sz w:val="24"/>
        </w:rPr>
        <w:t>（3）更换基金托管人；</w:t>
      </w:r>
    </w:p>
    <w:p>
      <w:pPr>
        <w:spacing w:line="360" w:lineRule="auto"/>
        <w:ind w:firstLine="480" w:firstLineChars="200"/>
        <w:rPr>
          <w:rFonts w:hint="eastAsia"/>
          <w:bCs/>
          <w:sz w:val="24"/>
        </w:rPr>
      </w:pPr>
      <w:r>
        <w:rPr>
          <w:rFonts w:hint="eastAsia"/>
          <w:bCs/>
          <w:sz w:val="24"/>
        </w:rPr>
        <w:t>（4）转换基金运作方式；</w:t>
      </w:r>
    </w:p>
    <w:p>
      <w:pPr>
        <w:spacing w:line="360" w:lineRule="auto"/>
        <w:ind w:firstLine="480" w:firstLineChars="200"/>
        <w:rPr>
          <w:rFonts w:hint="eastAsia"/>
          <w:bCs/>
          <w:sz w:val="24"/>
        </w:rPr>
      </w:pPr>
      <w:r>
        <w:rPr>
          <w:rFonts w:hint="eastAsia"/>
          <w:bCs/>
          <w:sz w:val="24"/>
        </w:rPr>
        <w:t>（5）调整基金管理人、基金托管人的报酬标准和提高销售服务费；</w:t>
      </w:r>
    </w:p>
    <w:p>
      <w:pPr>
        <w:spacing w:line="360" w:lineRule="auto"/>
        <w:ind w:firstLine="480" w:firstLineChars="200"/>
        <w:rPr>
          <w:rFonts w:hint="eastAsia"/>
          <w:bCs/>
          <w:sz w:val="24"/>
        </w:rPr>
      </w:pPr>
      <w:r>
        <w:rPr>
          <w:rFonts w:hint="eastAsia"/>
          <w:bCs/>
          <w:sz w:val="24"/>
        </w:rPr>
        <w:t>（6）变更基金类别；</w:t>
      </w:r>
    </w:p>
    <w:p>
      <w:pPr>
        <w:spacing w:line="360" w:lineRule="auto"/>
        <w:ind w:firstLine="480" w:firstLineChars="200"/>
        <w:rPr>
          <w:rFonts w:hint="eastAsia"/>
          <w:bCs/>
          <w:sz w:val="24"/>
        </w:rPr>
      </w:pPr>
      <w:r>
        <w:rPr>
          <w:rFonts w:hint="eastAsia"/>
          <w:bCs/>
          <w:sz w:val="24"/>
        </w:rPr>
        <w:t>（7）本基金与其他基金的合并；</w:t>
      </w:r>
    </w:p>
    <w:p>
      <w:pPr>
        <w:spacing w:line="360" w:lineRule="auto"/>
        <w:ind w:firstLine="480" w:firstLineChars="200"/>
        <w:rPr>
          <w:rFonts w:hint="eastAsia"/>
          <w:bCs/>
          <w:sz w:val="24"/>
        </w:rPr>
      </w:pPr>
      <w:r>
        <w:rPr>
          <w:rFonts w:hint="eastAsia"/>
          <w:bCs/>
          <w:sz w:val="24"/>
        </w:rPr>
        <w:t>（8）变更基金投资目标、范围或策略；</w:t>
      </w:r>
    </w:p>
    <w:p>
      <w:pPr>
        <w:spacing w:line="360" w:lineRule="auto"/>
        <w:ind w:firstLine="480" w:firstLineChars="200"/>
        <w:rPr>
          <w:rFonts w:hint="eastAsia"/>
          <w:bCs/>
          <w:sz w:val="24"/>
        </w:rPr>
      </w:pPr>
      <w:r>
        <w:rPr>
          <w:rFonts w:hint="eastAsia"/>
          <w:bCs/>
          <w:sz w:val="24"/>
        </w:rPr>
        <w:t>（9）变更基金份额持有人大会程序；</w:t>
      </w:r>
    </w:p>
    <w:p>
      <w:pPr>
        <w:spacing w:line="360" w:lineRule="auto"/>
        <w:ind w:firstLine="480" w:firstLineChars="200"/>
        <w:rPr>
          <w:rFonts w:hint="eastAsia"/>
          <w:bCs/>
          <w:sz w:val="24"/>
        </w:rPr>
      </w:pPr>
      <w:r>
        <w:rPr>
          <w:rFonts w:hint="eastAsia"/>
          <w:bCs/>
          <w:sz w:val="24"/>
        </w:rPr>
        <w:t>（10）基金管理人或基金托管人要求召开基金份额持有人大会；</w:t>
      </w:r>
    </w:p>
    <w:p>
      <w:pPr>
        <w:spacing w:line="360" w:lineRule="auto"/>
        <w:ind w:firstLine="480" w:firstLineChars="200"/>
        <w:rPr>
          <w:rFonts w:hint="eastAsia"/>
          <w:bCs/>
          <w:sz w:val="24"/>
        </w:rPr>
      </w:pPr>
      <w:r>
        <w:rPr>
          <w:rFonts w:hint="eastAsia"/>
          <w:bCs/>
          <w:sz w:val="24"/>
        </w:rPr>
        <w:t>（11）单独或合计持有本基金总份额10%以上（含10%）基金份额的基金份额持有人（以基金管理人收到提议当日的基金份额计算，下同）就同一事项书面要求召开基金份额持有人大会；</w:t>
      </w:r>
    </w:p>
    <w:p>
      <w:pPr>
        <w:spacing w:line="360" w:lineRule="auto"/>
        <w:ind w:firstLine="480" w:firstLineChars="200"/>
        <w:rPr>
          <w:rFonts w:hint="eastAsia"/>
          <w:bCs/>
          <w:sz w:val="24"/>
        </w:rPr>
      </w:pPr>
      <w:r>
        <w:rPr>
          <w:rFonts w:hint="eastAsia"/>
          <w:bCs/>
          <w:sz w:val="24"/>
        </w:rPr>
        <w:t>（12）对基金合同当事人权利和义务产生重大影响的其他事项；</w:t>
      </w:r>
    </w:p>
    <w:p>
      <w:pPr>
        <w:spacing w:line="360" w:lineRule="auto"/>
        <w:ind w:firstLine="480" w:firstLineChars="200"/>
        <w:rPr>
          <w:bCs/>
          <w:sz w:val="24"/>
        </w:rPr>
      </w:pPr>
      <w:r>
        <w:rPr>
          <w:rFonts w:hint="eastAsia"/>
          <w:bCs/>
          <w:sz w:val="24"/>
        </w:rPr>
        <w:t>（13）法律法规、《基金合同》或中国证监会规定的其他应当召开基金份额持有人大会的事项。</w:t>
      </w:r>
    </w:p>
    <w:p>
      <w:pPr>
        <w:spacing w:line="360" w:lineRule="auto"/>
        <w:ind w:firstLine="480" w:firstLineChars="200"/>
        <w:rPr>
          <w:bCs/>
          <w:sz w:val="24"/>
        </w:rPr>
      </w:pPr>
      <w:r>
        <w:rPr>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pPr>
        <w:spacing w:line="360" w:lineRule="auto"/>
        <w:ind w:firstLine="480" w:firstLineChars="200"/>
        <w:rPr>
          <w:rFonts w:hint="eastAsia"/>
          <w:bCs/>
          <w:sz w:val="24"/>
        </w:rPr>
      </w:pPr>
      <w:r>
        <w:rPr>
          <w:rFonts w:hint="eastAsia"/>
          <w:bCs/>
          <w:sz w:val="24"/>
        </w:rPr>
        <w:t>（1）调低基金销售服务费；</w:t>
      </w:r>
    </w:p>
    <w:p>
      <w:pPr>
        <w:spacing w:line="360" w:lineRule="auto"/>
        <w:ind w:firstLine="480" w:firstLineChars="200"/>
        <w:rPr>
          <w:rFonts w:hint="eastAsia"/>
          <w:bCs/>
          <w:sz w:val="24"/>
        </w:rPr>
      </w:pPr>
      <w:r>
        <w:rPr>
          <w:rFonts w:hint="eastAsia"/>
          <w:bCs/>
          <w:sz w:val="24"/>
        </w:rPr>
        <w:t>（2）法律法规要求增加的基金费用的收取；</w:t>
      </w:r>
    </w:p>
    <w:p>
      <w:pPr>
        <w:spacing w:line="360" w:lineRule="auto"/>
        <w:ind w:firstLine="480" w:firstLineChars="200"/>
        <w:rPr>
          <w:rFonts w:hint="eastAsia"/>
          <w:bCs/>
          <w:sz w:val="24"/>
        </w:rPr>
      </w:pPr>
      <w:r>
        <w:rPr>
          <w:rFonts w:hint="eastAsia"/>
          <w:bCs/>
          <w:sz w:val="24"/>
        </w:rPr>
        <w:t>（3）在法律法规和《基金合同》规定的范围内调整本基金的申购费率、调低赎回费率、在对现有基金份额持有人利益无实质性不利影响的前提下变更收费方式；</w:t>
      </w:r>
    </w:p>
    <w:p>
      <w:pPr>
        <w:spacing w:line="360" w:lineRule="auto"/>
        <w:ind w:firstLine="480" w:firstLineChars="200"/>
        <w:rPr>
          <w:rFonts w:hint="eastAsia"/>
          <w:bCs/>
          <w:sz w:val="24"/>
        </w:rPr>
      </w:pPr>
      <w:r>
        <w:rPr>
          <w:rFonts w:hint="eastAsia"/>
          <w:bCs/>
          <w:sz w:val="24"/>
        </w:rPr>
        <w:t>（4）因相应的法律法规、登记机构的相关业务规则发生变动而应当对《基金合同》进行修改；</w:t>
      </w:r>
    </w:p>
    <w:p>
      <w:pPr>
        <w:spacing w:line="360" w:lineRule="auto"/>
        <w:ind w:firstLine="480" w:firstLineChars="200"/>
        <w:rPr>
          <w:rFonts w:hint="eastAsia"/>
          <w:bCs/>
          <w:sz w:val="24"/>
        </w:rPr>
      </w:pPr>
      <w:r>
        <w:rPr>
          <w:rFonts w:hint="eastAsia"/>
          <w:bCs/>
          <w:sz w:val="24"/>
        </w:rPr>
        <w:t>（5）对《基金合同》的修改对基金份额持有人利益无实质性不利影响或修改不涉及《基金合同》当事人权利义务关系发生重大变化；</w:t>
      </w:r>
    </w:p>
    <w:p>
      <w:pPr>
        <w:spacing w:line="360" w:lineRule="auto"/>
        <w:ind w:firstLine="480" w:firstLineChars="200"/>
        <w:rPr>
          <w:rFonts w:hint="eastAsia"/>
          <w:bCs/>
          <w:sz w:val="24"/>
        </w:rPr>
      </w:pPr>
      <w:r>
        <w:rPr>
          <w:rFonts w:hint="eastAsia"/>
          <w:bCs/>
          <w:sz w:val="24"/>
        </w:rPr>
        <w:t>（6）在法律法规允许的情况下，且在对现有基金份额持有人利益无实质性不利影响的前提下，基金推出新业务或服务；</w:t>
      </w:r>
    </w:p>
    <w:p>
      <w:pPr>
        <w:spacing w:line="360" w:lineRule="auto"/>
        <w:ind w:firstLine="480" w:firstLineChars="200"/>
        <w:rPr>
          <w:rFonts w:hint="eastAsia"/>
          <w:bCs/>
          <w:sz w:val="24"/>
        </w:rPr>
      </w:pPr>
      <w:r>
        <w:rPr>
          <w:rFonts w:hint="eastAsia"/>
          <w:bCs/>
          <w:sz w:val="24"/>
        </w:rPr>
        <w:t>（7）在符合法律法规及本基金合同规定、并且对基金份额持有人利益无实质不利影响的前提下，调整本基金份额类别的设置；</w:t>
      </w:r>
    </w:p>
    <w:p>
      <w:pPr>
        <w:spacing w:line="360" w:lineRule="auto"/>
        <w:ind w:firstLine="480" w:firstLineChars="200"/>
        <w:rPr>
          <w:rFonts w:hint="eastAsia"/>
          <w:bCs/>
          <w:sz w:val="24"/>
        </w:rPr>
      </w:pPr>
      <w:r>
        <w:rPr>
          <w:rFonts w:hint="eastAsia"/>
          <w:bCs/>
          <w:sz w:val="24"/>
        </w:rPr>
        <w:t>（8）在不违反法律法规及对基金份额持有人利益无实质性不利影响的前提下，基金管理人、登记机构、销售机构调整有关基金认购、申购、赎回、转换、收益分配、非交易过户、转托管等业务的规则；</w:t>
      </w:r>
    </w:p>
    <w:p>
      <w:pPr>
        <w:spacing w:line="360" w:lineRule="auto"/>
        <w:ind w:firstLine="480" w:firstLineChars="200"/>
        <w:rPr>
          <w:bCs/>
          <w:sz w:val="24"/>
        </w:rPr>
      </w:pPr>
      <w:r>
        <w:rPr>
          <w:rFonts w:hint="eastAsia"/>
          <w:bCs/>
          <w:sz w:val="24"/>
        </w:rPr>
        <w:t>（9）按照法律法规和《基金合同》规定不需召开基金份额持有人大会的其他情形。</w:t>
      </w:r>
    </w:p>
    <w:p>
      <w:pPr>
        <w:spacing w:line="360" w:lineRule="auto"/>
        <w:ind w:firstLine="480" w:firstLineChars="200"/>
        <w:rPr>
          <w:bCs/>
          <w:sz w:val="24"/>
        </w:rPr>
      </w:pPr>
      <w:r>
        <w:rPr>
          <w:rFonts w:hAnsi="宋体"/>
          <w:bCs/>
          <w:sz w:val="24"/>
        </w:rPr>
        <w:t>（二）</w:t>
      </w:r>
      <w:r>
        <w:rPr>
          <w:rFonts w:hint="eastAsia" w:hAnsi="宋体"/>
          <w:bCs/>
          <w:sz w:val="24"/>
        </w:rPr>
        <w:t>会议</w:t>
      </w:r>
      <w:r>
        <w:rPr>
          <w:rFonts w:hAnsi="宋体"/>
          <w:bCs/>
          <w:sz w:val="24"/>
        </w:rPr>
        <w:t>召集人及召集方式</w:t>
      </w:r>
    </w:p>
    <w:p>
      <w:pPr>
        <w:spacing w:line="360" w:lineRule="auto"/>
        <w:ind w:firstLine="480" w:firstLineChars="200"/>
        <w:rPr>
          <w:bCs/>
          <w:sz w:val="24"/>
        </w:rPr>
      </w:pPr>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2、基金管理人未按规定召集或不能召集时，由基金托管人召集；</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日内召开；基金管理人决定不召集，基金托管人仍认为有必要召开的，应当由基金托管人自行召集，并自出具书面决定之日起60日内召开并告知基金管理人，基金管理人应当配合</w:t>
      </w:r>
      <w:r>
        <w:rPr>
          <w:rFonts w:hint="eastAsia"/>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日内决定是否召集，并书面告知提出提议的基金份额持有人代表和基金管理人；基金托管人决定召集的，应当自出具书面决定之日起60日内召开并告知基金管理人，基金管理人应当配合</w:t>
      </w:r>
      <w:r>
        <w:rPr>
          <w:rFonts w:hint="eastAsia"/>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r>
        <w:rPr>
          <w:rFonts w:hint="eastAsia"/>
          <w:bCs/>
          <w:sz w:val="24"/>
        </w:rPr>
        <w:t>；</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r>
        <w:rPr>
          <w:rFonts w:hAnsi="宋体"/>
          <w:bCs/>
          <w:sz w:val="24"/>
        </w:rPr>
        <w:t>（三）召开基金份额持有人大会的通知时间、通知内容、通知方式</w:t>
      </w:r>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日，在规定媒介公告。基金份额持有人大会通知应至少载明以下内容：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rFonts w:hint="eastAsia"/>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r>
        <w:rPr>
          <w:rFonts w:hAnsi="宋体"/>
          <w:bCs/>
          <w:sz w:val="24"/>
        </w:rPr>
        <w:t>（四）基金份额持有人出席会议的方式</w:t>
      </w:r>
    </w:p>
    <w:p>
      <w:pPr>
        <w:spacing w:line="360" w:lineRule="auto"/>
        <w:ind w:firstLine="480" w:firstLineChars="200"/>
        <w:rPr>
          <w:rFonts w:hint="eastAsia"/>
          <w:bCs/>
          <w:sz w:val="24"/>
        </w:rPr>
      </w:pPr>
      <w:r>
        <w:rPr>
          <w:rFonts w:hint="eastAsia"/>
          <w:bCs/>
          <w:sz w:val="24"/>
        </w:rPr>
        <w:t>基金份额持有人大会可通过现场开会方式、通讯开会方式或法律法规、监管机构允许的其他方式召开，会议的召开方式由会议召集人确定。</w:t>
      </w:r>
    </w:p>
    <w:p>
      <w:pPr>
        <w:spacing w:line="360" w:lineRule="auto"/>
        <w:ind w:firstLine="480" w:firstLineChars="200"/>
        <w:rPr>
          <w:rFonts w:hint="eastAsia"/>
          <w:bCs/>
          <w:sz w:val="24"/>
        </w:rPr>
      </w:pPr>
      <w:r>
        <w:rPr>
          <w:rFonts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80" w:firstLineChars="200"/>
        <w:rPr>
          <w:rFonts w:hint="eastAsia"/>
          <w:bCs/>
          <w:sz w:val="24"/>
        </w:rPr>
      </w:pPr>
      <w:r>
        <w:rPr>
          <w:rFonts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rFonts w:hint="eastAsia"/>
          <w:bCs/>
          <w:sz w:val="24"/>
        </w:rPr>
      </w:pPr>
      <w:r>
        <w:rPr>
          <w:rFonts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firstLineChars="200"/>
        <w:rPr>
          <w:rFonts w:hint="eastAsia"/>
          <w:bCs/>
          <w:sz w:val="24"/>
        </w:rPr>
      </w:pPr>
      <w:r>
        <w:rPr>
          <w:rFonts w:hint="eastAsia"/>
          <w:bCs/>
          <w:sz w:val="24"/>
        </w:rPr>
        <w:t>2、通讯开会。通讯开会系指基金份额持有人将其对表决事项的投票以会议通知载明的形式或基金合同约定的其他方式在表决截止日以前送达至召集人指定的地址或系统。</w:t>
      </w:r>
    </w:p>
    <w:p>
      <w:pPr>
        <w:spacing w:line="360" w:lineRule="auto"/>
        <w:ind w:firstLine="480" w:firstLineChars="200"/>
        <w:rPr>
          <w:rFonts w:hint="eastAsia"/>
          <w:bCs/>
          <w:sz w:val="24"/>
        </w:rPr>
      </w:pPr>
      <w:r>
        <w:rPr>
          <w:rFonts w:hint="eastAsia"/>
          <w:bCs/>
          <w:sz w:val="24"/>
        </w:rPr>
        <w:t>在同时符合以下条件时，通讯开会的方式视为有效：</w:t>
      </w:r>
    </w:p>
    <w:p>
      <w:pPr>
        <w:spacing w:line="360" w:lineRule="auto"/>
        <w:ind w:firstLine="480" w:firstLineChars="200"/>
        <w:rPr>
          <w:rFonts w:hint="eastAsia"/>
          <w:bCs/>
          <w:sz w:val="24"/>
        </w:rPr>
      </w:pPr>
      <w:r>
        <w:rPr>
          <w:rFonts w:hint="eastAsia"/>
          <w:bCs/>
          <w:sz w:val="24"/>
        </w:rPr>
        <w:t>（1）会议召集人按《基金合同》约定公布会议通知后，在2个工作日内连续公布相关提示性公告；</w:t>
      </w:r>
    </w:p>
    <w:p>
      <w:pPr>
        <w:spacing w:line="360" w:lineRule="auto"/>
        <w:ind w:firstLine="480" w:firstLineChars="200"/>
        <w:rPr>
          <w:rFonts w:hint="eastAsia"/>
          <w:bCs/>
          <w:sz w:val="24"/>
        </w:rPr>
      </w:pPr>
      <w:r>
        <w:rPr>
          <w:rFonts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480" w:firstLineChars="200"/>
        <w:rPr>
          <w:rFonts w:hint="eastAsia"/>
          <w:bCs/>
          <w:sz w:val="24"/>
        </w:rPr>
      </w:pPr>
      <w:r>
        <w:rPr>
          <w:rFonts w:hint="eastAsia"/>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spacing w:line="360" w:lineRule="auto"/>
        <w:ind w:firstLine="480" w:firstLineChars="200"/>
        <w:rPr>
          <w:rFonts w:hint="eastAsia"/>
          <w:bCs/>
          <w:sz w:val="24"/>
        </w:rPr>
      </w:pPr>
      <w:r>
        <w:rPr>
          <w:rFonts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spacing w:line="360" w:lineRule="auto"/>
        <w:ind w:firstLine="480" w:firstLineChars="200"/>
        <w:rPr>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spacing w:line="360" w:lineRule="auto"/>
        <w:ind w:firstLine="480" w:firstLineChars="200"/>
        <w:rPr>
          <w:bCs/>
          <w:sz w:val="24"/>
        </w:rPr>
      </w:pPr>
      <w:r>
        <w:rPr>
          <w:rFonts w:hint="eastAsia" w:hAnsi="宋体"/>
          <w:bCs/>
          <w:sz w:val="24"/>
        </w:rPr>
        <w:t>（</w:t>
      </w:r>
      <w:r>
        <w:rPr>
          <w:rFonts w:hAnsi="宋体"/>
          <w:bCs/>
          <w:sz w:val="24"/>
        </w:rPr>
        <w:t>五</w:t>
      </w:r>
      <w:r>
        <w:rPr>
          <w:rFonts w:hint="eastAsia" w:hAnsi="宋体"/>
          <w:bCs/>
          <w:sz w:val="24"/>
        </w:rPr>
        <w:t>）</w:t>
      </w:r>
      <w:r>
        <w:rPr>
          <w:rFonts w:hAnsi="宋体"/>
          <w:bCs/>
          <w:sz w:val="24"/>
        </w:rPr>
        <w:t>议事内容与程序</w:t>
      </w:r>
    </w:p>
    <w:p>
      <w:pPr>
        <w:spacing w:line="360" w:lineRule="auto"/>
        <w:ind w:firstLine="480" w:firstLineChars="200"/>
        <w:outlineLvl w:val="2"/>
        <w:rPr>
          <w:rFonts w:hint="eastAsia"/>
          <w:bCs/>
          <w:sz w:val="24"/>
        </w:rPr>
      </w:pPr>
      <w:r>
        <w:rPr>
          <w:rFonts w:hint="eastAsia"/>
          <w:bCs/>
          <w:sz w:val="24"/>
        </w:rPr>
        <w:t>1、议事内容及提案权</w:t>
      </w:r>
    </w:p>
    <w:p>
      <w:pPr>
        <w:spacing w:line="360" w:lineRule="auto"/>
        <w:ind w:firstLine="480" w:firstLineChars="200"/>
        <w:rPr>
          <w:rFonts w:hint="eastAsia"/>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spacing w:line="360" w:lineRule="auto"/>
        <w:ind w:firstLine="480" w:firstLineChars="200"/>
        <w:rPr>
          <w:rFonts w:hint="eastAsia"/>
          <w:bCs/>
          <w:sz w:val="24"/>
        </w:rPr>
      </w:pPr>
      <w:r>
        <w:rPr>
          <w:rFonts w:hint="eastAsia"/>
          <w:bCs/>
          <w:sz w:val="24"/>
        </w:rPr>
        <w:t>基金份额持有人大会的召集人发出召集会议的通知后，对原有提案的修改应当在基金份额持有人大会召开前及时公告。</w:t>
      </w:r>
    </w:p>
    <w:p>
      <w:pPr>
        <w:spacing w:line="360" w:lineRule="auto"/>
        <w:ind w:firstLine="480" w:firstLineChars="200"/>
        <w:rPr>
          <w:rFonts w:hint="eastAsia"/>
          <w:bCs/>
          <w:sz w:val="24"/>
        </w:rPr>
      </w:pPr>
      <w:r>
        <w:rPr>
          <w:rFonts w:hint="eastAsia"/>
          <w:bCs/>
          <w:sz w:val="24"/>
        </w:rPr>
        <w:t>基金份额持有人大会不得对未事先公告的议事内容进行表决。</w:t>
      </w:r>
    </w:p>
    <w:p>
      <w:pPr>
        <w:spacing w:line="360" w:lineRule="auto"/>
        <w:ind w:firstLine="480" w:firstLineChars="200"/>
        <w:outlineLvl w:val="2"/>
        <w:rPr>
          <w:rFonts w:hint="eastAsia"/>
          <w:bCs/>
          <w:sz w:val="24"/>
        </w:rPr>
      </w:pPr>
      <w:r>
        <w:rPr>
          <w:rFonts w:hint="eastAsia"/>
          <w:bCs/>
          <w:sz w:val="24"/>
        </w:rPr>
        <w:t>2、议事程序</w:t>
      </w:r>
    </w:p>
    <w:p>
      <w:pPr>
        <w:spacing w:line="360" w:lineRule="auto"/>
        <w:ind w:firstLine="480" w:firstLineChars="200"/>
        <w:rPr>
          <w:rFonts w:hint="eastAsia"/>
          <w:bCs/>
          <w:sz w:val="24"/>
        </w:rPr>
      </w:pPr>
      <w:r>
        <w:rPr>
          <w:rFonts w:hint="eastAsia"/>
          <w:bCs/>
          <w:sz w:val="24"/>
        </w:rPr>
        <w:t>（1）现场开会</w:t>
      </w:r>
    </w:p>
    <w:p>
      <w:pPr>
        <w:spacing w:line="360" w:lineRule="auto"/>
        <w:ind w:firstLine="480" w:firstLineChars="200"/>
        <w:rPr>
          <w:rFonts w:hint="eastAsia"/>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rFonts w:hint="eastAsia"/>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rFonts w:hint="eastAsia"/>
          <w:bCs/>
          <w:sz w:val="24"/>
        </w:rPr>
      </w:pPr>
      <w:r>
        <w:rPr>
          <w:rFonts w:hint="eastAsia"/>
          <w:bCs/>
          <w:sz w:val="24"/>
        </w:rPr>
        <w:t>（2）通讯开会</w:t>
      </w:r>
    </w:p>
    <w:p>
      <w:pPr>
        <w:spacing w:line="360" w:lineRule="auto"/>
        <w:ind w:firstLine="480" w:firstLineChars="200"/>
        <w:rPr>
          <w:bCs/>
          <w:sz w:val="24"/>
        </w:rPr>
      </w:pPr>
      <w:r>
        <w:rPr>
          <w:rFonts w:hint="eastAsia"/>
          <w:bCs/>
          <w:sz w:val="24"/>
        </w:rPr>
        <w:t>在通讯开会的情况下，首先由召集人提前30日公布提案，在所通知的表决截止日期后2个工作日内在公证机关监督下由召集人统计全部有效表决，在公证机关监督下形成决议。</w:t>
      </w:r>
    </w:p>
    <w:p>
      <w:pPr>
        <w:spacing w:line="360" w:lineRule="auto"/>
        <w:ind w:firstLine="480" w:firstLineChars="200"/>
        <w:rPr>
          <w:rFonts w:hAnsi="宋体"/>
          <w:bCs/>
          <w:sz w:val="24"/>
        </w:rPr>
      </w:pPr>
      <w:r>
        <w:rPr>
          <w:rFonts w:hAnsi="宋体"/>
          <w:bCs/>
          <w:sz w:val="24"/>
        </w:rPr>
        <w:t>（六）</w:t>
      </w:r>
      <w:r>
        <w:rPr>
          <w:rFonts w:hint="eastAsia" w:hAnsi="宋体"/>
          <w:bCs/>
          <w:sz w:val="24"/>
        </w:rPr>
        <w:t>表决</w:t>
      </w:r>
    </w:p>
    <w:p>
      <w:pPr>
        <w:spacing w:line="360" w:lineRule="auto"/>
        <w:ind w:firstLine="480" w:firstLineChars="200"/>
        <w:rPr>
          <w:rFonts w:hint="eastAsia"/>
          <w:bCs/>
          <w:sz w:val="24"/>
        </w:rPr>
      </w:pPr>
      <w:r>
        <w:rPr>
          <w:rFonts w:hint="eastAsia"/>
          <w:bCs/>
          <w:sz w:val="24"/>
        </w:rPr>
        <w:t>基金份额持有人所持每份基金份额有一票表决权。</w:t>
      </w:r>
    </w:p>
    <w:p>
      <w:pPr>
        <w:spacing w:line="360" w:lineRule="auto"/>
        <w:ind w:firstLine="480" w:firstLineChars="200"/>
        <w:rPr>
          <w:rFonts w:hint="eastAsia"/>
          <w:bCs/>
          <w:sz w:val="24"/>
        </w:rPr>
      </w:pPr>
      <w:r>
        <w:rPr>
          <w:rFonts w:hint="eastAsia"/>
          <w:bCs/>
          <w:sz w:val="24"/>
        </w:rPr>
        <w:t>基金份额持有人大会决议分为一般决议和特别决议：</w:t>
      </w:r>
    </w:p>
    <w:p>
      <w:pPr>
        <w:spacing w:line="360" w:lineRule="auto"/>
        <w:ind w:firstLine="480" w:firstLineChars="200"/>
        <w:rPr>
          <w:rFonts w:hint="eastAsia"/>
          <w:bCs/>
          <w:sz w:val="24"/>
        </w:rPr>
      </w:pPr>
      <w:r>
        <w:rPr>
          <w:rFonts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rFonts w:hint="eastAsia"/>
          <w:bCs/>
          <w:sz w:val="24"/>
        </w:rPr>
      </w:pPr>
      <w:r>
        <w:rPr>
          <w:rFonts w:hint="eastAsia"/>
          <w:bCs/>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spacing w:line="360" w:lineRule="auto"/>
        <w:ind w:firstLine="480" w:firstLineChars="200"/>
        <w:rPr>
          <w:rFonts w:hint="eastAsia"/>
          <w:bCs/>
          <w:sz w:val="24"/>
        </w:rPr>
      </w:pPr>
      <w:r>
        <w:rPr>
          <w:rFonts w:hint="eastAsia"/>
          <w:bCs/>
          <w:sz w:val="24"/>
        </w:rPr>
        <w:t>基金份额持有人大会采取记名方式进行投票表决。</w:t>
      </w:r>
    </w:p>
    <w:p>
      <w:pPr>
        <w:spacing w:line="360" w:lineRule="auto"/>
        <w:ind w:firstLine="480" w:firstLineChars="200"/>
        <w:rPr>
          <w:rFonts w:hint="eastAsia"/>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spacing w:line="360" w:lineRule="auto"/>
        <w:ind w:firstLine="480" w:firstLineChars="200"/>
        <w:rPr>
          <w:bCs/>
          <w:sz w:val="24"/>
        </w:rPr>
      </w:pPr>
      <w:r>
        <w:rPr>
          <w:rFonts w:hint="eastAsia"/>
          <w:bCs/>
          <w:sz w:val="24"/>
        </w:rPr>
        <w:t>基金份额持有人大会的各项提案或同一项提案内并列的各项议题应当分开审议、逐项表决。</w:t>
      </w:r>
    </w:p>
    <w:p>
      <w:pPr>
        <w:spacing w:line="360" w:lineRule="auto"/>
        <w:ind w:firstLine="480" w:firstLineChars="200"/>
        <w:rPr>
          <w:bCs/>
          <w:sz w:val="24"/>
        </w:rPr>
      </w:pPr>
      <w:r>
        <w:rPr>
          <w:rFonts w:hint="eastAsia" w:hAnsi="宋体"/>
          <w:bCs/>
          <w:sz w:val="24"/>
        </w:rPr>
        <w:t>（</w:t>
      </w:r>
      <w:r>
        <w:rPr>
          <w:rFonts w:hAnsi="宋体"/>
          <w:bCs/>
          <w:sz w:val="24"/>
        </w:rPr>
        <w:t>七</w:t>
      </w:r>
      <w:r>
        <w:rPr>
          <w:rFonts w:hint="eastAsia" w:hAnsi="宋体"/>
          <w:bCs/>
          <w:sz w:val="24"/>
        </w:rPr>
        <w:t>）</w:t>
      </w:r>
      <w:r>
        <w:rPr>
          <w:rFonts w:hAnsi="宋体"/>
          <w:bCs/>
          <w:sz w:val="24"/>
        </w:rPr>
        <w:t>计票</w:t>
      </w:r>
    </w:p>
    <w:p>
      <w:pPr>
        <w:spacing w:line="360" w:lineRule="auto"/>
        <w:ind w:firstLine="480" w:firstLineChars="200"/>
        <w:rPr>
          <w:rFonts w:hint="eastAsia"/>
          <w:bCs/>
          <w:sz w:val="24"/>
        </w:rPr>
      </w:pPr>
      <w:r>
        <w:rPr>
          <w:rFonts w:hint="eastAsia"/>
          <w:bCs/>
          <w:sz w:val="24"/>
        </w:rPr>
        <w:t>1、现场开会</w:t>
      </w:r>
    </w:p>
    <w:p>
      <w:pPr>
        <w:spacing w:line="360" w:lineRule="auto"/>
        <w:ind w:firstLine="480" w:firstLineChars="200"/>
        <w:rPr>
          <w:rFonts w:hint="eastAsia"/>
          <w:bCs/>
          <w:sz w:val="24"/>
        </w:rPr>
      </w:pPr>
      <w:r>
        <w:rPr>
          <w:rFonts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spacing w:line="360" w:lineRule="auto"/>
        <w:ind w:firstLine="480" w:firstLineChars="200"/>
        <w:rPr>
          <w:rFonts w:hint="eastAsia"/>
          <w:bCs/>
          <w:sz w:val="24"/>
        </w:rPr>
      </w:pPr>
      <w:r>
        <w:rPr>
          <w:rFonts w:hint="eastAsia"/>
          <w:bCs/>
          <w:sz w:val="24"/>
        </w:rPr>
        <w:t>（2）监票人应当在基金份额持有人表决后立即进行清点并由大会主持人当场公布计票结果。</w:t>
      </w:r>
    </w:p>
    <w:p>
      <w:pPr>
        <w:spacing w:line="360" w:lineRule="auto"/>
        <w:ind w:firstLine="480" w:firstLineChars="200"/>
        <w:rPr>
          <w:rFonts w:hint="eastAsia"/>
          <w:bCs/>
          <w:sz w:val="24"/>
        </w:rPr>
      </w:pPr>
      <w:r>
        <w:rPr>
          <w:rFonts w:hint="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rFonts w:hint="eastAsia"/>
          <w:bCs/>
          <w:sz w:val="24"/>
        </w:rPr>
      </w:pPr>
      <w:r>
        <w:rPr>
          <w:rFonts w:hint="eastAsia"/>
          <w:bCs/>
          <w:sz w:val="24"/>
        </w:rPr>
        <w:t>（4）计票过程应由公证机关予以公证，基金管理人或基金托管人拒不出席大会的，不影响计票的效力。</w:t>
      </w:r>
    </w:p>
    <w:p>
      <w:pPr>
        <w:spacing w:line="360" w:lineRule="auto"/>
        <w:ind w:firstLine="480" w:firstLineChars="200"/>
        <w:rPr>
          <w:rFonts w:hint="eastAsia"/>
          <w:bCs/>
          <w:sz w:val="24"/>
        </w:rPr>
      </w:pPr>
      <w:r>
        <w:rPr>
          <w:rFonts w:hint="eastAsia"/>
          <w:bCs/>
          <w:sz w:val="24"/>
        </w:rPr>
        <w:t>2、通讯开会</w:t>
      </w:r>
    </w:p>
    <w:p>
      <w:pPr>
        <w:spacing w:line="360" w:lineRule="auto"/>
        <w:ind w:firstLine="480" w:firstLineChars="20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line="360" w:lineRule="auto"/>
        <w:ind w:firstLine="480" w:firstLineChars="200"/>
        <w:rPr>
          <w:bCs/>
          <w:sz w:val="24"/>
        </w:rPr>
      </w:pPr>
      <w:r>
        <w:rPr>
          <w:rFonts w:hint="eastAsia"/>
          <w:bCs/>
          <w:sz w:val="24"/>
        </w:rPr>
        <w:t>（八）生效与公告</w:t>
      </w:r>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基金份额持有人大会的决议自表决通过之日起生效。</w:t>
      </w:r>
      <w:r>
        <w:rPr>
          <w:rFonts w:hint="eastAsia"/>
          <w:bCs/>
          <w:sz w:val="24"/>
        </w:rPr>
        <w:t>法律法规另有规定的，从其规定。</w:t>
      </w:r>
    </w:p>
    <w:p>
      <w:pPr>
        <w:spacing w:line="360" w:lineRule="auto"/>
        <w:ind w:firstLine="480" w:firstLineChars="20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rFonts w:hint="eastAsia"/>
          <w:bCs/>
          <w:sz w:val="24"/>
        </w:rPr>
      </w:pPr>
      <w:r>
        <w:rPr>
          <w:rFonts w:hint="eastAsia"/>
          <w:bCs/>
          <w:sz w:val="24"/>
        </w:rPr>
        <w:t>（九）实施侧袋机制期间基金份额持有人大会的特殊约定</w:t>
      </w:r>
    </w:p>
    <w:p>
      <w:pPr>
        <w:spacing w:line="360" w:lineRule="auto"/>
        <w:ind w:firstLine="480" w:firstLineChars="200"/>
        <w:rPr>
          <w:rFonts w:hint="eastAsia"/>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rFonts w:hint="eastAsia"/>
          <w:bCs/>
          <w:sz w:val="24"/>
        </w:rPr>
      </w:pPr>
      <w:r>
        <w:rPr>
          <w:rFonts w:hint="eastAsia"/>
          <w:bCs/>
          <w:sz w:val="24"/>
        </w:rPr>
        <w:t>1、基金份额持有人行使提议权、召集权、提名权所需单独或合计代表相关基金份额10%以上（含10%）；</w:t>
      </w:r>
    </w:p>
    <w:p>
      <w:pPr>
        <w:spacing w:line="360" w:lineRule="auto"/>
        <w:ind w:firstLine="480" w:firstLineChars="200"/>
        <w:rPr>
          <w:rFonts w:hint="eastAsia"/>
          <w:bCs/>
          <w:sz w:val="24"/>
        </w:rPr>
      </w:pPr>
      <w:r>
        <w:rPr>
          <w:rFonts w:hint="eastAsia"/>
          <w:bCs/>
          <w:sz w:val="24"/>
        </w:rPr>
        <w:t>2、现场开会的到会者在权益登记日代表的基金份额不少于本基金在权益登记日相关基金份额的二分之一（含二分之一）；</w:t>
      </w:r>
    </w:p>
    <w:p>
      <w:pPr>
        <w:spacing w:line="360" w:lineRule="auto"/>
        <w:ind w:firstLine="480" w:firstLineChars="200"/>
        <w:rPr>
          <w:rFonts w:hint="eastAsia"/>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rFonts w:hint="eastAsia"/>
          <w:bCs/>
          <w:sz w:val="24"/>
        </w:rPr>
      </w:pPr>
      <w:r>
        <w:rPr>
          <w:rFonts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rFonts w:hint="eastAsia"/>
          <w:bCs/>
          <w:sz w:val="24"/>
        </w:rPr>
      </w:pPr>
      <w:r>
        <w:rPr>
          <w:rFonts w:hint="eastAsia"/>
          <w:bCs/>
          <w:sz w:val="24"/>
        </w:rPr>
        <w:t>5、现场开会由出席大会的基金份额持有人和代理人所持表决权的50%以上（含50%）选举产生一名基金份额持有人或代理人作为该次基金份额持有人大会的主持人；</w:t>
      </w:r>
    </w:p>
    <w:p>
      <w:pPr>
        <w:spacing w:line="360" w:lineRule="auto"/>
        <w:ind w:firstLine="480" w:firstLineChars="200"/>
        <w:rPr>
          <w:rFonts w:hint="eastAsia"/>
          <w:bCs/>
          <w:sz w:val="24"/>
        </w:rPr>
      </w:pPr>
      <w:r>
        <w:rPr>
          <w:rFonts w:hint="eastAsia"/>
          <w:bCs/>
          <w:sz w:val="24"/>
        </w:rPr>
        <w:t>6、一般决议须经参加大会的基金份额持有人或其代理人所持表决权的二分之一以上（含二分之一）通过；</w:t>
      </w:r>
    </w:p>
    <w:p>
      <w:pPr>
        <w:spacing w:line="360" w:lineRule="auto"/>
        <w:ind w:firstLine="480" w:firstLineChars="200"/>
        <w:rPr>
          <w:rFonts w:hint="eastAsia"/>
          <w:bCs/>
          <w:sz w:val="24"/>
        </w:rPr>
      </w:pPr>
      <w:r>
        <w:rPr>
          <w:rFonts w:hint="eastAsia"/>
          <w:bCs/>
          <w:sz w:val="24"/>
        </w:rPr>
        <w:t>7、特别决议应当经参加大会的基金份额持有人或其代理人所持表决权的三分之二以上（含三分之二）通过。</w:t>
      </w:r>
    </w:p>
    <w:p>
      <w:pPr>
        <w:spacing w:line="360" w:lineRule="auto"/>
        <w:ind w:firstLine="480" w:firstLineChars="200"/>
        <w:rPr>
          <w:rFonts w:hint="eastAsia"/>
          <w:bCs/>
          <w:sz w:val="24"/>
        </w:rPr>
      </w:pPr>
      <w:r>
        <w:rPr>
          <w:rFonts w:hint="eastAsia"/>
          <w:bCs/>
          <w:sz w:val="24"/>
        </w:rPr>
        <w:t>同一主侧袋账户内的每份基金份额具有平等的表决权。</w:t>
      </w:r>
    </w:p>
    <w:p>
      <w:pPr>
        <w:spacing w:line="360" w:lineRule="auto"/>
        <w:ind w:firstLine="480" w:firstLineChars="200"/>
        <w:rPr>
          <w:bCs/>
          <w:sz w:val="24"/>
        </w:rPr>
      </w:pPr>
      <w:r>
        <w:rPr>
          <w:rFonts w:hint="eastAsia"/>
          <w:bCs/>
          <w:sz w:val="24"/>
        </w:rPr>
        <w:t>（十）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spacing w:line="360" w:lineRule="auto"/>
        <w:ind w:firstLine="482" w:firstLineChars="200"/>
        <w:outlineLvl w:val="1"/>
        <w:rPr>
          <w:b/>
          <w:bCs/>
          <w:sz w:val="24"/>
        </w:rPr>
      </w:pPr>
      <w:r>
        <w:rPr>
          <w:b/>
          <w:bCs/>
          <w:sz w:val="24"/>
        </w:rPr>
        <w:t>三、基金收益分配原则、执行方式</w:t>
      </w:r>
    </w:p>
    <w:p>
      <w:pPr>
        <w:spacing w:line="360" w:lineRule="auto"/>
        <w:ind w:firstLine="540" w:firstLineChars="225"/>
        <w:outlineLvl w:val="2"/>
        <w:rPr>
          <w:bCs/>
          <w:sz w:val="24"/>
        </w:rPr>
      </w:pPr>
      <w:r>
        <w:rPr>
          <w:bCs/>
          <w:sz w:val="24"/>
        </w:rPr>
        <w:t>（一）基金收益分配原则</w:t>
      </w:r>
    </w:p>
    <w:p>
      <w:pPr>
        <w:spacing w:line="360" w:lineRule="auto"/>
        <w:ind w:firstLine="540" w:firstLineChars="225"/>
        <w:rPr>
          <w:rFonts w:hint="eastAsia"/>
          <w:bCs/>
          <w:sz w:val="24"/>
        </w:rPr>
      </w:pPr>
      <w:r>
        <w:rPr>
          <w:rFonts w:hint="eastAsia"/>
          <w:bCs/>
          <w:sz w:val="24"/>
        </w:rPr>
        <w:t>1、由于本基金A类基金份额不收取销售服务费，C类基金份额收取销售服务费，各基金份额类别对应的可供分配利润将有所不同；</w:t>
      </w:r>
    </w:p>
    <w:p>
      <w:pPr>
        <w:spacing w:line="360" w:lineRule="auto"/>
        <w:ind w:firstLine="540" w:firstLineChars="225"/>
        <w:rPr>
          <w:rFonts w:hint="eastAsia"/>
          <w:bCs/>
          <w:sz w:val="24"/>
        </w:rPr>
      </w:pPr>
      <w:r>
        <w:rPr>
          <w:rFonts w:hint="eastAsia"/>
          <w:bCs/>
          <w:sz w:val="24"/>
        </w:rPr>
        <w:t>2、在符合有关基金分红条件的前提下，本基金管理人可以根据实际情况进行收益分配，具体分配方案以公告为准，若《基金合同》生效不满3个月可不进行收益分配；</w:t>
      </w:r>
    </w:p>
    <w:p>
      <w:pPr>
        <w:spacing w:line="360" w:lineRule="auto"/>
        <w:ind w:firstLine="540" w:firstLineChars="225"/>
        <w:rPr>
          <w:rFonts w:hint="eastAsia"/>
          <w:bCs/>
          <w:sz w:val="24"/>
        </w:rPr>
      </w:pPr>
      <w:r>
        <w:rPr>
          <w:rFonts w:hint="eastAsia"/>
          <w:bCs/>
          <w:sz w:val="24"/>
        </w:rPr>
        <w:t>3、本基金收益分配方式分两种：现金分红与红利再投资，投资者可选择现金红利或将现金红利自动转为相应类别的基金份额进行再投资；投资者红利再投资所得基金份额不受最短持有期限制；若投资者不选择，本基金默认的收益分配方式是现金分红；基金份额持有人可对其持有的A类基金份额和C类基金份额分别选择不同的收益分配方式；</w:t>
      </w:r>
    </w:p>
    <w:p>
      <w:pPr>
        <w:spacing w:line="360" w:lineRule="auto"/>
        <w:ind w:firstLine="540" w:firstLineChars="225"/>
        <w:rPr>
          <w:rFonts w:hint="eastAsia"/>
          <w:bCs/>
          <w:sz w:val="24"/>
        </w:rPr>
      </w:pPr>
      <w:r>
        <w:rPr>
          <w:rFonts w:hint="eastAsia"/>
          <w:bCs/>
          <w:sz w:val="24"/>
        </w:rPr>
        <w:t>4、基金收益分配后任一类基金份额净值不能低于面值；即基金收益分配基准日的任一类基金份额净值减去该类每单位基金份额收益分配金额后不能低于面值；</w:t>
      </w:r>
    </w:p>
    <w:p>
      <w:pPr>
        <w:spacing w:line="360" w:lineRule="auto"/>
        <w:ind w:firstLine="540" w:firstLineChars="225"/>
        <w:rPr>
          <w:rFonts w:hint="eastAsia"/>
          <w:bCs/>
          <w:sz w:val="24"/>
        </w:rPr>
      </w:pPr>
      <w:r>
        <w:rPr>
          <w:rFonts w:hint="eastAsia"/>
          <w:bCs/>
          <w:sz w:val="24"/>
        </w:rPr>
        <w:t>5、本基金同一基金份额类别的每一基金份额享有同等分配权；</w:t>
      </w:r>
    </w:p>
    <w:p>
      <w:pPr>
        <w:spacing w:line="360" w:lineRule="auto"/>
        <w:ind w:firstLine="540" w:firstLineChars="225"/>
        <w:rPr>
          <w:bCs/>
          <w:sz w:val="24"/>
        </w:rPr>
      </w:pPr>
      <w:r>
        <w:rPr>
          <w:rFonts w:hint="eastAsia"/>
          <w:bCs/>
          <w:sz w:val="24"/>
        </w:rPr>
        <w:t>6、法律法规或监管机关另有规定的，从其规定。</w:t>
      </w:r>
    </w:p>
    <w:p>
      <w:pPr>
        <w:spacing w:line="360" w:lineRule="auto"/>
        <w:ind w:firstLine="540" w:firstLineChars="225"/>
        <w:outlineLvl w:val="2"/>
        <w:rPr>
          <w:bCs/>
          <w:sz w:val="24"/>
        </w:rPr>
      </w:pPr>
      <w:r>
        <w:rPr>
          <w:bCs/>
          <w:sz w:val="24"/>
        </w:rPr>
        <w:t>（二）收益分配方案</w:t>
      </w:r>
    </w:p>
    <w:p>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outlineLvl w:val="2"/>
        <w:rPr>
          <w:bCs/>
          <w:sz w:val="24"/>
        </w:rPr>
      </w:pPr>
      <w:r>
        <w:rPr>
          <w:bCs/>
          <w:sz w:val="24"/>
        </w:rPr>
        <w:t>（三）收益分配方案的确定、公告与实施</w:t>
      </w:r>
    </w:p>
    <w:p>
      <w:pPr>
        <w:spacing w:line="360" w:lineRule="auto"/>
        <w:ind w:firstLine="540" w:firstLineChars="225"/>
        <w:rPr>
          <w:bCs/>
          <w:sz w:val="24"/>
        </w:rPr>
      </w:pPr>
      <w:r>
        <w:rPr>
          <w:bCs/>
          <w:sz w:val="24"/>
        </w:rPr>
        <w:t>本基金收益分配方案由基金管理人拟定，并由基金托管人复核，</w:t>
      </w:r>
      <w:r>
        <w:rPr>
          <w:rFonts w:hint="eastAsia"/>
          <w:bCs/>
          <w:sz w:val="24"/>
        </w:rPr>
        <w:t>依照《信息披露办法》的规定</w:t>
      </w:r>
      <w:r>
        <w:rPr>
          <w:bCs/>
          <w:sz w:val="24"/>
        </w:rPr>
        <w:t>在规定媒介公告。</w:t>
      </w:r>
    </w:p>
    <w:p>
      <w:pPr>
        <w:spacing w:line="360" w:lineRule="auto"/>
        <w:ind w:firstLine="480" w:firstLineChars="200"/>
        <w:rPr>
          <w:bCs/>
          <w:sz w:val="24"/>
        </w:rPr>
      </w:pPr>
      <w:r>
        <w:rPr>
          <w:rFonts w:hint="eastAsia"/>
          <w:bCs/>
          <w:sz w:val="24"/>
        </w:rPr>
        <w:t>法律法规或监管机关另有规定的，从其规定。</w:t>
      </w:r>
    </w:p>
    <w:p>
      <w:pPr>
        <w:spacing w:line="360" w:lineRule="auto"/>
        <w:ind w:firstLine="482" w:firstLineChars="200"/>
        <w:outlineLvl w:val="1"/>
        <w:rPr>
          <w:b/>
          <w:bCs/>
          <w:sz w:val="24"/>
        </w:rPr>
      </w:pPr>
      <w:r>
        <w:rPr>
          <w:b/>
          <w:bCs/>
          <w:sz w:val="24"/>
        </w:rPr>
        <w:t>四、与基金财产管理、运用有关费用的提取、支付方式与比例</w:t>
      </w:r>
    </w:p>
    <w:p>
      <w:pPr>
        <w:spacing w:line="360" w:lineRule="auto"/>
        <w:ind w:firstLine="480" w:firstLineChars="200"/>
        <w:outlineLvl w:val="2"/>
        <w:rPr>
          <w:bCs/>
          <w:sz w:val="24"/>
        </w:rPr>
      </w:pPr>
      <w:r>
        <w:rPr>
          <w:rFonts w:hint="eastAsia"/>
          <w:bCs/>
          <w:sz w:val="24"/>
        </w:rPr>
        <w:t>（一）基金费用的种类</w:t>
      </w:r>
    </w:p>
    <w:p>
      <w:pPr>
        <w:spacing w:line="360" w:lineRule="auto"/>
        <w:ind w:firstLine="480" w:firstLineChars="200"/>
        <w:rPr>
          <w:rFonts w:hint="eastAsia"/>
          <w:bCs/>
          <w:sz w:val="24"/>
        </w:rPr>
      </w:pPr>
      <w:r>
        <w:rPr>
          <w:rFonts w:hint="eastAsia"/>
          <w:bCs/>
          <w:sz w:val="24"/>
        </w:rPr>
        <w:t>1、基金管理人的管理费；</w:t>
      </w:r>
    </w:p>
    <w:p>
      <w:pPr>
        <w:spacing w:line="360" w:lineRule="auto"/>
        <w:ind w:firstLine="480" w:firstLineChars="200"/>
        <w:rPr>
          <w:rFonts w:hint="eastAsia"/>
          <w:bCs/>
          <w:sz w:val="24"/>
        </w:rPr>
      </w:pPr>
      <w:r>
        <w:rPr>
          <w:rFonts w:hint="eastAsia"/>
          <w:bCs/>
          <w:sz w:val="24"/>
        </w:rPr>
        <w:t>2、基金托管人的托管费；</w:t>
      </w:r>
    </w:p>
    <w:p>
      <w:pPr>
        <w:spacing w:line="360" w:lineRule="auto"/>
        <w:ind w:firstLine="480" w:firstLineChars="200"/>
        <w:rPr>
          <w:rFonts w:hint="eastAsia"/>
          <w:bCs/>
          <w:sz w:val="24"/>
        </w:rPr>
      </w:pPr>
      <w:r>
        <w:rPr>
          <w:rFonts w:hint="eastAsia"/>
          <w:bCs/>
          <w:sz w:val="24"/>
        </w:rPr>
        <w:t>3、《基金合同》生效后与基金相关的信息披露费用；</w:t>
      </w:r>
    </w:p>
    <w:p>
      <w:pPr>
        <w:spacing w:line="360" w:lineRule="auto"/>
        <w:ind w:firstLine="480" w:firstLineChars="200"/>
        <w:rPr>
          <w:rFonts w:hint="eastAsia"/>
          <w:bCs/>
          <w:sz w:val="24"/>
        </w:rPr>
      </w:pPr>
      <w:r>
        <w:rPr>
          <w:rFonts w:hint="eastAsia"/>
          <w:bCs/>
          <w:sz w:val="24"/>
        </w:rPr>
        <w:t>4、《基金合同》生效后与基金相关的会计师费、律师费、仲裁费和诉讼费；</w:t>
      </w:r>
    </w:p>
    <w:p>
      <w:pPr>
        <w:spacing w:line="360" w:lineRule="auto"/>
        <w:ind w:firstLine="480" w:firstLineChars="200"/>
        <w:rPr>
          <w:rFonts w:hint="eastAsia"/>
          <w:bCs/>
          <w:sz w:val="24"/>
        </w:rPr>
      </w:pPr>
      <w:r>
        <w:rPr>
          <w:rFonts w:hint="eastAsia"/>
          <w:bCs/>
          <w:sz w:val="24"/>
        </w:rPr>
        <w:t>5、基金份额持有人大会费用；</w:t>
      </w:r>
    </w:p>
    <w:p>
      <w:pPr>
        <w:spacing w:line="360" w:lineRule="auto"/>
        <w:ind w:firstLine="480" w:firstLineChars="200"/>
        <w:rPr>
          <w:rFonts w:hint="eastAsia"/>
          <w:bCs/>
          <w:sz w:val="24"/>
        </w:rPr>
      </w:pPr>
      <w:r>
        <w:rPr>
          <w:rFonts w:hint="eastAsia"/>
          <w:bCs/>
          <w:sz w:val="24"/>
        </w:rPr>
        <w:t>6、基金的证券、期货交易费用；</w:t>
      </w:r>
    </w:p>
    <w:p>
      <w:pPr>
        <w:spacing w:line="360" w:lineRule="auto"/>
        <w:ind w:firstLine="480" w:firstLineChars="200"/>
        <w:rPr>
          <w:rFonts w:hint="eastAsia"/>
          <w:bCs/>
          <w:sz w:val="24"/>
        </w:rPr>
      </w:pPr>
      <w:r>
        <w:rPr>
          <w:rFonts w:hint="eastAsia"/>
          <w:bCs/>
          <w:sz w:val="24"/>
        </w:rPr>
        <w:t>7、基金的银行汇划费用；</w:t>
      </w:r>
    </w:p>
    <w:p>
      <w:pPr>
        <w:spacing w:line="360" w:lineRule="auto"/>
        <w:ind w:firstLine="480" w:firstLineChars="200"/>
        <w:rPr>
          <w:rFonts w:hint="eastAsia"/>
          <w:bCs/>
          <w:sz w:val="24"/>
        </w:rPr>
      </w:pPr>
      <w:r>
        <w:rPr>
          <w:rFonts w:hint="eastAsia"/>
          <w:bCs/>
          <w:sz w:val="24"/>
        </w:rPr>
        <w:t>8、基金的开户费用、账户维护费用；</w:t>
      </w:r>
    </w:p>
    <w:p>
      <w:pPr>
        <w:spacing w:line="360" w:lineRule="auto"/>
        <w:ind w:firstLine="480" w:firstLineChars="200"/>
        <w:rPr>
          <w:rFonts w:hint="eastAsia"/>
          <w:bCs/>
          <w:sz w:val="24"/>
        </w:rPr>
      </w:pPr>
      <w:r>
        <w:rPr>
          <w:rFonts w:hint="eastAsia"/>
          <w:bCs/>
          <w:sz w:val="24"/>
        </w:rPr>
        <w:t>9、因投资港股通标的股票而产生的各项合理费用；</w:t>
      </w:r>
    </w:p>
    <w:p>
      <w:pPr>
        <w:spacing w:line="360" w:lineRule="auto"/>
        <w:ind w:firstLine="480" w:firstLineChars="200"/>
        <w:rPr>
          <w:rFonts w:hint="eastAsia"/>
          <w:bCs/>
          <w:sz w:val="24"/>
        </w:rPr>
      </w:pPr>
      <w:r>
        <w:rPr>
          <w:rFonts w:hint="eastAsia"/>
          <w:bCs/>
          <w:sz w:val="24"/>
        </w:rPr>
        <w:t>10、本基金从C类基金份额的基金财产中计提的销售服务费；</w:t>
      </w:r>
    </w:p>
    <w:p>
      <w:pPr>
        <w:spacing w:line="360" w:lineRule="auto"/>
        <w:ind w:firstLine="480" w:firstLineChars="200"/>
        <w:rPr>
          <w:bCs/>
          <w:sz w:val="24"/>
        </w:rPr>
      </w:pPr>
      <w:r>
        <w:rPr>
          <w:rFonts w:hint="eastAsia"/>
          <w:bCs/>
          <w:sz w:val="24"/>
        </w:rPr>
        <w:t>11、按照国家有关规定和《基金合同》约定，可以在基金财产中列支的其他费用。</w:t>
      </w:r>
    </w:p>
    <w:p>
      <w:pPr>
        <w:spacing w:line="360" w:lineRule="auto"/>
        <w:ind w:firstLine="480" w:firstLineChars="200"/>
        <w:outlineLvl w:val="2"/>
        <w:rPr>
          <w:bCs/>
          <w:sz w:val="24"/>
        </w:rPr>
      </w:pPr>
      <w:r>
        <w:rPr>
          <w:rFonts w:hint="eastAsia"/>
          <w:bCs/>
          <w:sz w:val="24"/>
        </w:rPr>
        <w:t>（二）基金费用计提方法、计提标准和支付方式</w:t>
      </w:r>
    </w:p>
    <w:p>
      <w:pPr>
        <w:spacing w:line="360" w:lineRule="auto"/>
        <w:ind w:firstLine="480" w:firstLineChars="200"/>
        <w:rPr>
          <w:rFonts w:hint="eastAsia"/>
          <w:bCs/>
          <w:sz w:val="24"/>
        </w:rPr>
      </w:pPr>
      <w:r>
        <w:rPr>
          <w:rFonts w:hint="eastAsia"/>
          <w:bCs/>
          <w:sz w:val="24"/>
        </w:rPr>
        <w:t>1、基金管理人的管理费</w:t>
      </w:r>
    </w:p>
    <w:p>
      <w:pPr>
        <w:spacing w:line="360" w:lineRule="auto"/>
        <w:ind w:firstLine="480" w:firstLineChars="200"/>
        <w:rPr>
          <w:rFonts w:hint="eastAsia"/>
          <w:bCs/>
          <w:sz w:val="24"/>
        </w:rPr>
      </w:pPr>
      <w:r>
        <w:rPr>
          <w:rFonts w:hint="eastAsia"/>
          <w:bCs/>
          <w:sz w:val="24"/>
        </w:rPr>
        <w:t>本基金的管理费按前一日基金资产净值的</w:t>
      </w:r>
      <w:r>
        <w:rPr>
          <w:bCs/>
          <w:sz w:val="24"/>
        </w:rPr>
        <w:t>0.6</w:t>
      </w:r>
      <w:r>
        <w:rPr>
          <w:rFonts w:hint="eastAsia"/>
          <w:bCs/>
          <w:sz w:val="24"/>
        </w:rPr>
        <w:t>%年费率计提。管理费的计算方法如下：</w:t>
      </w:r>
    </w:p>
    <w:p>
      <w:pPr>
        <w:spacing w:line="360" w:lineRule="auto"/>
        <w:ind w:firstLine="480" w:firstLineChars="200"/>
        <w:rPr>
          <w:rFonts w:hint="eastAsia"/>
          <w:bCs/>
          <w:sz w:val="24"/>
        </w:rPr>
      </w:pPr>
      <w:r>
        <w:rPr>
          <w:rFonts w:hint="eastAsia"/>
          <w:bCs/>
          <w:sz w:val="24"/>
        </w:rPr>
        <w:t>H＝E×年管理费率÷当年天数</w:t>
      </w:r>
    </w:p>
    <w:p>
      <w:pPr>
        <w:spacing w:line="360" w:lineRule="auto"/>
        <w:ind w:firstLine="480" w:firstLineChars="200"/>
        <w:rPr>
          <w:rFonts w:hint="eastAsia"/>
          <w:bCs/>
          <w:sz w:val="24"/>
        </w:rPr>
      </w:pPr>
      <w:r>
        <w:rPr>
          <w:rFonts w:hint="eastAsia"/>
          <w:bCs/>
          <w:sz w:val="24"/>
        </w:rPr>
        <w:t>H为每日应计提的基金管理费</w:t>
      </w:r>
    </w:p>
    <w:p>
      <w:pPr>
        <w:spacing w:line="360" w:lineRule="auto"/>
        <w:ind w:firstLine="480" w:firstLineChars="200"/>
        <w:rPr>
          <w:rFonts w:hint="eastAsia"/>
          <w:bCs/>
          <w:sz w:val="24"/>
        </w:rPr>
      </w:pPr>
      <w:r>
        <w:rPr>
          <w:rFonts w:hint="eastAsia"/>
          <w:bCs/>
          <w:sz w:val="24"/>
        </w:rPr>
        <w:t>E为前一日的基金资产净值</w:t>
      </w:r>
    </w:p>
    <w:p>
      <w:pPr>
        <w:spacing w:line="360" w:lineRule="auto"/>
        <w:ind w:firstLine="480" w:firstLineChars="200"/>
        <w:rPr>
          <w:rFonts w:hint="eastAsia"/>
          <w:bCs/>
          <w:sz w:val="24"/>
        </w:rPr>
      </w:pPr>
      <w:r>
        <w:rPr>
          <w:rFonts w:hint="eastAsia"/>
          <w:bCs/>
          <w:sz w:val="24"/>
        </w:rPr>
        <w:t>基金管理费每日计提，按月支付。由基金管理人向基金托管人发送基金管理费划付指令，经基金托管人复核无误后于次月首日起3个工作日内从基金财产中一次性支付给基金管理人。</w:t>
      </w:r>
    </w:p>
    <w:p>
      <w:pPr>
        <w:spacing w:line="360" w:lineRule="auto"/>
        <w:ind w:firstLine="480" w:firstLineChars="200"/>
        <w:rPr>
          <w:bCs/>
          <w:sz w:val="24"/>
        </w:rPr>
      </w:pPr>
      <w:r>
        <w:rPr>
          <w:rFonts w:hint="eastAsia"/>
          <w:bCs/>
          <w:sz w:val="24"/>
        </w:rPr>
        <w:t>若遇法定节假日、休息日或不可抗力致使无法按时支付的，顺延至最近可支付日支付。</w:t>
      </w:r>
    </w:p>
    <w:p>
      <w:pPr>
        <w:spacing w:line="360" w:lineRule="auto"/>
        <w:ind w:firstLine="480" w:firstLineChars="200"/>
        <w:rPr>
          <w:rFonts w:hint="eastAsia"/>
          <w:bCs/>
          <w:sz w:val="24"/>
        </w:rPr>
      </w:pPr>
      <w:r>
        <w:rPr>
          <w:rFonts w:hint="eastAsia"/>
          <w:bCs/>
          <w:sz w:val="24"/>
        </w:rPr>
        <w:t>2、基金托管人的托管费</w:t>
      </w:r>
    </w:p>
    <w:p>
      <w:pPr>
        <w:spacing w:line="360" w:lineRule="auto"/>
        <w:ind w:firstLine="480" w:firstLineChars="200"/>
        <w:rPr>
          <w:rFonts w:hint="eastAsia"/>
          <w:bCs/>
          <w:sz w:val="24"/>
        </w:rPr>
      </w:pPr>
      <w:r>
        <w:rPr>
          <w:rFonts w:hint="eastAsia"/>
          <w:bCs/>
          <w:sz w:val="24"/>
        </w:rPr>
        <w:t>本基金的托管费按前一日基金资产净值的0.2%年费率计提。托管费的计算方法如下：</w:t>
      </w:r>
    </w:p>
    <w:p>
      <w:pPr>
        <w:spacing w:line="360" w:lineRule="auto"/>
        <w:ind w:firstLine="480" w:firstLineChars="200"/>
        <w:rPr>
          <w:rFonts w:hint="eastAsia"/>
          <w:bCs/>
          <w:sz w:val="24"/>
        </w:rPr>
      </w:pPr>
      <w:r>
        <w:rPr>
          <w:rFonts w:hint="eastAsia"/>
          <w:bCs/>
          <w:sz w:val="24"/>
        </w:rPr>
        <w:t>H＝E×年托管费率÷当年天数</w:t>
      </w:r>
    </w:p>
    <w:p>
      <w:pPr>
        <w:spacing w:line="360" w:lineRule="auto"/>
        <w:ind w:firstLine="480" w:firstLineChars="200"/>
        <w:rPr>
          <w:rFonts w:hint="eastAsia"/>
          <w:bCs/>
          <w:sz w:val="24"/>
        </w:rPr>
      </w:pPr>
      <w:r>
        <w:rPr>
          <w:rFonts w:hint="eastAsia"/>
          <w:bCs/>
          <w:sz w:val="24"/>
        </w:rPr>
        <w:t>H为每日应计提的基金托管费</w:t>
      </w:r>
    </w:p>
    <w:p>
      <w:pPr>
        <w:spacing w:line="360" w:lineRule="auto"/>
        <w:ind w:firstLine="480" w:firstLineChars="200"/>
        <w:rPr>
          <w:rFonts w:hint="eastAsia"/>
          <w:bCs/>
          <w:sz w:val="24"/>
        </w:rPr>
      </w:pPr>
      <w:r>
        <w:rPr>
          <w:rFonts w:hint="eastAsia"/>
          <w:bCs/>
          <w:sz w:val="24"/>
        </w:rPr>
        <w:t>E为前一日的基金资产净值</w:t>
      </w:r>
    </w:p>
    <w:p>
      <w:pPr>
        <w:spacing w:line="360" w:lineRule="auto"/>
        <w:ind w:firstLine="480" w:firstLineChars="200"/>
        <w:rPr>
          <w:rFonts w:hint="eastAsia"/>
          <w:bCs/>
          <w:sz w:val="24"/>
        </w:rPr>
      </w:pPr>
      <w:r>
        <w:rPr>
          <w:rFonts w:hint="eastAsia"/>
          <w:bCs/>
          <w:sz w:val="24"/>
        </w:rPr>
        <w:t>基金托管费每日计提，按月支付。由基金管理人向基金托管人发送基金托管费划付指令，经基金托管人复核无误后于次月首日起3个工作日内从基金</w:t>
      </w:r>
      <w:r>
        <w:rPr>
          <w:bCs/>
          <w:sz w:val="24"/>
        </w:rPr>
        <w:t>财</w:t>
      </w:r>
      <w:r>
        <w:rPr>
          <w:rFonts w:hint="eastAsia"/>
          <w:bCs/>
          <w:sz w:val="24"/>
        </w:rPr>
        <w:t>产中一次性支付给基金托管人。</w:t>
      </w:r>
    </w:p>
    <w:p>
      <w:pPr>
        <w:spacing w:line="360" w:lineRule="auto"/>
        <w:ind w:firstLine="480" w:firstLineChars="200"/>
        <w:rPr>
          <w:rFonts w:hint="eastAsia"/>
          <w:bCs/>
          <w:sz w:val="24"/>
        </w:rPr>
      </w:pPr>
      <w:r>
        <w:rPr>
          <w:rFonts w:hint="eastAsia"/>
          <w:bCs/>
          <w:sz w:val="24"/>
        </w:rPr>
        <w:t>若遇法定节假日、休息日或不可抗力致使无法按时支付的，顺延至最近可支付日支付。</w:t>
      </w:r>
    </w:p>
    <w:p>
      <w:pPr>
        <w:spacing w:line="360" w:lineRule="auto"/>
        <w:ind w:firstLine="480" w:firstLineChars="200"/>
        <w:rPr>
          <w:rFonts w:hint="eastAsia"/>
          <w:bCs/>
          <w:sz w:val="24"/>
        </w:rPr>
      </w:pPr>
      <w:r>
        <w:rPr>
          <w:rFonts w:hint="eastAsia"/>
          <w:bCs/>
          <w:sz w:val="24"/>
        </w:rPr>
        <w:t>3、C类基金份额的销售服务费</w:t>
      </w:r>
    </w:p>
    <w:p>
      <w:pPr>
        <w:spacing w:line="360" w:lineRule="auto"/>
        <w:ind w:firstLine="480" w:firstLineChars="200"/>
        <w:rPr>
          <w:rFonts w:hint="eastAsia"/>
          <w:bCs/>
          <w:sz w:val="24"/>
        </w:rPr>
      </w:pPr>
      <w:r>
        <w:rPr>
          <w:rFonts w:hint="eastAsia"/>
          <w:bCs/>
          <w:sz w:val="24"/>
        </w:rPr>
        <w:t>本基金A类基金份额不收取销售服务费，C类基金份额的销售服务费按前一日C类基金资产净值的</w:t>
      </w:r>
      <w:r>
        <w:rPr>
          <w:bCs/>
          <w:sz w:val="24"/>
        </w:rPr>
        <w:t>0.4</w:t>
      </w:r>
      <w:r>
        <w:rPr>
          <w:rFonts w:hint="eastAsia"/>
          <w:bCs/>
          <w:sz w:val="24"/>
        </w:rPr>
        <w:t>%年费率计提。计算方法如下：</w:t>
      </w:r>
    </w:p>
    <w:p>
      <w:pPr>
        <w:spacing w:line="360" w:lineRule="auto"/>
        <w:ind w:firstLine="480" w:firstLineChars="200"/>
        <w:rPr>
          <w:rFonts w:hint="eastAsia"/>
          <w:bCs/>
          <w:sz w:val="24"/>
        </w:rPr>
      </w:pPr>
      <w:r>
        <w:rPr>
          <w:rFonts w:hint="eastAsia"/>
          <w:bCs/>
          <w:sz w:val="24"/>
        </w:rPr>
        <w:t>H＝E×年销售服务费率÷当年天数</w:t>
      </w:r>
    </w:p>
    <w:p>
      <w:pPr>
        <w:spacing w:line="360" w:lineRule="auto"/>
        <w:ind w:firstLine="480" w:firstLineChars="200"/>
        <w:rPr>
          <w:rFonts w:hint="eastAsia"/>
          <w:bCs/>
          <w:sz w:val="24"/>
        </w:rPr>
      </w:pPr>
      <w:r>
        <w:rPr>
          <w:rFonts w:hint="eastAsia"/>
          <w:bCs/>
          <w:sz w:val="24"/>
        </w:rPr>
        <w:t>H为C类基金份额每日应计提的销售服务费</w:t>
      </w:r>
    </w:p>
    <w:p>
      <w:pPr>
        <w:spacing w:line="360" w:lineRule="auto"/>
        <w:ind w:firstLine="480" w:firstLineChars="200"/>
        <w:rPr>
          <w:rFonts w:hint="eastAsia"/>
          <w:bCs/>
          <w:sz w:val="24"/>
        </w:rPr>
      </w:pPr>
      <w:r>
        <w:rPr>
          <w:rFonts w:hint="eastAsia"/>
          <w:bCs/>
          <w:sz w:val="24"/>
        </w:rPr>
        <w:t>E为C类基金份额前一日基金资产净值</w:t>
      </w:r>
    </w:p>
    <w:p>
      <w:pPr>
        <w:spacing w:line="360" w:lineRule="auto"/>
        <w:ind w:firstLine="480" w:firstLineChars="200"/>
        <w:rPr>
          <w:rFonts w:hint="eastAsia"/>
          <w:bCs/>
          <w:sz w:val="24"/>
        </w:rPr>
      </w:pPr>
      <w:r>
        <w:rPr>
          <w:sz w:val="24"/>
        </w:rPr>
        <w:t>C</w:t>
      </w:r>
      <w:r>
        <w:rPr>
          <w:rFonts w:hAnsi="宋体"/>
          <w:sz w:val="24"/>
        </w:rPr>
        <w:t>类基金份额销售服务费</w:t>
      </w:r>
      <w:r>
        <w:rPr>
          <w:rFonts w:hint="eastAsia" w:hAnsi="宋体"/>
          <w:sz w:val="24"/>
        </w:rPr>
        <w:t>每日计提，按月支付。由基金管理人与基金托管人核对一致后，由基金托管人复核后于次月首日起第3个工作日从基金财产中一次性支付给基金管理人，由基金管理人代付给销售机构，若遇法定节假日、休息日或不可抗力致使无法按时支付的，支付日期顺延。</w:t>
      </w:r>
    </w:p>
    <w:p>
      <w:pPr>
        <w:spacing w:line="360" w:lineRule="auto"/>
        <w:ind w:firstLine="480" w:firstLineChars="200"/>
        <w:rPr>
          <w:rFonts w:hint="eastAsia"/>
          <w:bCs/>
          <w:sz w:val="24"/>
        </w:rPr>
      </w:pPr>
      <w:r>
        <w:rPr>
          <w:rFonts w:hint="eastAsia"/>
          <w:bCs/>
          <w:sz w:val="24"/>
        </w:rPr>
        <w:t>若遇法定节假日、休息日或不可抗力致使无法按时支付的，顺延至最近可支付日支付。</w:t>
      </w:r>
    </w:p>
    <w:p>
      <w:pPr>
        <w:spacing w:line="360" w:lineRule="auto"/>
        <w:ind w:firstLine="480" w:firstLineChars="200"/>
        <w:rPr>
          <w:rFonts w:hint="eastAsia"/>
          <w:bCs/>
          <w:sz w:val="24"/>
        </w:rPr>
      </w:pPr>
      <w:r>
        <w:rPr>
          <w:rFonts w:hint="eastAsia"/>
          <w:bCs/>
          <w:sz w:val="24"/>
        </w:rPr>
        <w:t>C类基金份额的销售服务费将专门用于本基金的推广、销售与基金份额持有人服务。</w:t>
      </w:r>
    </w:p>
    <w:p>
      <w:pPr>
        <w:spacing w:line="360" w:lineRule="auto"/>
        <w:ind w:firstLine="480" w:firstLineChars="200"/>
        <w:rPr>
          <w:bCs/>
          <w:sz w:val="24"/>
        </w:rPr>
      </w:pPr>
      <w:r>
        <w:rPr>
          <w:rFonts w:hint="eastAsia"/>
          <w:bCs/>
          <w:sz w:val="24"/>
        </w:rPr>
        <w:t>4、上述“（一）基金费用的种类”中第3－9项、第11项费用，根据有关法规及相应协议规定，按费用实际支出金额列入当期费用，由基金托管人从基金财产中支付。</w:t>
      </w:r>
    </w:p>
    <w:p>
      <w:pPr>
        <w:spacing w:line="360" w:lineRule="auto"/>
        <w:ind w:firstLine="480" w:firstLineChars="200"/>
        <w:outlineLvl w:val="2"/>
        <w:rPr>
          <w:bCs/>
          <w:sz w:val="24"/>
        </w:rPr>
      </w:pPr>
      <w:r>
        <w:rPr>
          <w:rFonts w:hint="eastAsia"/>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pStyle w:val="38"/>
        <w:spacing w:afterLines="0"/>
        <w:ind w:firstLine="480"/>
        <w:rPr>
          <w:rFonts w:ascii="宋体" w:hAnsi="宋体"/>
          <w:bCs/>
          <w:szCs w:val="24"/>
        </w:rPr>
      </w:pPr>
      <w:r>
        <w:rPr>
          <w:bCs/>
        </w:rPr>
        <w:t>4、其他根据相关法律法规及中国证监会的有关规定不得列入基金费用的项目。</w:t>
      </w:r>
    </w:p>
    <w:p>
      <w:pPr>
        <w:spacing w:line="360" w:lineRule="auto"/>
        <w:ind w:firstLine="480" w:firstLineChars="200"/>
        <w:outlineLvl w:val="2"/>
        <w:rPr>
          <w:rFonts w:hint="eastAsia"/>
          <w:bCs/>
          <w:sz w:val="24"/>
        </w:rPr>
      </w:pPr>
      <w:r>
        <w:rPr>
          <w:rFonts w:hint="eastAsia"/>
          <w:bCs/>
          <w:sz w:val="24"/>
        </w:rPr>
        <w:t>（四）实施侧袋机制期间的基金费用</w:t>
      </w:r>
    </w:p>
    <w:p>
      <w:pPr>
        <w:spacing w:line="360" w:lineRule="auto"/>
        <w:ind w:firstLine="480" w:firstLineChars="20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firstLineChars="200"/>
        <w:outlineLvl w:val="2"/>
        <w:rPr>
          <w:bCs/>
          <w:sz w:val="24"/>
        </w:rPr>
      </w:pPr>
      <w:r>
        <w:rPr>
          <w:rFonts w:hint="eastAsia"/>
          <w:bCs/>
          <w:sz w:val="24"/>
        </w:rPr>
        <w:t>（五）基金税收</w:t>
      </w:r>
    </w:p>
    <w:p>
      <w:pPr>
        <w:spacing w:line="360" w:lineRule="auto"/>
        <w:ind w:firstLine="480" w:firstLineChars="200"/>
        <w:rPr>
          <w:rFonts w:hint="eastAsia"/>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pPr>
        <w:spacing w:line="360" w:lineRule="auto"/>
        <w:ind w:firstLine="482" w:firstLineChars="200"/>
        <w:outlineLvl w:val="1"/>
        <w:rPr>
          <w:b/>
          <w:bCs/>
          <w:sz w:val="24"/>
        </w:rPr>
      </w:pPr>
      <w:r>
        <w:rPr>
          <w:b/>
          <w:bCs/>
          <w:sz w:val="24"/>
        </w:rPr>
        <w:t>五、基金财产的投资方向和投资限制</w:t>
      </w:r>
    </w:p>
    <w:p>
      <w:pPr>
        <w:spacing w:line="360" w:lineRule="auto"/>
        <w:ind w:firstLine="480" w:firstLineChars="200"/>
        <w:outlineLvl w:val="2"/>
        <w:rPr>
          <w:bCs/>
          <w:sz w:val="24"/>
        </w:rPr>
      </w:pPr>
      <w:r>
        <w:rPr>
          <w:bCs/>
          <w:sz w:val="24"/>
        </w:rPr>
        <w:t>（</w:t>
      </w:r>
      <w:r>
        <w:rPr>
          <w:rFonts w:hint="eastAsia"/>
          <w:bCs/>
          <w:sz w:val="24"/>
        </w:rPr>
        <w:t>一</w:t>
      </w:r>
      <w:r>
        <w:rPr>
          <w:bCs/>
          <w:sz w:val="24"/>
        </w:rPr>
        <w:t>）</w:t>
      </w:r>
      <w:r>
        <w:rPr>
          <w:rFonts w:hint="eastAsia"/>
          <w:bCs/>
          <w:sz w:val="24"/>
        </w:rPr>
        <w:t>投资目标</w:t>
      </w:r>
    </w:p>
    <w:p>
      <w:pPr>
        <w:spacing w:line="360" w:lineRule="auto"/>
        <w:ind w:firstLine="480" w:firstLineChars="200"/>
        <w:rPr>
          <w:bCs/>
          <w:sz w:val="24"/>
        </w:rPr>
      </w:pPr>
      <w:r>
        <w:rPr>
          <w:rFonts w:hint="eastAsia"/>
          <w:bCs/>
          <w:sz w:val="24"/>
        </w:rPr>
        <w:t>在合理控制风险并保持基金资产良好流动性的前提下，追求超越业绩比较基准的投资回报，力争实现基金资产的长期稳健增值。</w:t>
      </w:r>
    </w:p>
    <w:p>
      <w:pPr>
        <w:spacing w:line="360" w:lineRule="auto"/>
        <w:ind w:firstLine="480" w:firstLineChars="200"/>
        <w:outlineLvl w:val="2"/>
        <w:rPr>
          <w:bCs/>
          <w:sz w:val="24"/>
        </w:rPr>
      </w:pPr>
      <w:r>
        <w:rPr>
          <w:rFonts w:hint="eastAsia"/>
          <w:bCs/>
          <w:sz w:val="24"/>
        </w:rPr>
        <w:t>（二）投资范围</w:t>
      </w:r>
    </w:p>
    <w:p>
      <w:pPr>
        <w:spacing w:line="360" w:lineRule="auto"/>
        <w:ind w:firstLine="480" w:firstLineChars="200"/>
        <w:rPr>
          <w:rFonts w:hint="eastAsia"/>
          <w:bCs/>
          <w:sz w:val="24"/>
        </w:rPr>
      </w:pPr>
      <w:r>
        <w:rPr>
          <w:rFonts w:hint="eastAsia"/>
          <w:bCs/>
          <w:sz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spacing w:line="360" w:lineRule="auto"/>
        <w:ind w:firstLine="480" w:firstLineChars="200"/>
        <w:rPr>
          <w:rFonts w:hint="eastAsia"/>
          <w:bCs/>
          <w:sz w:val="24"/>
        </w:rPr>
      </w:pPr>
      <w:r>
        <w:rPr>
          <w:rFonts w:hint="eastAsia"/>
          <w:bCs/>
          <w:sz w:val="24"/>
        </w:rPr>
        <w:t>如法律法规或监管机构以后允许基金投资其他品种，基金管理人在履行适当程序后，可以将其纳入投资范围。</w:t>
      </w:r>
    </w:p>
    <w:p>
      <w:pPr>
        <w:spacing w:line="360" w:lineRule="auto"/>
        <w:ind w:firstLine="480" w:firstLineChars="200"/>
        <w:rPr>
          <w:rFonts w:hint="eastAsia"/>
          <w:bCs/>
          <w:sz w:val="24"/>
        </w:rPr>
      </w:pPr>
      <w:r>
        <w:rPr>
          <w:rFonts w:hint="eastAsia"/>
          <w:bCs/>
          <w:sz w:val="24"/>
        </w:rPr>
        <w:t>基金的投资组合比例为：股票投资（含存托凭证）占基金资产的比例为0%-3</w:t>
      </w:r>
      <w:r>
        <w:rPr>
          <w:bCs/>
          <w:sz w:val="24"/>
        </w:rPr>
        <w:t>0</w:t>
      </w:r>
      <w:r>
        <w:rPr>
          <w:rFonts w:hint="eastAsia"/>
          <w:bCs/>
          <w:sz w:val="24"/>
        </w:rPr>
        <w:t>%（其中投资于港股通标的股票的比例占股票资产的0%-50%），同业存单投资占基金资产的比例不超过20%；每个交易日日终在扣除股指期货合约需缴纳的交易保证金后，本基金保留的现金或者投资于到期日在一年以内的政府债券的比例合计不低于基金资产净值的5%</w:t>
      </w:r>
      <w:r>
        <w:rPr>
          <w:rFonts w:hint="eastAsia" w:ascii="宋体" w:hAnsi="宋体"/>
          <w:bCs/>
          <w:sz w:val="24"/>
          <w:szCs w:val="24"/>
        </w:rPr>
        <w:t>，</w:t>
      </w:r>
      <w:r>
        <w:rPr>
          <w:rFonts w:hint="eastAsia"/>
          <w:bCs/>
          <w:sz w:val="24"/>
        </w:rPr>
        <w:t>其中现金不包括结算备付金、存出保证金、应收申购款等。</w:t>
      </w:r>
    </w:p>
    <w:p>
      <w:pPr>
        <w:spacing w:line="360" w:lineRule="auto"/>
        <w:ind w:firstLine="480" w:firstLineChars="200"/>
        <w:rPr>
          <w:bCs/>
          <w:sz w:val="24"/>
        </w:rPr>
      </w:pPr>
      <w:r>
        <w:rPr>
          <w:rFonts w:hint="eastAsia"/>
          <w:bCs/>
          <w:sz w:val="24"/>
        </w:rPr>
        <w:t>如果法律法规或中国证监会变更投资品种的投资比例限制，基金管理人在履行适当程序后，可以调整上述投资品种的投资比例。</w:t>
      </w:r>
    </w:p>
    <w:p>
      <w:pPr>
        <w:spacing w:line="360" w:lineRule="auto"/>
        <w:ind w:firstLine="480" w:firstLineChars="200"/>
        <w:outlineLvl w:val="2"/>
        <w:rPr>
          <w:bCs/>
          <w:sz w:val="24"/>
        </w:rPr>
      </w:pPr>
      <w:r>
        <w:rPr>
          <w:bCs/>
          <w:sz w:val="24"/>
        </w:rPr>
        <w:t>（</w:t>
      </w:r>
      <w:r>
        <w:rPr>
          <w:rFonts w:hint="eastAsia"/>
          <w:bCs/>
          <w:sz w:val="24"/>
        </w:rPr>
        <w:t>三</w:t>
      </w:r>
      <w:r>
        <w:rPr>
          <w:bCs/>
          <w:sz w:val="24"/>
        </w:rPr>
        <w:t>）</w:t>
      </w:r>
      <w:r>
        <w:rPr>
          <w:rFonts w:hint="eastAsia"/>
          <w:bCs/>
          <w:sz w:val="24"/>
        </w:rPr>
        <w:t>投资策略</w:t>
      </w:r>
    </w:p>
    <w:p>
      <w:pPr>
        <w:spacing w:line="360" w:lineRule="auto"/>
        <w:ind w:firstLine="480" w:firstLineChars="200"/>
        <w:rPr>
          <w:rFonts w:hint="eastAsia"/>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p>
    <w:p>
      <w:pPr>
        <w:spacing w:line="360" w:lineRule="auto"/>
        <w:ind w:firstLine="480" w:firstLineChars="200"/>
        <w:rPr>
          <w:rFonts w:hint="eastAsia"/>
          <w:bCs/>
          <w:sz w:val="24"/>
        </w:rPr>
      </w:pPr>
      <w:r>
        <w:rPr>
          <w:rFonts w:hint="eastAsia"/>
          <w:bCs/>
          <w:sz w:val="24"/>
        </w:rPr>
        <w:t>1、大类资产配置</w:t>
      </w:r>
    </w:p>
    <w:p>
      <w:pPr>
        <w:spacing w:line="360" w:lineRule="auto"/>
        <w:ind w:firstLine="480" w:firstLineChars="200"/>
        <w:rPr>
          <w:rFonts w:hint="eastAsia"/>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pPr>
        <w:spacing w:line="360" w:lineRule="auto"/>
        <w:ind w:firstLine="480" w:firstLineChars="200"/>
        <w:rPr>
          <w:rFonts w:hint="eastAsia"/>
          <w:bCs/>
          <w:sz w:val="24"/>
        </w:rPr>
      </w:pPr>
      <w:r>
        <w:rPr>
          <w:rFonts w:hint="eastAsia"/>
          <w:bCs/>
          <w:sz w:val="24"/>
        </w:rPr>
        <w:t>2、股票投资策略</w:t>
      </w:r>
    </w:p>
    <w:p>
      <w:pPr>
        <w:spacing w:line="360" w:lineRule="auto"/>
        <w:ind w:firstLine="480" w:firstLineChars="200"/>
        <w:rPr>
          <w:rFonts w:hint="eastAsia"/>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spacing w:line="360" w:lineRule="auto"/>
        <w:ind w:firstLine="480" w:firstLineChars="200"/>
        <w:rPr>
          <w:rFonts w:hint="eastAsia"/>
          <w:bCs/>
          <w:sz w:val="24"/>
        </w:rPr>
      </w:pPr>
      <w:r>
        <w:rPr>
          <w:rFonts w:hint="eastAsia"/>
          <w:bCs/>
          <w:sz w:val="24"/>
        </w:rPr>
        <w:t>（1）品质筛选</w:t>
      </w:r>
    </w:p>
    <w:p>
      <w:pPr>
        <w:spacing w:line="360" w:lineRule="auto"/>
        <w:ind w:firstLine="480" w:firstLineChars="200"/>
        <w:rPr>
          <w:bCs/>
          <w:sz w:val="24"/>
        </w:rPr>
      </w:pPr>
      <w:r>
        <w:rPr>
          <w:rFonts w:hint="eastAsia"/>
          <w:bCs/>
          <w:sz w:val="24"/>
        </w:rPr>
        <w:t>筛选出在公司治理、财务及管理品质上符合基本品质要求的公司，构建备选股票池。主要筛选指标包括：</w:t>
      </w:r>
    </w:p>
    <w:p>
      <w:pPr>
        <w:numPr>
          <w:ilvl w:val="0"/>
          <w:numId w:val="2"/>
        </w:numPr>
        <w:spacing w:line="360" w:lineRule="auto"/>
        <w:rPr>
          <w:rFonts w:ascii="宋体" w:hAnsi="宋体"/>
          <w:sz w:val="24"/>
        </w:rPr>
      </w:pPr>
      <w:r>
        <w:rPr>
          <w:rFonts w:hint="eastAsia" w:ascii="宋体" w:hAnsi="宋体"/>
          <w:sz w:val="24"/>
        </w:rPr>
        <w:t>盈利能力指标：如市盈率</w:t>
      </w:r>
      <w:r>
        <w:rPr>
          <w:rFonts w:ascii="宋体" w:hAnsi="宋体"/>
          <w:sz w:val="24"/>
        </w:rPr>
        <w:t>（</w:t>
      </w:r>
      <w:r>
        <w:rPr>
          <w:rFonts w:hint="eastAsia" w:ascii="宋体" w:hAnsi="宋体"/>
          <w:sz w:val="24"/>
        </w:rPr>
        <w:t>P/E）、市现</w:t>
      </w:r>
      <w:r>
        <w:rPr>
          <w:rFonts w:ascii="宋体" w:hAnsi="宋体"/>
          <w:sz w:val="24"/>
        </w:rPr>
        <w:t>率（</w:t>
      </w:r>
      <w:r>
        <w:rPr>
          <w:rFonts w:hint="eastAsia" w:ascii="宋体" w:hAnsi="宋体"/>
          <w:sz w:val="24"/>
        </w:rPr>
        <w:t>P/Cash Flow）、股价与</w:t>
      </w:r>
      <w:r>
        <w:rPr>
          <w:rFonts w:ascii="宋体" w:hAnsi="宋体"/>
          <w:sz w:val="24"/>
        </w:rPr>
        <w:t>每股自由现金流比率（</w:t>
      </w:r>
      <w:r>
        <w:rPr>
          <w:rFonts w:hint="eastAsia" w:ascii="宋体" w:hAnsi="宋体"/>
          <w:sz w:val="24"/>
        </w:rPr>
        <w:t>P/FCF）、市销率</w:t>
      </w:r>
      <w:r>
        <w:rPr>
          <w:rFonts w:ascii="宋体" w:hAnsi="宋体"/>
          <w:sz w:val="24"/>
        </w:rPr>
        <w:t>（</w:t>
      </w:r>
      <w:r>
        <w:rPr>
          <w:rFonts w:hint="eastAsia" w:ascii="宋体" w:hAnsi="宋体"/>
          <w:sz w:val="24"/>
        </w:rPr>
        <w:t>P/S）、股价与</w:t>
      </w:r>
      <w:r>
        <w:rPr>
          <w:rFonts w:ascii="宋体" w:hAnsi="宋体"/>
          <w:sz w:val="24"/>
        </w:rPr>
        <w:t>每股息税前利润比率</w:t>
      </w:r>
      <w:r>
        <w:rPr>
          <w:rFonts w:hint="eastAsia" w:ascii="宋体" w:hAnsi="宋体"/>
          <w:sz w:val="24"/>
        </w:rPr>
        <w:t>（P/EBIT）等；</w:t>
      </w:r>
    </w:p>
    <w:p>
      <w:pPr>
        <w:numPr>
          <w:ilvl w:val="0"/>
          <w:numId w:val="2"/>
        </w:numPr>
        <w:spacing w:line="360" w:lineRule="auto"/>
        <w:rPr>
          <w:rFonts w:ascii="宋体" w:hAnsi="宋体"/>
          <w:sz w:val="24"/>
        </w:rPr>
      </w:pPr>
      <w:r>
        <w:rPr>
          <w:rFonts w:hint="eastAsia" w:ascii="宋体" w:hAnsi="宋体"/>
          <w:sz w:val="24"/>
        </w:rPr>
        <w:t>经营效率指标：如净资产</w:t>
      </w:r>
      <w:r>
        <w:rPr>
          <w:rFonts w:ascii="宋体" w:hAnsi="宋体"/>
          <w:sz w:val="24"/>
        </w:rPr>
        <w:t>收益率（</w:t>
      </w:r>
      <w:r>
        <w:rPr>
          <w:rFonts w:hint="eastAsia" w:ascii="宋体" w:hAnsi="宋体"/>
          <w:sz w:val="24"/>
        </w:rPr>
        <w:t>ROE）、资产</w:t>
      </w:r>
      <w:r>
        <w:rPr>
          <w:rFonts w:ascii="宋体" w:hAnsi="宋体"/>
          <w:sz w:val="24"/>
        </w:rPr>
        <w:t>收益率（</w:t>
      </w:r>
      <w:r>
        <w:rPr>
          <w:rFonts w:hint="eastAsia" w:ascii="宋体" w:hAnsi="宋体"/>
          <w:sz w:val="24"/>
        </w:rPr>
        <w:t>ROA）、经营</w:t>
      </w:r>
      <w:r>
        <w:rPr>
          <w:rFonts w:ascii="宋体" w:hAnsi="宋体"/>
          <w:sz w:val="24"/>
        </w:rPr>
        <w:t>资产</w:t>
      </w:r>
      <w:r>
        <w:rPr>
          <w:rFonts w:hint="eastAsia" w:ascii="宋体" w:hAnsi="宋体"/>
          <w:sz w:val="24"/>
        </w:rPr>
        <w:t>回报</w:t>
      </w:r>
      <w:r>
        <w:rPr>
          <w:rFonts w:ascii="宋体" w:hAnsi="宋体"/>
          <w:sz w:val="24"/>
        </w:rPr>
        <w:t>率（</w:t>
      </w:r>
      <w:r>
        <w:rPr>
          <w:rFonts w:hint="eastAsia" w:ascii="宋体" w:hAnsi="宋体"/>
          <w:sz w:val="24"/>
        </w:rPr>
        <w:t>Return on operating assets）等；</w:t>
      </w:r>
    </w:p>
    <w:p>
      <w:pPr>
        <w:numPr>
          <w:ilvl w:val="0"/>
          <w:numId w:val="2"/>
        </w:numPr>
        <w:spacing w:line="360" w:lineRule="auto"/>
        <w:rPr>
          <w:rFonts w:ascii="宋体" w:hAnsi="宋体"/>
          <w:sz w:val="24"/>
        </w:rPr>
      </w:pPr>
      <w:r>
        <w:rPr>
          <w:rFonts w:hint="eastAsia" w:ascii="宋体" w:hAnsi="宋体"/>
          <w:sz w:val="24"/>
        </w:rPr>
        <w:t>财务状况指标：如资产</w:t>
      </w:r>
      <w:r>
        <w:rPr>
          <w:rFonts w:ascii="宋体" w:hAnsi="宋体"/>
          <w:sz w:val="24"/>
        </w:rPr>
        <w:t>负债率（</w:t>
      </w:r>
      <w:r>
        <w:rPr>
          <w:rFonts w:hint="eastAsia" w:ascii="宋体" w:hAnsi="宋体"/>
          <w:sz w:val="24"/>
        </w:rPr>
        <w:t>D/A）、流动比率等；</w:t>
      </w:r>
    </w:p>
    <w:p>
      <w:pPr>
        <w:numPr>
          <w:ilvl w:val="0"/>
          <w:numId w:val="2"/>
        </w:numPr>
        <w:spacing w:line="360" w:lineRule="auto"/>
        <w:rPr>
          <w:rFonts w:ascii="宋体" w:hAnsi="宋体"/>
          <w:sz w:val="24"/>
        </w:rPr>
      </w:pPr>
      <w:r>
        <w:rPr>
          <w:rFonts w:hint="eastAsia" w:ascii="宋体" w:hAnsi="宋体"/>
          <w:sz w:val="24"/>
        </w:rPr>
        <w:t>研发</w:t>
      </w:r>
      <w:r>
        <w:rPr>
          <w:rFonts w:ascii="宋体" w:hAnsi="宋体"/>
          <w:sz w:val="24"/>
        </w:rPr>
        <w:t>投入指标：如</w:t>
      </w:r>
      <w:r>
        <w:rPr>
          <w:rFonts w:hint="eastAsia" w:ascii="宋体" w:hAnsi="宋体"/>
          <w:sz w:val="24"/>
        </w:rPr>
        <w:t>研发</w:t>
      </w:r>
      <w:r>
        <w:rPr>
          <w:rFonts w:ascii="宋体" w:hAnsi="宋体"/>
          <w:sz w:val="24"/>
        </w:rPr>
        <w:t>投入与营业</w:t>
      </w:r>
      <w:r>
        <w:rPr>
          <w:rFonts w:hint="eastAsia" w:ascii="宋体" w:hAnsi="宋体"/>
          <w:sz w:val="24"/>
        </w:rPr>
        <w:t>收入</w:t>
      </w:r>
      <w:r>
        <w:rPr>
          <w:rFonts w:ascii="宋体" w:hAnsi="宋体"/>
          <w:sz w:val="24"/>
        </w:rPr>
        <w:t>比率、科研人员数量及占比、专利数量及在同行业的占比等。</w:t>
      </w:r>
    </w:p>
    <w:p>
      <w:pPr>
        <w:spacing w:line="360" w:lineRule="auto"/>
        <w:ind w:firstLine="480" w:firstLineChars="200"/>
        <w:rPr>
          <w:rFonts w:hint="eastAsia"/>
          <w:bCs/>
          <w:sz w:val="24"/>
        </w:rPr>
      </w:pPr>
      <w:r>
        <w:rPr>
          <w:rFonts w:hint="eastAsia"/>
          <w:bCs/>
          <w:sz w:val="24"/>
        </w:rPr>
        <w:t>（2）价值评估</w:t>
      </w:r>
    </w:p>
    <w:p>
      <w:pPr>
        <w:spacing w:line="360" w:lineRule="auto"/>
        <w:ind w:firstLine="480" w:firstLineChars="200"/>
        <w:rPr>
          <w:rFonts w:hint="eastAsia"/>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spacing w:line="360" w:lineRule="auto"/>
        <w:ind w:firstLine="480" w:firstLineChars="200"/>
        <w:rPr>
          <w:rFonts w:hint="eastAsia"/>
          <w:bCs/>
          <w:sz w:val="24"/>
        </w:rPr>
      </w:pPr>
      <w:r>
        <w:rPr>
          <w:rFonts w:hint="eastAsia"/>
          <w:bCs/>
          <w:sz w:val="24"/>
        </w:rPr>
        <w:t>（3）港股通标的股票投资策略</w:t>
      </w:r>
    </w:p>
    <w:p>
      <w:pPr>
        <w:spacing w:line="360" w:lineRule="auto"/>
        <w:ind w:firstLine="480" w:firstLineChars="200"/>
        <w:rPr>
          <w:rFonts w:hint="eastAsia"/>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pPr>
        <w:spacing w:line="360" w:lineRule="auto"/>
        <w:ind w:firstLine="480" w:firstLineChars="20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pPr>
        <w:spacing w:line="360" w:lineRule="auto"/>
        <w:ind w:firstLine="480" w:firstLineChars="200"/>
        <w:rPr>
          <w:rFonts w:hint="eastAsia"/>
          <w:bCs/>
          <w:sz w:val="24"/>
        </w:rPr>
      </w:pPr>
      <w:r>
        <w:rPr>
          <w:rFonts w:hint="eastAsia"/>
          <w:bCs/>
          <w:sz w:val="24"/>
        </w:rPr>
        <w:t>（4）存托凭证的投资策略</w:t>
      </w:r>
    </w:p>
    <w:p>
      <w:pPr>
        <w:spacing w:line="360" w:lineRule="auto"/>
        <w:ind w:firstLine="480" w:firstLineChars="200"/>
        <w:rPr>
          <w:rFonts w:hint="eastAsia"/>
          <w:bCs/>
          <w:sz w:val="24"/>
        </w:rPr>
      </w:pPr>
      <w:r>
        <w:rPr>
          <w:rFonts w:hint="eastAsia"/>
          <w:bCs/>
          <w:sz w:val="24"/>
        </w:rPr>
        <w:t>本基金投资存托凭证的策略依照境内上市交易的股票投资策略执行。</w:t>
      </w:r>
    </w:p>
    <w:p>
      <w:pPr>
        <w:spacing w:line="360" w:lineRule="auto"/>
        <w:ind w:firstLine="480" w:firstLineChars="200"/>
        <w:rPr>
          <w:rFonts w:hint="eastAsia"/>
          <w:bCs/>
          <w:sz w:val="24"/>
        </w:rPr>
      </w:pPr>
      <w:r>
        <w:rPr>
          <w:rFonts w:hint="eastAsia"/>
          <w:bCs/>
          <w:sz w:val="24"/>
        </w:rPr>
        <w:t>3、债券投资策略</w:t>
      </w:r>
    </w:p>
    <w:p>
      <w:pPr>
        <w:spacing w:line="360" w:lineRule="auto"/>
        <w:ind w:firstLine="480" w:firstLineChars="200"/>
        <w:rPr>
          <w:rFonts w:hint="eastAsia"/>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pPr>
        <w:spacing w:line="360" w:lineRule="auto"/>
        <w:ind w:firstLine="480" w:firstLineChars="200"/>
        <w:rPr>
          <w:rFonts w:hint="eastAsia"/>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投资策略等多种策略，以期获取债券市场的长期稳定收益。</w:t>
      </w:r>
    </w:p>
    <w:p>
      <w:pPr>
        <w:spacing w:line="360" w:lineRule="auto"/>
        <w:ind w:firstLine="480" w:firstLineChars="200"/>
        <w:rPr>
          <w:rFonts w:hint="eastAsia"/>
          <w:bCs/>
          <w:sz w:val="24"/>
        </w:rPr>
      </w:pPr>
      <w:r>
        <w:rPr>
          <w:rFonts w:hint="eastAsia"/>
          <w:bCs/>
          <w:sz w:val="24"/>
        </w:rPr>
        <w:t>（1）久期调整策略</w:t>
      </w:r>
    </w:p>
    <w:p>
      <w:pPr>
        <w:spacing w:line="360" w:lineRule="auto"/>
        <w:ind w:firstLine="480" w:firstLineChars="200"/>
        <w:rPr>
          <w:rFonts w:hint="eastAsia"/>
          <w:bCs/>
          <w:sz w:val="24"/>
        </w:rPr>
      </w:pPr>
      <w:r>
        <w:rPr>
          <w:rFonts w:hint="eastAsia"/>
          <w:bCs/>
          <w:sz w:val="24"/>
        </w:rPr>
        <w:t>本基金根据中长期宏观经济走势和经济周期波动趋势，判断债券市场未来的走势，并形成对未来市场利率变动方向的预期，动态调整组合久期。</w:t>
      </w:r>
    </w:p>
    <w:p>
      <w:pPr>
        <w:spacing w:line="360" w:lineRule="auto"/>
        <w:ind w:firstLine="480" w:firstLineChars="200"/>
        <w:rPr>
          <w:rFonts w:hint="eastAsia"/>
          <w:bCs/>
          <w:sz w:val="24"/>
        </w:rPr>
      </w:pPr>
      <w:r>
        <w:rPr>
          <w:rFonts w:hint="eastAsia"/>
          <w:bCs/>
          <w:sz w:val="24"/>
        </w:rPr>
        <w:t>（2）债券的类属配置策略</w:t>
      </w:r>
    </w:p>
    <w:p>
      <w:pPr>
        <w:spacing w:line="360" w:lineRule="auto"/>
        <w:ind w:firstLine="480" w:firstLineChars="200"/>
        <w:rPr>
          <w:rFonts w:hint="eastAsia"/>
          <w:bCs/>
          <w:sz w:val="24"/>
        </w:rPr>
      </w:pPr>
      <w:r>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pPr>
        <w:spacing w:line="360" w:lineRule="auto"/>
        <w:ind w:firstLine="480" w:firstLineChars="200"/>
        <w:rPr>
          <w:rFonts w:hint="eastAsia"/>
          <w:bCs/>
          <w:sz w:val="24"/>
        </w:rPr>
      </w:pPr>
      <w:r>
        <w:rPr>
          <w:rFonts w:hint="eastAsia"/>
          <w:bCs/>
          <w:sz w:val="24"/>
        </w:rPr>
        <w:t>（3）期限结构配置策略</w:t>
      </w:r>
    </w:p>
    <w:p>
      <w:pPr>
        <w:spacing w:line="360" w:lineRule="auto"/>
        <w:ind w:firstLine="480" w:firstLineChars="200"/>
        <w:rPr>
          <w:rFonts w:hint="eastAsia"/>
          <w:bCs/>
          <w:sz w:val="24"/>
        </w:rPr>
      </w:pPr>
      <w:r>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pPr>
        <w:spacing w:line="360" w:lineRule="auto"/>
        <w:ind w:firstLine="480" w:firstLineChars="200"/>
        <w:rPr>
          <w:rFonts w:hint="eastAsia"/>
          <w:bCs/>
          <w:sz w:val="24"/>
        </w:rPr>
      </w:pPr>
      <w:r>
        <w:rPr>
          <w:rFonts w:hint="eastAsia"/>
          <w:bCs/>
          <w:sz w:val="24"/>
        </w:rPr>
        <w:t>（4）回购策略</w:t>
      </w:r>
    </w:p>
    <w:p>
      <w:pPr>
        <w:spacing w:line="360" w:lineRule="auto"/>
        <w:ind w:firstLine="480" w:firstLineChars="200"/>
        <w:rPr>
          <w:rFonts w:hint="eastAsia"/>
          <w:bCs/>
          <w:sz w:val="24"/>
        </w:rPr>
      </w:pPr>
      <w:r>
        <w:rPr>
          <w:rFonts w:hint="eastAsia"/>
          <w:bCs/>
          <w:sz w:val="24"/>
        </w:rPr>
        <w:t>当回购利率低于债券收益率时，本基金将实施正回购融入资金并投资于信用债券等可投资标的，从而获取收益率超出回购资金成本（即回购利率）的套利价值。</w:t>
      </w:r>
    </w:p>
    <w:p>
      <w:pPr>
        <w:spacing w:line="360" w:lineRule="auto"/>
        <w:ind w:firstLine="480" w:firstLineChars="200"/>
        <w:rPr>
          <w:rFonts w:hint="eastAsia"/>
          <w:bCs/>
          <w:sz w:val="24"/>
        </w:rPr>
      </w:pPr>
      <w:r>
        <w:rPr>
          <w:rFonts w:hint="eastAsia"/>
          <w:bCs/>
          <w:sz w:val="24"/>
        </w:rPr>
        <w:t>（5）信用债券投资策略</w:t>
      </w:r>
    </w:p>
    <w:p>
      <w:pPr>
        <w:spacing w:line="360" w:lineRule="auto"/>
        <w:ind w:firstLine="480" w:firstLineChars="200"/>
        <w:rPr>
          <w:rFonts w:hint="eastAsia"/>
          <w:bCs/>
          <w:sz w:val="24"/>
        </w:rPr>
      </w:pPr>
      <w:r>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pPr>
        <w:spacing w:line="360" w:lineRule="auto"/>
        <w:ind w:firstLine="480" w:firstLineChars="200"/>
        <w:rPr>
          <w:bCs/>
          <w:sz w:val="24"/>
        </w:rPr>
      </w:pPr>
      <w:r>
        <w:rPr>
          <w:rFonts w:hint="eastAsia"/>
          <w:bCs/>
          <w:sz w:val="24"/>
        </w:rPr>
        <w:t>本基金主动投资的信用债为信用评级在AA级（含）以上的信用债，对信用评级的认定参照基金管理人选定的评级机构出具的信用评级，其中，信用债的信用评级依照评级机构出具的债项信用评级，若无债项信用评级的或债项信用评级为A-1的，依照其主体信用评级。本基金投资于评级AA的信用债比例不高于信用债资产的20%，投资于评级AA+的信用债比例不高于信用债资产的70%，投资于评级AAA的信用债比例不低于信用债资产的30%。本基金所指的信用债包括金融债（不包含政策性金融债）、</w:t>
      </w:r>
      <w:r>
        <w:rPr>
          <w:rFonts w:hint="eastAsia"/>
          <w:bCs/>
          <w:sz w:val="24"/>
          <w:lang w:val="en-US" w:eastAsia="zh-CN"/>
        </w:rPr>
        <w:t>政府支持债、政府支持机构债、</w:t>
      </w:r>
      <w:r>
        <w:rPr>
          <w:rFonts w:hint="eastAsia"/>
          <w:bCs/>
          <w:sz w:val="24"/>
        </w:rPr>
        <w:t>企业债、公司债、可转换债券（含可分离交易可转换债券）、可交换公司债券、次级债、短期融资券、超短期融资券、中期票据等非国家信用的债券资产。</w:t>
      </w:r>
    </w:p>
    <w:p>
      <w:pPr>
        <w:spacing w:line="360" w:lineRule="auto"/>
        <w:ind w:firstLine="480" w:firstLineChars="200"/>
        <w:rPr>
          <w:rFonts w:hint="eastAsia"/>
          <w:bCs/>
          <w:sz w:val="24"/>
        </w:rPr>
      </w:pPr>
      <w:r>
        <w:rPr>
          <w:rFonts w:hint="eastAsia"/>
          <w:bCs/>
          <w:sz w:val="24"/>
        </w:rPr>
        <w:t>（6）可转换债券与可交换公司债券投资策略</w:t>
      </w:r>
    </w:p>
    <w:p>
      <w:pPr>
        <w:spacing w:line="360" w:lineRule="auto"/>
        <w:ind w:firstLine="480" w:firstLineChars="200"/>
        <w:rPr>
          <w:rFonts w:hint="eastAsia"/>
          <w:bCs/>
          <w:sz w:val="24"/>
        </w:rPr>
      </w:pPr>
      <w:r>
        <w:rPr>
          <w:rFonts w:hint="eastAsia"/>
          <w:bCs/>
          <w:sz w:val="24"/>
        </w:rPr>
        <w:t>本基金投资可转换债券、可交换公司债券的比例合计不超过基金资产净值的20%，因证券市场波动、基金规模变动等基金管理人之外的因素致使基金投资比例不符合上述规定的，基金管理人应当在不符合上述规定之日起3个月内进行调整。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pPr>
        <w:spacing w:line="360" w:lineRule="auto"/>
        <w:ind w:firstLine="480" w:firstLineChars="200"/>
        <w:rPr>
          <w:rFonts w:hint="eastAsia"/>
          <w:bCs/>
          <w:sz w:val="24"/>
        </w:rPr>
      </w:pPr>
      <w:r>
        <w:rPr>
          <w:rFonts w:hint="eastAsia"/>
          <w:bCs/>
          <w:sz w:val="24"/>
        </w:rPr>
        <w:t>1）行业配置策略</w:t>
      </w:r>
    </w:p>
    <w:p>
      <w:pPr>
        <w:spacing w:line="360" w:lineRule="auto"/>
        <w:ind w:firstLine="480" w:firstLineChars="200"/>
        <w:rPr>
          <w:rFonts w:hint="eastAsia"/>
          <w:bCs/>
          <w:sz w:val="24"/>
        </w:rPr>
      </w:pPr>
      <w:r>
        <w:rPr>
          <w:rFonts w:hint="eastAsia"/>
          <w:bCs/>
          <w:sz w:val="24"/>
        </w:rPr>
        <w:t>本基金将综合考虑各种宏观因素，以宏观经济走势、经济周期特征和阶段性市场投资主题的研究为基础，综合考量可转债市场的供给和需求情况，追求最优行业配置。同时，结合经济和市场阶段性特征，动态调整不同行业的可转换债券与可交换公司债券进行投资。</w:t>
      </w:r>
    </w:p>
    <w:p>
      <w:pPr>
        <w:spacing w:line="360" w:lineRule="auto"/>
        <w:ind w:firstLine="480" w:firstLineChars="200"/>
        <w:rPr>
          <w:rFonts w:hint="eastAsia"/>
          <w:bCs/>
          <w:sz w:val="24"/>
        </w:rPr>
      </w:pPr>
      <w:r>
        <w:rPr>
          <w:rFonts w:hint="eastAsia"/>
          <w:bCs/>
          <w:sz w:val="24"/>
        </w:rPr>
        <w:t>2）个券精选策略</w:t>
      </w:r>
    </w:p>
    <w:p>
      <w:pPr>
        <w:spacing w:line="360" w:lineRule="auto"/>
        <w:ind w:firstLine="480" w:firstLineChars="200"/>
        <w:rPr>
          <w:rFonts w:hint="eastAsia"/>
          <w:bCs/>
          <w:sz w:val="24"/>
        </w:rPr>
      </w:pPr>
      <w:r>
        <w:rPr>
          <w:rFonts w:hint="eastAsia"/>
          <w:bCs/>
          <w:sz w:val="24"/>
        </w:rPr>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券的筛选。</w:t>
      </w:r>
    </w:p>
    <w:p>
      <w:pPr>
        <w:spacing w:line="360" w:lineRule="auto"/>
        <w:ind w:firstLine="480" w:firstLineChars="200"/>
        <w:rPr>
          <w:rFonts w:hint="eastAsia"/>
          <w:bCs/>
          <w:sz w:val="24"/>
        </w:rPr>
      </w:pPr>
      <w:r>
        <w:rPr>
          <w:rFonts w:hint="eastAsia"/>
          <w:bCs/>
          <w:sz w:val="24"/>
        </w:rPr>
        <w:t>4、资产支持证券投资策略</w:t>
      </w:r>
    </w:p>
    <w:p>
      <w:pPr>
        <w:spacing w:line="360" w:lineRule="auto"/>
        <w:ind w:firstLine="480" w:firstLineChars="200"/>
        <w:rPr>
          <w:rFonts w:hint="eastAsia"/>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spacing w:line="360" w:lineRule="auto"/>
        <w:ind w:firstLine="480" w:firstLineChars="200"/>
        <w:rPr>
          <w:rFonts w:hint="eastAsia"/>
          <w:bCs/>
          <w:sz w:val="24"/>
        </w:rPr>
      </w:pPr>
      <w:r>
        <w:rPr>
          <w:rFonts w:hint="eastAsia"/>
          <w:bCs/>
          <w:sz w:val="24"/>
        </w:rPr>
        <w:t>5、股指期货投资策略</w:t>
      </w:r>
    </w:p>
    <w:p>
      <w:pPr>
        <w:spacing w:line="360" w:lineRule="auto"/>
        <w:ind w:firstLine="480" w:firstLineChars="200"/>
        <w:rPr>
          <w:rFonts w:hint="eastAsia"/>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spacing w:line="360" w:lineRule="auto"/>
        <w:ind w:firstLine="480" w:firstLineChars="200"/>
        <w:rPr>
          <w:rFonts w:ascii="宋体" w:hAnsi="宋体"/>
          <w:bCs/>
          <w:sz w:val="24"/>
          <w:szCs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spacing w:line="360" w:lineRule="auto"/>
        <w:ind w:firstLine="480" w:firstLineChars="200"/>
        <w:outlineLvl w:val="2"/>
        <w:rPr>
          <w:rFonts w:ascii="宋体" w:hAnsi="宋体"/>
          <w:bCs/>
          <w:sz w:val="24"/>
          <w:szCs w:val="24"/>
        </w:rPr>
      </w:pPr>
      <w:r>
        <w:rPr>
          <w:rFonts w:ascii="宋体" w:hAnsi="宋体"/>
          <w:bCs/>
          <w:sz w:val="24"/>
          <w:szCs w:val="24"/>
        </w:rPr>
        <w:t>（</w:t>
      </w:r>
      <w:r>
        <w:rPr>
          <w:rFonts w:hint="eastAsia" w:ascii="宋体" w:hAnsi="宋体"/>
          <w:bCs/>
          <w:sz w:val="24"/>
          <w:szCs w:val="24"/>
        </w:rPr>
        <w:t>四</w:t>
      </w:r>
      <w:r>
        <w:rPr>
          <w:rFonts w:ascii="宋体" w:hAnsi="宋体"/>
          <w:bCs/>
          <w:sz w:val="24"/>
          <w:szCs w:val="24"/>
        </w:rPr>
        <w:t>）投资限制</w:t>
      </w:r>
    </w:p>
    <w:p>
      <w:pPr>
        <w:spacing w:line="360" w:lineRule="auto"/>
        <w:ind w:firstLine="480" w:firstLineChars="200"/>
        <w:rPr>
          <w:rFonts w:hint="eastAsia"/>
          <w:bCs/>
          <w:sz w:val="24"/>
        </w:rPr>
      </w:pPr>
      <w:r>
        <w:rPr>
          <w:rFonts w:hint="eastAsia"/>
          <w:bCs/>
          <w:sz w:val="24"/>
        </w:rPr>
        <w:t>1、组合限制</w:t>
      </w:r>
    </w:p>
    <w:p>
      <w:pPr>
        <w:spacing w:line="360" w:lineRule="auto"/>
        <w:ind w:firstLine="480" w:firstLineChars="200"/>
        <w:rPr>
          <w:rFonts w:hint="eastAsia"/>
          <w:bCs/>
          <w:sz w:val="24"/>
        </w:rPr>
      </w:pPr>
      <w:r>
        <w:rPr>
          <w:rFonts w:hint="eastAsia"/>
          <w:bCs/>
          <w:sz w:val="24"/>
        </w:rPr>
        <w:t>基金的投资组合应遵循以下限制：</w:t>
      </w:r>
    </w:p>
    <w:p>
      <w:pPr>
        <w:spacing w:line="360" w:lineRule="auto"/>
        <w:ind w:firstLine="480" w:firstLineChars="200"/>
        <w:rPr>
          <w:rFonts w:hint="eastAsia"/>
          <w:bCs/>
          <w:sz w:val="24"/>
        </w:rPr>
      </w:pPr>
      <w:r>
        <w:rPr>
          <w:rFonts w:hint="eastAsia"/>
          <w:bCs/>
          <w:sz w:val="24"/>
        </w:rPr>
        <w:t>（1）股票投资（含存托凭证）占基金资产的比例为0%-3</w:t>
      </w:r>
      <w:r>
        <w:rPr>
          <w:bCs/>
          <w:sz w:val="24"/>
        </w:rPr>
        <w:t>0</w:t>
      </w:r>
      <w:r>
        <w:rPr>
          <w:rFonts w:hint="eastAsia"/>
          <w:bCs/>
          <w:sz w:val="24"/>
        </w:rPr>
        <w:t>%（其中投资于港股通标的股票的比例占股票资产的0%-50%），同业存单投资占基金资产的比例不超过20%；</w:t>
      </w:r>
    </w:p>
    <w:p>
      <w:pPr>
        <w:spacing w:line="360" w:lineRule="auto"/>
        <w:ind w:firstLine="480" w:firstLineChars="200"/>
        <w:rPr>
          <w:rFonts w:hint="eastAsia"/>
          <w:bCs/>
          <w:sz w:val="24"/>
        </w:rPr>
      </w:pPr>
      <w:r>
        <w:rPr>
          <w:rFonts w:hint="eastAsia"/>
          <w:bCs/>
          <w:sz w:val="24"/>
        </w:rPr>
        <w:t>（2）每个交易日日终在扣除股指期货合约需缴纳的交易保证金后，本基金持有的现金或者到期日在一年以内的政府债券的投资比例合计不低于基金资产净值的5%</w:t>
      </w:r>
      <w:r>
        <w:rPr>
          <w:rFonts w:hint="eastAsia" w:ascii="宋体" w:hAnsi="宋体"/>
          <w:bCs/>
          <w:sz w:val="24"/>
          <w:szCs w:val="24"/>
        </w:rPr>
        <w:t>，</w:t>
      </w:r>
      <w:r>
        <w:rPr>
          <w:rFonts w:hint="eastAsia"/>
          <w:bCs/>
          <w:sz w:val="24"/>
        </w:rPr>
        <w:t>其中现金不包括结算备付金、存出保证金、应收申购款等；</w:t>
      </w:r>
    </w:p>
    <w:p>
      <w:pPr>
        <w:spacing w:line="360" w:lineRule="auto"/>
        <w:ind w:firstLine="480" w:firstLineChars="200"/>
        <w:rPr>
          <w:rFonts w:hint="eastAsia"/>
          <w:bCs/>
          <w:sz w:val="24"/>
        </w:rPr>
      </w:pPr>
      <w:r>
        <w:rPr>
          <w:rFonts w:hint="eastAsia"/>
          <w:bCs/>
          <w:sz w:val="24"/>
        </w:rPr>
        <w:t>（3）本基金持有一家公司发行的证券（同一家公司在内地和香港同时上市的A+H股合计计算），其市值不超过基金资产净值的10％；</w:t>
      </w:r>
    </w:p>
    <w:p>
      <w:pPr>
        <w:spacing w:line="360" w:lineRule="auto"/>
        <w:ind w:firstLine="480" w:firstLineChars="200"/>
        <w:rPr>
          <w:rFonts w:hint="eastAsia"/>
          <w:bCs/>
          <w:sz w:val="24"/>
        </w:rPr>
      </w:pPr>
      <w:r>
        <w:rPr>
          <w:rFonts w:hint="eastAsia"/>
          <w:bCs/>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spacing w:line="360" w:lineRule="auto"/>
        <w:ind w:firstLine="480" w:firstLineChars="200"/>
        <w:rPr>
          <w:rFonts w:hint="eastAsia"/>
          <w:bCs/>
          <w:sz w:val="24"/>
        </w:rPr>
      </w:pPr>
      <w:r>
        <w:rPr>
          <w:rFonts w:hint="eastAsia"/>
          <w:bCs/>
          <w:sz w:val="24"/>
        </w:rPr>
        <w:t>（5）本基金投资于同一原始权益人的各类资产支持证券的比例，不得超过基金资产净值的10％；</w:t>
      </w:r>
    </w:p>
    <w:p>
      <w:pPr>
        <w:spacing w:line="360" w:lineRule="auto"/>
        <w:ind w:firstLine="480" w:firstLineChars="200"/>
        <w:rPr>
          <w:rFonts w:hint="eastAsia"/>
          <w:bCs/>
          <w:sz w:val="24"/>
        </w:rPr>
      </w:pPr>
      <w:r>
        <w:rPr>
          <w:rFonts w:hint="eastAsia"/>
          <w:bCs/>
          <w:sz w:val="24"/>
        </w:rPr>
        <w:t>（6）本基金持有的全部资产支持证券，其市值不得超过基金资产净值的20％；</w:t>
      </w:r>
    </w:p>
    <w:p>
      <w:pPr>
        <w:spacing w:line="360" w:lineRule="auto"/>
        <w:ind w:firstLine="480" w:firstLineChars="200"/>
        <w:rPr>
          <w:rFonts w:hint="eastAsia"/>
          <w:bCs/>
          <w:sz w:val="24"/>
        </w:rPr>
      </w:pPr>
      <w:r>
        <w:rPr>
          <w:rFonts w:hint="eastAsia"/>
          <w:bCs/>
          <w:sz w:val="24"/>
        </w:rPr>
        <w:t>（7）本基金持有的同一(指同一信用级别)资产支持证券的比例，不得超过该资产支持证券规模的10％；</w:t>
      </w:r>
    </w:p>
    <w:p>
      <w:pPr>
        <w:spacing w:line="360" w:lineRule="auto"/>
        <w:ind w:firstLine="480" w:firstLineChars="200"/>
        <w:rPr>
          <w:rFonts w:hint="eastAsia"/>
          <w:bCs/>
          <w:sz w:val="24"/>
        </w:rPr>
      </w:pPr>
      <w:r>
        <w:rPr>
          <w:rFonts w:hint="eastAsia"/>
          <w:bCs/>
          <w:sz w:val="24"/>
        </w:rPr>
        <w:t>（8）本基金管理人管理的全部基金投资于同一原始权益人的各类资产支持证券，不得超过其各类资产支持证券合计规模的10％；</w:t>
      </w:r>
    </w:p>
    <w:p>
      <w:pPr>
        <w:spacing w:line="360" w:lineRule="auto"/>
        <w:ind w:firstLine="480" w:firstLineChars="200"/>
        <w:rPr>
          <w:rFonts w:hint="eastAsia"/>
          <w:bCs/>
          <w:sz w:val="24"/>
        </w:rPr>
      </w:pPr>
      <w:r>
        <w:rPr>
          <w:rFonts w:hint="eastAsia"/>
          <w:bCs/>
          <w:sz w:val="24"/>
        </w:rPr>
        <w:t>（9）本基金应投资于信用级别评级为BBB以上(含BBB)的资产支持证券。基金持有资产支持证券期间，如果其信用等级下降、不再符合投资标准，应在评级报告发布之日起3个月内予以全部卖出；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rFonts w:hint="eastAsia"/>
          <w:bCs/>
          <w:sz w:val="24"/>
        </w:rPr>
      </w:pPr>
      <w:r>
        <w:rPr>
          <w:rFonts w:hint="eastAsia"/>
          <w:bCs/>
          <w:sz w:val="24"/>
        </w:rPr>
        <w:t>（10）基金财产参与股票发行申购，本基金所申报的金额不超过本基金的总资产，本基金所申报的股票数量不超过拟发行股票公司本次发行股票的总量；</w:t>
      </w:r>
    </w:p>
    <w:p>
      <w:pPr>
        <w:spacing w:line="360" w:lineRule="auto"/>
        <w:ind w:firstLine="480" w:firstLineChars="200"/>
        <w:rPr>
          <w:rFonts w:hint="eastAsia"/>
          <w:bCs/>
          <w:sz w:val="24"/>
        </w:rPr>
      </w:pPr>
      <w:r>
        <w:rPr>
          <w:rFonts w:hint="eastAsia"/>
          <w:bCs/>
          <w:sz w:val="24"/>
        </w:rPr>
        <w:t>（11）本基金进入全国银行间同业市场进行债券回购的最长期限为1年，债券回购到期后不得展期；</w:t>
      </w:r>
    </w:p>
    <w:p>
      <w:pPr>
        <w:spacing w:line="360" w:lineRule="auto"/>
        <w:ind w:firstLine="480" w:firstLineChars="200"/>
        <w:rPr>
          <w:rFonts w:hint="eastAsia"/>
          <w:bCs/>
          <w:sz w:val="24"/>
        </w:rPr>
      </w:pPr>
      <w:r>
        <w:rPr>
          <w:rFonts w:hint="eastAsia"/>
          <w:bCs/>
          <w:sz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rFonts w:hint="eastAsia"/>
          <w:bCs/>
          <w:sz w:val="24"/>
        </w:rPr>
      </w:pPr>
      <w:r>
        <w:rPr>
          <w:rFonts w:hint="eastAsia"/>
          <w:bCs/>
          <w:sz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rFonts w:hint="eastAsia"/>
          <w:bCs/>
          <w:sz w:val="24"/>
        </w:rPr>
      </w:pPr>
      <w:r>
        <w:rPr>
          <w:rFonts w:hint="eastAsia"/>
          <w:bCs/>
          <w:sz w:val="24"/>
        </w:rPr>
        <w:t>（14）本基金与私募类证券资管产品及中国证监会认定的其他主体为交易对手开展逆回购交易的，可接受质押品的资质要求应当与本基金合同约定的投资范围保持一致；</w:t>
      </w:r>
    </w:p>
    <w:p>
      <w:pPr>
        <w:spacing w:line="360" w:lineRule="auto"/>
        <w:ind w:firstLine="480" w:firstLineChars="200"/>
        <w:rPr>
          <w:rFonts w:hint="eastAsia"/>
          <w:bCs/>
          <w:sz w:val="24"/>
        </w:rPr>
      </w:pPr>
      <w:r>
        <w:rPr>
          <w:rFonts w:hint="eastAsia"/>
          <w:bCs/>
          <w:sz w:val="24"/>
        </w:rPr>
        <w:t>（15）本基金参与股指期货交易，则：</w:t>
      </w:r>
    </w:p>
    <w:p>
      <w:pPr>
        <w:spacing w:line="360" w:lineRule="auto"/>
        <w:ind w:firstLine="480" w:firstLineChars="200"/>
        <w:rPr>
          <w:rFonts w:hint="eastAsia"/>
          <w:bCs/>
          <w:sz w:val="24"/>
        </w:rPr>
      </w:pPr>
      <w:r>
        <w:rPr>
          <w:rFonts w:hint="eastAsia"/>
          <w:bCs/>
          <w:sz w:val="24"/>
        </w:rPr>
        <w:t>1）本基金在任何交易日日终，持有的买入股指期货合约价值，不得超过基金资产净值的10%；</w:t>
      </w:r>
    </w:p>
    <w:p>
      <w:pPr>
        <w:spacing w:line="360" w:lineRule="auto"/>
        <w:ind w:firstLine="480" w:firstLineChars="200"/>
        <w:rPr>
          <w:rFonts w:hint="eastAsia"/>
          <w:bCs/>
          <w:sz w:val="24"/>
        </w:rPr>
      </w:pPr>
      <w:r>
        <w:rPr>
          <w:rFonts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spacing w:line="360" w:lineRule="auto"/>
        <w:ind w:firstLine="480" w:firstLineChars="200"/>
        <w:rPr>
          <w:rFonts w:hint="eastAsia"/>
          <w:bCs/>
          <w:sz w:val="24"/>
        </w:rPr>
      </w:pPr>
      <w:r>
        <w:rPr>
          <w:rFonts w:hint="eastAsia"/>
          <w:bCs/>
          <w:sz w:val="24"/>
        </w:rPr>
        <w:t>3）本基金在任何交易日日终，持有的卖出股指期货合约价值不得超过基金持有的股票总市值的20%；</w:t>
      </w:r>
    </w:p>
    <w:p>
      <w:pPr>
        <w:spacing w:line="360" w:lineRule="auto"/>
        <w:ind w:firstLine="480" w:firstLineChars="200"/>
        <w:rPr>
          <w:rFonts w:hint="eastAsia"/>
          <w:bCs/>
          <w:sz w:val="24"/>
        </w:rPr>
      </w:pPr>
      <w:r>
        <w:rPr>
          <w:rFonts w:hint="eastAsia"/>
          <w:bCs/>
          <w:sz w:val="24"/>
        </w:rPr>
        <w:t>4）本基金所持有的股票市值和买入、卖出股指期货合约价值，合计（轧差计算）应当符合基金合同关于股票投资比例的有关约定；</w:t>
      </w:r>
    </w:p>
    <w:p>
      <w:pPr>
        <w:spacing w:line="360" w:lineRule="auto"/>
        <w:ind w:firstLine="480" w:firstLineChars="200"/>
        <w:rPr>
          <w:bCs/>
          <w:sz w:val="24"/>
        </w:rPr>
      </w:pPr>
      <w:r>
        <w:rPr>
          <w:rFonts w:hint="eastAsia"/>
          <w:bCs/>
          <w:sz w:val="24"/>
        </w:rPr>
        <w:t>5）本基金在任何交易日内交易（不包括平仓）的股指期货合约的成交金额不得超过上一交易日基金资产净值的20%；</w:t>
      </w:r>
    </w:p>
    <w:p>
      <w:pPr>
        <w:spacing w:line="360" w:lineRule="auto"/>
        <w:ind w:firstLine="480" w:firstLineChars="200"/>
        <w:rPr>
          <w:bCs/>
          <w:sz w:val="24"/>
        </w:rPr>
      </w:pPr>
      <w:r>
        <w:rPr>
          <w:rFonts w:hint="eastAsia"/>
          <w:bCs/>
          <w:sz w:val="24"/>
        </w:rPr>
        <w:t>（1</w:t>
      </w:r>
      <w:r>
        <w:rPr>
          <w:bCs/>
          <w:sz w:val="24"/>
        </w:rPr>
        <w:t>6</w:t>
      </w:r>
      <w:r>
        <w:rPr>
          <w:rFonts w:hint="eastAsia"/>
          <w:bCs/>
          <w:sz w:val="24"/>
        </w:rPr>
        <w:t>）本基金资产总值不超过基金资产净值的140%；</w:t>
      </w:r>
    </w:p>
    <w:p>
      <w:pPr>
        <w:spacing w:line="360" w:lineRule="auto"/>
        <w:ind w:firstLine="480" w:firstLineChars="200"/>
        <w:rPr>
          <w:rFonts w:hint="eastAsia"/>
          <w:bCs/>
          <w:sz w:val="24"/>
        </w:rPr>
      </w:pPr>
      <w:r>
        <w:rPr>
          <w:rFonts w:hint="eastAsia"/>
          <w:bCs/>
          <w:sz w:val="24"/>
        </w:rPr>
        <w:t>（1</w:t>
      </w:r>
      <w:r>
        <w:rPr>
          <w:bCs/>
          <w:sz w:val="24"/>
        </w:rPr>
        <w:t>7）</w:t>
      </w:r>
      <w:r>
        <w:rPr>
          <w:rFonts w:hint="eastAsia"/>
          <w:bCs/>
          <w:sz w:val="24"/>
        </w:rPr>
        <w:t>本基金投资存托凭证的比例限制依照境内上市交易的股票执行；</w:t>
      </w:r>
    </w:p>
    <w:p>
      <w:pPr>
        <w:spacing w:line="360" w:lineRule="auto"/>
        <w:ind w:firstLine="480" w:firstLineChars="200"/>
        <w:rPr>
          <w:rFonts w:hint="eastAsia"/>
          <w:bCs/>
          <w:sz w:val="24"/>
        </w:rPr>
      </w:pPr>
      <w:r>
        <w:rPr>
          <w:rFonts w:hint="eastAsia"/>
          <w:bCs/>
          <w:sz w:val="24"/>
        </w:rPr>
        <w:t>（1</w:t>
      </w:r>
      <w:r>
        <w:rPr>
          <w:bCs/>
          <w:sz w:val="24"/>
        </w:rPr>
        <w:t>8</w:t>
      </w:r>
      <w:r>
        <w:rPr>
          <w:rFonts w:hint="eastAsia"/>
          <w:bCs/>
          <w:sz w:val="24"/>
        </w:rPr>
        <w:t>）法律法规及中国证监会规定的和《基金合同》约定的其他投资限制。</w:t>
      </w:r>
    </w:p>
    <w:p>
      <w:pPr>
        <w:spacing w:line="360" w:lineRule="auto"/>
        <w:ind w:firstLine="480" w:firstLineChars="200"/>
        <w:rPr>
          <w:rFonts w:hint="eastAsia"/>
          <w:bCs/>
          <w:sz w:val="24"/>
        </w:rPr>
      </w:pPr>
      <w:r>
        <w:rPr>
          <w:rFonts w:hint="eastAsia"/>
          <w:bCs/>
          <w:sz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spacing w:line="360" w:lineRule="auto"/>
        <w:ind w:firstLine="480" w:firstLineChars="200"/>
        <w:rPr>
          <w:rFonts w:hint="eastAsia"/>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rFonts w:hint="eastAsia"/>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pPr>
        <w:spacing w:line="360" w:lineRule="auto"/>
        <w:ind w:firstLine="480" w:firstLineChars="200"/>
        <w:rPr>
          <w:rFonts w:hint="eastAsia"/>
          <w:bCs/>
          <w:sz w:val="24"/>
        </w:rPr>
      </w:pPr>
      <w:r>
        <w:rPr>
          <w:rFonts w:hint="eastAsia"/>
          <w:bCs/>
          <w:sz w:val="24"/>
        </w:rPr>
        <w:t>2、禁止行为</w:t>
      </w:r>
    </w:p>
    <w:p>
      <w:pPr>
        <w:spacing w:line="360" w:lineRule="auto"/>
        <w:ind w:firstLine="480" w:firstLineChars="200"/>
        <w:rPr>
          <w:rFonts w:hint="eastAsia"/>
          <w:bCs/>
          <w:sz w:val="24"/>
        </w:rPr>
      </w:pPr>
      <w:r>
        <w:rPr>
          <w:rFonts w:hint="eastAsia"/>
          <w:bCs/>
          <w:sz w:val="24"/>
        </w:rPr>
        <w:t>为维护基金份额持有人的合法权益，基金财产不得用于下列投资或者活动：</w:t>
      </w:r>
    </w:p>
    <w:p>
      <w:pPr>
        <w:spacing w:line="360" w:lineRule="auto"/>
        <w:ind w:firstLine="480" w:firstLineChars="200"/>
        <w:rPr>
          <w:rFonts w:hint="eastAsia"/>
          <w:bCs/>
          <w:sz w:val="24"/>
        </w:rPr>
      </w:pPr>
      <w:r>
        <w:rPr>
          <w:rFonts w:hint="eastAsia"/>
          <w:bCs/>
          <w:sz w:val="24"/>
        </w:rPr>
        <w:t>（1）承销证券；</w:t>
      </w:r>
    </w:p>
    <w:p>
      <w:pPr>
        <w:spacing w:line="360" w:lineRule="auto"/>
        <w:ind w:firstLine="480" w:firstLineChars="200"/>
        <w:rPr>
          <w:rFonts w:hint="eastAsia"/>
          <w:bCs/>
          <w:sz w:val="24"/>
        </w:rPr>
      </w:pPr>
      <w:r>
        <w:rPr>
          <w:rFonts w:hint="eastAsia"/>
          <w:bCs/>
          <w:sz w:val="24"/>
        </w:rPr>
        <w:t>（2）违反规定向他人贷款或者提供担保；</w:t>
      </w:r>
    </w:p>
    <w:p>
      <w:pPr>
        <w:spacing w:line="360" w:lineRule="auto"/>
        <w:ind w:firstLine="480" w:firstLineChars="200"/>
        <w:rPr>
          <w:rFonts w:hint="eastAsia"/>
          <w:bCs/>
          <w:sz w:val="24"/>
        </w:rPr>
      </w:pPr>
      <w:r>
        <w:rPr>
          <w:rFonts w:hint="eastAsia"/>
          <w:bCs/>
          <w:sz w:val="24"/>
        </w:rPr>
        <w:t>（3）从事承担无限责任的投资；</w:t>
      </w:r>
    </w:p>
    <w:p>
      <w:pPr>
        <w:spacing w:line="360" w:lineRule="auto"/>
        <w:ind w:firstLine="480" w:firstLineChars="200"/>
        <w:rPr>
          <w:rFonts w:hint="eastAsia"/>
          <w:bCs/>
          <w:sz w:val="24"/>
        </w:rPr>
      </w:pPr>
      <w:r>
        <w:rPr>
          <w:rFonts w:hint="eastAsia"/>
          <w:bCs/>
          <w:sz w:val="24"/>
        </w:rPr>
        <w:t>（4）买卖其他基金份额，但是中国证监会另有规定的除外；</w:t>
      </w:r>
    </w:p>
    <w:p>
      <w:pPr>
        <w:spacing w:line="360" w:lineRule="auto"/>
        <w:ind w:firstLine="480" w:firstLineChars="200"/>
        <w:rPr>
          <w:rFonts w:hint="eastAsia"/>
          <w:bCs/>
          <w:sz w:val="24"/>
        </w:rPr>
      </w:pPr>
      <w:r>
        <w:rPr>
          <w:rFonts w:hint="eastAsia"/>
          <w:bCs/>
          <w:sz w:val="24"/>
        </w:rPr>
        <w:t>（5）向其基金管理人、基金托管人出资；</w:t>
      </w:r>
    </w:p>
    <w:p>
      <w:pPr>
        <w:spacing w:line="360" w:lineRule="auto"/>
        <w:ind w:firstLine="480" w:firstLineChars="200"/>
        <w:rPr>
          <w:rFonts w:hint="eastAsia"/>
          <w:bCs/>
          <w:sz w:val="24"/>
        </w:rPr>
      </w:pPr>
      <w:r>
        <w:rPr>
          <w:rFonts w:hint="eastAsia"/>
          <w:bCs/>
          <w:sz w:val="24"/>
        </w:rPr>
        <w:t>（6）从事内幕交易、操纵证券交易价格及其他不正当的证券交易活动；</w:t>
      </w:r>
    </w:p>
    <w:p>
      <w:pPr>
        <w:spacing w:line="360" w:lineRule="auto"/>
        <w:ind w:firstLine="480" w:firstLineChars="200"/>
        <w:rPr>
          <w:rFonts w:hint="eastAsia"/>
          <w:bCs/>
          <w:sz w:val="24"/>
        </w:rPr>
      </w:pPr>
      <w:r>
        <w:rPr>
          <w:rFonts w:hint="eastAsia"/>
          <w:bCs/>
          <w:sz w:val="24"/>
        </w:rPr>
        <w:t>（7）法律、行政法规和中国证监会规定禁止的其他活动。</w:t>
      </w:r>
    </w:p>
    <w:p>
      <w:pPr>
        <w:spacing w:line="360" w:lineRule="auto"/>
        <w:ind w:firstLine="480" w:firstLineChars="200"/>
        <w:rPr>
          <w:rFonts w:hint="eastAsia"/>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ascii="宋体" w:hAnsi="宋体"/>
          <w:bCs/>
          <w:sz w:val="24"/>
          <w:szCs w:val="24"/>
        </w:rPr>
      </w:pPr>
      <w:r>
        <w:rPr>
          <w:rFonts w:hint="eastAsia"/>
          <w:bCs/>
          <w:sz w:val="24"/>
        </w:rPr>
        <w:t>如法律、行政法规或监管部门取消上述规定，如适用于本基金，基金管理人在履行适当程序后，本基金可不受上述规定的限制。</w:t>
      </w:r>
    </w:p>
    <w:p>
      <w:pPr>
        <w:spacing w:line="360" w:lineRule="auto"/>
        <w:ind w:firstLine="480" w:firstLineChars="200"/>
        <w:outlineLvl w:val="2"/>
        <w:rPr>
          <w:rFonts w:ascii="宋体" w:hAnsi="宋体"/>
          <w:bCs/>
          <w:sz w:val="24"/>
          <w:szCs w:val="24"/>
        </w:rPr>
      </w:pPr>
      <w:r>
        <w:rPr>
          <w:rFonts w:hint="eastAsia" w:ascii="宋体" w:hAnsi="宋体"/>
          <w:bCs/>
          <w:sz w:val="24"/>
          <w:szCs w:val="24"/>
        </w:rPr>
        <w:t>（五）业绩比较基准</w:t>
      </w:r>
    </w:p>
    <w:p>
      <w:pPr>
        <w:spacing w:line="360" w:lineRule="auto"/>
        <w:ind w:firstLine="480" w:firstLineChars="200"/>
        <w:rPr>
          <w:rFonts w:hint="eastAsia"/>
          <w:bCs/>
          <w:sz w:val="24"/>
        </w:rPr>
      </w:pPr>
      <w:r>
        <w:rPr>
          <w:rFonts w:hint="eastAsia"/>
          <w:bCs/>
          <w:sz w:val="24"/>
        </w:rPr>
        <w:t>沪深300指数收益率×10%+恒生指数收益率×5%+中证综合债券指数收益率×85%</w:t>
      </w:r>
    </w:p>
    <w:p>
      <w:pPr>
        <w:spacing w:line="360" w:lineRule="auto"/>
        <w:ind w:firstLine="480" w:firstLineChars="200"/>
        <w:rPr>
          <w:rFonts w:hint="eastAsia"/>
          <w:bCs/>
          <w:sz w:val="24"/>
        </w:rPr>
      </w:pPr>
      <w:r>
        <w:rPr>
          <w:rFonts w:hint="eastAsia"/>
          <w:bCs/>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pPr>
        <w:spacing w:line="360" w:lineRule="auto"/>
        <w:ind w:firstLine="480" w:firstLineChars="200"/>
        <w:rPr>
          <w:rFonts w:hint="eastAsia"/>
          <w:bCs/>
          <w:sz w:val="24"/>
        </w:rPr>
      </w:pPr>
      <w:r>
        <w:rPr>
          <w:rFonts w:hint="eastAsia"/>
          <w:bCs/>
          <w:sz w:val="24"/>
        </w:rPr>
        <w:t>恒生指数是由恒生指数服务有限公司编制，以香港股票市场中的50家上市股票为成份股样本，以其发行量为权数的加权平均股价指数，是反映香港股市价幅趋势最有影响的一种股价指数。</w:t>
      </w:r>
    </w:p>
    <w:p>
      <w:pPr>
        <w:spacing w:line="360" w:lineRule="auto"/>
        <w:ind w:firstLine="480" w:firstLineChars="200"/>
        <w:rPr>
          <w:rFonts w:hint="eastAsia"/>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spacing w:line="360" w:lineRule="auto"/>
        <w:ind w:firstLine="480" w:firstLineChars="200"/>
        <w:rPr>
          <w:rFonts w:hint="eastAsia"/>
          <w:bCs/>
          <w:sz w:val="24"/>
        </w:rPr>
      </w:pPr>
      <w:r>
        <w:rPr>
          <w:rFonts w:hint="eastAsia"/>
          <w:bCs/>
          <w:sz w:val="24"/>
        </w:rPr>
        <w:t>根据本基金的投资范围和投资比例，选用上述业绩比较基准能够客观、合理地反映本基金的风险收益特征。</w:t>
      </w:r>
    </w:p>
    <w:p>
      <w:pPr>
        <w:spacing w:line="360" w:lineRule="auto"/>
        <w:ind w:firstLine="480" w:firstLineChars="20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pPr>
        <w:spacing w:line="360" w:lineRule="auto"/>
        <w:ind w:firstLine="482" w:firstLineChars="200"/>
        <w:outlineLvl w:val="1"/>
        <w:rPr>
          <w:b/>
          <w:bCs/>
          <w:sz w:val="24"/>
        </w:rPr>
      </w:pPr>
      <w:r>
        <w:rPr>
          <w:b/>
          <w:bCs/>
          <w:sz w:val="24"/>
        </w:rPr>
        <w:t>六、基金资产净值的计算方法和公告方式</w:t>
      </w:r>
    </w:p>
    <w:p>
      <w:pPr>
        <w:spacing w:line="360" w:lineRule="auto"/>
        <w:ind w:firstLine="480" w:firstLineChars="200"/>
        <w:outlineLvl w:val="2"/>
        <w:rPr>
          <w:bCs/>
          <w:sz w:val="24"/>
        </w:rPr>
      </w:pPr>
      <w:r>
        <w:rPr>
          <w:bCs/>
          <w:sz w:val="24"/>
        </w:rPr>
        <w:t>（一）估值方法</w:t>
      </w:r>
    </w:p>
    <w:p>
      <w:pPr>
        <w:spacing w:line="360" w:lineRule="auto"/>
        <w:ind w:firstLine="480" w:firstLineChars="200"/>
        <w:rPr>
          <w:bCs/>
          <w:sz w:val="24"/>
        </w:rPr>
      </w:pPr>
      <w:r>
        <w:rPr>
          <w:bCs/>
          <w:sz w:val="24"/>
        </w:rPr>
        <w:t>1、证券交易所上市的有价证券的估值</w:t>
      </w:r>
    </w:p>
    <w:p>
      <w:pPr>
        <w:spacing w:line="360" w:lineRule="auto"/>
        <w:ind w:firstLine="480" w:firstLineChars="200"/>
        <w:rPr>
          <w:rFonts w:hint="eastAsia"/>
          <w:bCs/>
          <w:sz w:val="24"/>
        </w:rPr>
      </w:pPr>
      <w:r>
        <w:rPr>
          <w:bCs/>
          <w:sz w:val="24"/>
        </w:rPr>
        <w:t>（1）交易所上市的有价证券（包括股票等），以其估值日在证券交易所挂牌的市价（收盘价）估值；估值日无交易的，且最近交易日后经济环境未发生重大变化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pPr>
        <w:spacing w:line="360" w:lineRule="auto"/>
        <w:ind w:firstLine="480" w:firstLineChars="200"/>
        <w:rPr>
          <w:bCs/>
          <w:sz w:val="24"/>
        </w:rPr>
      </w:pPr>
      <w:r>
        <w:rPr>
          <w:bCs/>
          <w:sz w:val="24"/>
        </w:rPr>
        <w:t>（2）交易所上市交易或挂牌转让的固定收益品种</w:t>
      </w:r>
      <w:r>
        <w:rPr>
          <w:rFonts w:hint="eastAsia"/>
          <w:bCs/>
          <w:sz w:val="24"/>
        </w:rPr>
        <w:t>（另有规定的除外）</w:t>
      </w:r>
      <w:r>
        <w:rPr>
          <w:bCs/>
          <w:sz w:val="24"/>
        </w:rPr>
        <w:t>，选取估值日第三方估值机构提供的相应品种当日的估值净价进行估值；</w:t>
      </w:r>
    </w:p>
    <w:p>
      <w:pPr>
        <w:spacing w:line="360" w:lineRule="auto"/>
        <w:ind w:firstLine="480" w:firstLineChars="200"/>
        <w:rPr>
          <w:rFonts w:hint="eastAsia"/>
          <w:bCs/>
          <w:sz w:val="24"/>
        </w:rPr>
      </w:pPr>
      <w:r>
        <w:rPr>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spacing w:line="360" w:lineRule="auto"/>
        <w:ind w:firstLine="480" w:firstLineChars="200"/>
        <w:rPr>
          <w:bCs/>
          <w:sz w:val="24"/>
        </w:rPr>
      </w:pPr>
      <w:r>
        <w:rPr>
          <w:rFonts w:hint="eastAsia"/>
          <w:bCs/>
          <w:sz w:val="24"/>
        </w:rPr>
        <w:t>（4）交易所上市实行全价交易的债券（可转债除外），选取第三方估值机构提供的估值全价减去估值全价中所含的债券（税后）应收利息得到的净价进行估值；</w:t>
      </w:r>
    </w:p>
    <w:p>
      <w:pPr>
        <w:spacing w:line="360" w:lineRule="auto"/>
        <w:ind w:firstLine="480" w:firstLineChars="200"/>
        <w:rPr>
          <w:bCs/>
        </w:rPr>
      </w:pPr>
      <w:r>
        <w:rPr>
          <w:bCs/>
          <w:sz w:val="24"/>
        </w:rPr>
        <w:t>（5）交易所上市不存在活跃市场的有价证券，采用估值技术确定公允价值。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pPr>
        <w:spacing w:line="360" w:lineRule="auto"/>
        <w:ind w:firstLine="480" w:firstLineChars="200"/>
        <w:rPr>
          <w:bCs/>
        </w:rPr>
      </w:pPr>
      <w:r>
        <w:rPr>
          <w:bCs/>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pPr>
        <w:spacing w:line="360" w:lineRule="auto"/>
        <w:ind w:firstLine="480" w:firstLineChars="200"/>
        <w:rPr>
          <w:bCs/>
          <w:sz w:val="24"/>
        </w:rPr>
      </w:pPr>
      <w:r>
        <w:rPr>
          <w:bCs/>
          <w:sz w:val="24"/>
        </w:rPr>
        <w:t>2、处于未上市期间的有价证券应区分如下情况处理：</w:t>
      </w:r>
    </w:p>
    <w:p>
      <w:pPr>
        <w:spacing w:line="360" w:lineRule="auto"/>
        <w:ind w:firstLine="480" w:firstLineChars="200"/>
        <w:rPr>
          <w:bCs/>
          <w:sz w:val="24"/>
        </w:rPr>
      </w:pPr>
      <w:r>
        <w:rPr>
          <w:bCs/>
          <w:sz w:val="24"/>
        </w:rPr>
        <w:t>（1）送股、转增股、配股和公开增发的新股，按估值日在证券交易所挂牌的同一股票的估值方法估值；该日无交易的，以最近一日的市价（收盘价）估值；</w:t>
      </w:r>
    </w:p>
    <w:p>
      <w:pPr>
        <w:spacing w:line="360" w:lineRule="auto"/>
        <w:ind w:firstLine="480" w:firstLineChars="200"/>
        <w:rPr>
          <w:rFonts w:hint="eastAsia"/>
          <w:bCs/>
          <w:sz w:val="24"/>
        </w:rPr>
      </w:pPr>
      <w:r>
        <w:rPr>
          <w:bCs/>
          <w:sz w:val="24"/>
        </w:rPr>
        <w:t>（2）首次公开发行未上市的股票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pPr>
        <w:spacing w:line="360" w:lineRule="auto"/>
        <w:ind w:firstLine="480" w:firstLineChars="200"/>
        <w:rPr>
          <w:bCs/>
          <w:sz w:val="24"/>
        </w:rPr>
      </w:pPr>
      <w:r>
        <w:rPr>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bCs/>
          <w:sz w:val="24"/>
        </w:rPr>
      </w:pPr>
      <w:r>
        <w:rPr>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rFonts w:hint="eastAsia"/>
          <w:bCs/>
          <w:sz w:val="24"/>
        </w:rPr>
      </w:pPr>
      <w:r>
        <w:rPr>
          <w:rFonts w:hint="eastAsia"/>
          <w:bCs/>
          <w:sz w:val="24"/>
        </w:rPr>
        <w:t>4、本基金投资股指期货合约，一般以估值当日结算价进行估值，估值当日无结算价的，且最近交易日后经济环境未发生重大变化的，采用最近交易日结算价估值。</w:t>
      </w:r>
    </w:p>
    <w:p>
      <w:pPr>
        <w:spacing w:line="360" w:lineRule="auto"/>
        <w:ind w:firstLine="480" w:firstLineChars="200"/>
        <w:rPr>
          <w:rFonts w:hint="eastAsia"/>
          <w:bCs/>
          <w:sz w:val="24"/>
        </w:rPr>
      </w:pPr>
      <w:r>
        <w:rPr>
          <w:rFonts w:hint="eastAsia"/>
          <w:bCs/>
          <w:sz w:val="24"/>
        </w:rPr>
        <w:t>5、同一证券同时在两个或两个以上市场交易的，按证券所处的市场分别估值。</w:t>
      </w:r>
    </w:p>
    <w:p>
      <w:pPr>
        <w:spacing w:line="360" w:lineRule="auto"/>
        <w:ind w:firstLine="480" w:firstLineChars="200"/>
        <w:rPr>
          <w:rFonts w:hint="eastAsia"/>
          <w:bCs/>
          <w:sz w:val="24"/>
        </w:rPr>
      </w:pPr>
      <w:r>
        <w:rPr>
          <w:rFonts w:hint="eastAsia"/>
          <w:bCs/>
          <w:sz w:val="24"/>
        </w:rPr>
        <w:t>估值计算中涉及港币对人民币汇率的，将依据下列信息提供机构所提供的汇率为基准：当日中国人民银行或其授权机构公布的人民币汇率中间价。</w:t>
      </w:r>
    </w:p>
    <w:p>
      <w:pPr>
        <w:spacing w:line="360" w:lineRule="auto"/>
        <w:ind w:firstLine="480" w:firstLineChars="200"/>
        <w:rPr>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spacing w:line="360" w:lineRule="auto"/>
        <w:ind w:firstLine="480" w:firstLineChars="200"/>
        <w:rPr>
          <w:bCs/>
        </w:rPr>
      </w:pPr>
      <w:r>
        <w:rPr>
          <w:bCs/>
          <w:sz w:val="24"/>
        </w:rPr>
        <w:t>6、如有确凿证据表明按上述方法进行估值不能客观反映其公允价值的，基金管理人可根据具体情况与基金托管人商定后，按最能反映公允价值的价格估值。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bCs/>
          <w:sz w:val="24"/>
        </w:rPr>
        <w:t>7、当发生大额申购或赎回情形时，基金管理人可以采用摆动定价机制，以确保基金估值的公平性。</w:t>
      </w:r>
    </w:p>
    <w:p>
      <w:pPr>
        <w:spacing w:line="360" w:lineRule="auto"/>
        <w:ind w:firstLine="480" w:firstLineChars="200"/>
        <w:rPr>
          <w:rFonts w:hint="eastAsia"/>
          <w:bCs/>
        </w:rPr>
      </w:pPr>
      <w:r>
        <w:rPr>
          <w:rFonts w:hint="eastAsia"/>
          <w:bCs/>
          <w:sz w:val="24"/>
        </w:rPr>
        <w:t>8</w:t>
      </w:r>
      <w:r>
        <w:rPr>
          <w:bCs/>
          <w:sz w:val="24"/>
        </w:rPr>
        <w:t>、</w:t>
      </w:r>
      <w:r>
        <w:rPr>
          <w:rFonts w:hint="eastAsia"/>
          <w:bCs/>
          <w:sz w:val="24"/>
        </w:rPr>
        <w:t>本基金投资存托凭证的估值核算依照境内上市交易的股票执行。</w:t>
      </w:r>
    </w:p>
    <w:p>
      <w:pPr>
        <w:spacing w:line="360" w:lineRule="auto"/>
        <w:ind w:firstLine="480" w:firstLineChars="200"/>
        <w:rPr>
          <w:bCs/>
          <w:sz w:val="24"/>
        </w:rPr>
      </w:pPr>
      <w:r>
        <w:rPr>
          <w:bCs/>
          <w:sz w:val="24"/>
        </w:rPr>
        <w:t>9、相关法律法规以及监管部门有强制规定的，从其规定。如有新增事项，按国家最新规定估值。</w:t>
      </w:r>
    </w:p>
    <w:p>
      <w:pPr>
        <w:spacing w:line="360" w:lineRule="auto"/>
        <w:ind w:firstLine="480" w:firstLineChars="200"/>
        <w:rPr>
          <w:rStyle w:val="32"/>
          <w:bCs/>
          <w:sz w:val="24"/>
        </w:rPr>
      </w:pPr>
      <w:r>
        <w:rPr>
          <w:rStyle w:val="32"/>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rFonts w:ascii="宋体" w:hAnsi="宋体"/>
          <w:bCs/>
          <w:sz w:val="24"/>
          <w:szCs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rFonts w:hint="eastAsia"/>
          <w:bCs/>
          <w:sz w:val="24"/>
        </w:rPr>
        <w:t>净值信息</w:t>
      </w:r>
      <w:r>
        <w:rPr>
          <w:bCs/>
          <w:sz w:val="24"/>
        </w:rPr>
        <w:t>的计算结果对外予以公布。</w:t>
      </w:r>
    </w:p>
    <w:p>
      <w:pPr>
        <w:spacing w:line="360" w:lineRule="auto"/>
        <w:ind w:firstLine="480" w:firstLineChars="200"/>
        <w:outlineLvl w:val="2"/>
        <w:rPr>
          <w:rFonts w:ascii="宋体" w:hAnsi="宋体"/>
          <w:sz w:val="24"/>
          <w:szCs w:val="24"/>
        </w:rPr>
      </w:pPr>
      <w:r>
        <w:rPr>
          <w:rFonts w:ascii="宋体" w:hAnsi="宋体"/>
          <w:sz w:val="24"/>
          <w:szCs w:val="24"/>
        </w:rPr>
        <w:t>（二）估值程序</w:t>
      </w:r>
    </w:p>
    <w:p>
      <w:pPr>
        <w:spacing w:line="360" w:lineRule="auto"/>
        <w:ind w:firstLine="480" w:firstLineChars="200"/>
        <w:rPr>
          <w:rFonts w:hint="eastAsia"/>
          <w:bCs/>
          <w:sz w:val="24"/>
        </w:rPr>
      </w:pPr>
      <w:r>
        <w:rPr>
          <w:rFonts w:hint="eastAsia"/>
          <w:bCs/>
          <w:sz w:val="24"/>
        </w:rPr>
        <w:t>1、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pPr>
        <w:spacing w:line="360" w:lineRule="auto"/>
        <w:ind w:firstLine="480" w:firstLineChars="200"/>
        <w:rPr>
          <w:rFonts w:hint="eastAsia"/>
          <w:bCs/>
          <w:sz w:val="24"/>
        </w:rPr>
      </w:pPr>
      <w:r>
        <w:rPr>
          <w:rFonts w:hint="eastAsia"/>
          <w:bCs/>
          <w:sz w:val="24"/>
        </w:rPr>
        <w:t>基金管理人于每个工作日计算各类基金份额的基金资产净值及基金份额净值，并按规定公告。如遇特殊情况，经履行适当程序，可以适当延迟计算或公告。</w:t>
      </w:r>
    </w:p>
    <w:p>
      <w:pPr>
        <w:spacing w:line="360" w:lineRule="auto"/>
        <w:ind w:firstLine="480" w:firstLineChars="200"/>
        <w:rPr>
          <w:rFonts w:ascii="宋体" w:hAnsi="宋体"/>
          <w:bCs/>
          <w:sz w:val="24"/>
          <w:szCs w:val="24"/>
        </w:rPr>
      </w:pPr>
      <w:r>
        <w:rPr>
          <w:rFonts w:hint="eastAsia"/>
          <w:bCs/>
          <w:sz w:val="24"/>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pPr>
        <w:spacing w:line="360" w:lineRule="auto"/>
        <w:ind w:firstLine="480" w:firstLineChars="200"/>
        <w:outlineLvl w:val="2"/>
        <w:rPr>
          <w:bCs/>
          <w:sz w:val="24"/>
        </w:rPr>
      </w:pPr>
      <w:r>
        <w:rPr>
          <w:bCs/>
          <w:sz w:val="24"/>
        </w:rPr>
        <w:t>（三）暂停估值的情形</w:t>
      </w:r>
    </w:p>
    <w:p>
      <w:pPr>
        <w:spacing w:line="360" w:lineRule="auto"/>
        <w:ind w:firstLine="480" w:firstLineChars="200"/>
        <w:rPr>
          <w:bCs/>
          <w:sz w:val="24"/>
        </w:rPr>
      </w:pPr>
      <w:r>
        <w:rPr>
          <w:bCs/>
          <w:sz w:val="24"/>
        </w:rPr>
        <w:t>1、基金投资所涉及的证券</w:t>
      </w:r>
      <w:r>
        <w:rPr>
          <w:rFonts w:hint="eastAsia"/>
          <w:bCs/>
          <w:sz w:val="24"/>
        </w:rPr>
        <w:t>、</w:t>
      </w:r>
      <w:r>
        <w:rPr>
          <w:bCs/>
          <w:sz w:val="24"/>
        </w:rPr>
        <w:t>期货交易市场遇法定节假日或因其他原因暂停营业时；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bCs/>
          <w:sz w:val="24"/>
        </w:rPr>
      </w:pPr>
      <w:r>
        <w:rPr>
          <w:rFonts w:hint="eastAsia"/>
          <w:bCs/>
          <w:sz w:val="24"/>
        </w:rPr>
        <w:t>3、当特定资产占前一估值日基金资产净值50%以上的，</w:t>
      </w:r>
      <w:r>
        <w:rPr>
          <w:bCs/>
          <w:sz w:val="24"/>
        </w:rPr>
        <w:t>经与基金托管人协商确认后，基金管理人应当暂停估值</w:t>
      </w:r>
      <w:r>
        <w:rPr>
          <w:rFonts w:hint="eastAsia"/>
          <w:bCs/>
          <w:sz w:val="24"/>
        </w:rPr>
        <w:t>；</w:t>
      </w:r>
    </w:p>
    <w:p>
      <w:pPr>
        <w:spacing w:line="360" w:lineRule="auto"/>
        <w:ind w:firstLine="480" w:firstLineChars="20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pPr>
        <w:spacing w:line="360" w:lineRule="auto"/>
        <w:ind w:firstLine="480" w:firstLineChars="200"/>
        <w:outlineLvl w:val="2"/>
        <w:rPr>
          <w:bCs/>
          <w:sz w:val="24"/>
        </w:rPr>
      </w:pPr>
      <w:r>
        <w:rPr>
          <w:bCs/>
          <w:sz w:val="24"/>
        </w:rPr>
        <w:t>（四）基金</w:t>
      </w:r>
      <w:r>
        <w:rPr>
          <w:rFonts w:hint="eastAsia"/>
          <w:bCs/>
          <w:sz w:val="24"/>
        </w:rPr>
        <w:t>净值信息的</w:t>
      </w:r>
      <w:r>
        <w:rPr>
          <w:bCs/>
          <w:sz w:val="24"/>
        </w:rPr>
        <w:t>公告方式</w:t>
      </w:r>
    </w:p>
    <w:p>
      <w:pPr>
        <w:spacing w:line="360" w:lineRule="auto"/>
        <w:ind w:firstLine="480" w:firstLineChars="200"/>
        <w:rPr>
          <w:rFonts w:hint="eastAsia"/>
          <w:bCs/>
          <w:sz w:val="24"/>
        </w:rPr>
      </w:pPr>
      <w:r>
        <w:rPr>
          <w:rFonts w:hint="eastAsia"/>
          <w:bCs/>
          <w:sz w:val="24"/>
        </w:rPr>
        <w:t>《基金合同》生效后，在开始办理基金份额申购或者赎回前，基金管理人应当至少每周在规定网站分别披露一次A类基金份额和C类基金份额所对应的基金份额净值和基金份额累计净值。</w:t>
      </w:r>
    </w:p>
    <w:p>
      <w:pPr>
        <w:spacing w:line="360" w:lineRule="auto"/>
        <w:ind w:firstLine="480" w:firstLineChars="200"/>
        <w:rPr>
          <w:rFonts w:hint="eastAsia"/>
          <w:bCs/>
          <w:sz w:val="24"/>
        </w:rPr>
      </w:pPr>
      <w:r>
        <w:rPr>
          <w:rFonts w:hint="eastAsia"/>
          <w:bCs/>
          <w:sz w:val="24"/>
        </w:rPr>
        <w:t>在开始办理基金份额申购或者赎回后，基金管理人应当在不晚于每个开放日的次日，通过规定网站、基金销售机构网站或者营业网点分别披露开放日A类基金份额和C类基金份额所对应的基金份额净值和基金份额累计净值。</w:t>
      </w:r>
    </w:p>
    <w:p>
      <w:pPr>
        <w:spacing w:line="360" w:lineRule="auto"/>
        <w:ind w:firstLine="480" w:firstLineChars="200"/>
        <w:rPr>
          <w:rFonts w:hint="eastAsia"/>
          <w:bCs/>
          <w:sz w:val="24"/>
        </w:rPr>
      </w:pPr>
      <w:r>
        <w:rPr>
          <w:rFonts w:hint="eastAsia"/>
          <w:bCs/>
          <w:sz w:val="24"/>
        </w:rPr>
        <w:t>基金管理人应当在不晚于半年度和年度最后一日的次日，在规定网站披露半年度和年度最后一日A类基金份额和C类基金份额所对应的基金份额净值和基金份额累计净值。</w:t>
      </w:r>
    </w:p>
    <w:p>
      <w:pPr>
        <w:spacing w:line="360" w:lineRule="auto"/>
        <w:ind w:firstLine="482" w:firstLineChars="200"/>
        <w:outlineLvl w:val="1"/>
        <w:rPr>
          <w:b/>
          <w:bCs/>
          <w:sz w:val="24"/>
        </w:rPr>
      </w:pPr>
      <w:r>
        <w:rPr>
          <w:b/>
          <w:bCs/>
          <w:sz w:val="24"/>
        </w:rPr>
        <w:t>七、基金合同</w:t>
      </w:r>
      <w:r>
        <w:rPr>
          <w:rFonts w:hint="eastAsia"/>
          <w:b/>
          <w:bCs/>
          <w:sz w:val="24"/>
        </w:rPr>
        <w:t>变更、</w:t>
      </w:r>
      <w:r>
        <w:rPr>
          <w:b/>
          <w:bCs/>
          <w:sz w:val="24"/>
        </w:rPr>
        <w:t>解除和终止的事由、程序以及基金财产清算方式</w:t>
      </w:r>
    </w:p>
    <w:p>
      <w:pPr>
        <w:spacing w:line="360" w:lineRule="auto"/>
        <w:ind w:firstLine="480" w:firstLineChars="200"/>
        <w:outlineLvl w:val="2"/>
        <w:rPr>
          <w:rFonts w:ascii="宋体" w:hAnsi="宋体"/>
          <w:sz w:val="24"/>
          <w:szCs w:val="24"/>
        </w:rPr>
      </w:pPr>
      <w:r>
        <w:rPr>
          <w:rFonts w:ascii="宋体" w:hAnsi="宋体"/>
          <w:sz w:val="24"/>
          <w:szCs w:val="24"/>
        </w:rPr>
        <w:t>（一）</w:t>
      </w:r>
      <w:r>
        <w:rPr>
          <w:rFonts w:hint="eastAsia" w:ascii="宋体" w:hAnsi="宋体"/>
          <w:sz w:val="24"/>
          <w:szCs w:val="24"/>
        </w:rPr>
        <w:t>《</w:t>
      </w:r>
      <w:r>
        <w:rPr>
          <w:rFonts w:hint="eastAsia" w:ascii="宋体" w:hAnsi="宋体"/>
          <w:bCs/>
          <w:sz w:val="24"/>
          <w:szCs w:val="24"/>
        </w:rPr>
        <w:t>基金合同</w:t>
      </w:r>
      <w:r>
        <w:rPr>
          <w:rFonts w:hint="eastAsia" w:ascii="宋体" w:hAnsi="宋体"/>
          <w:sz w:val="24"/>
          <w:szCs w:val="24"/>
        </w:rPr>
        <w:t>》</w:t>
      </w:r>
      <w:r>
        <w:rPr>
          <w:rFonts w:hint="eastAsia" w:ascii="宋体" w:hAnsi="宋体"/>
          <w:bCs/>
          <w:sz w:val="24"/>
          <w:szCs w:val="24"/>
        </w:rPr>
        <w:t>的变更</w:t>
      </w:r>
    </w:p>
    <w:p>
      <w:pPr>
        <w:spacing w:line="360" w:lineRule="auto"/>
        <w:ind w:firstLine="480" w:firstLineChars="200"/>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80" w:firstLineChars="200"/>
        <w:rPr>
          <w:bCs/>
          <w:sz w:val="24"/>
        </w:rPr>
      </w:pPr>
      <w:r>
        <w:rPr>
          <w:bCs/>
          <w:sz w:val="24"/>
        </w:rPr>
        <w:t>2、关于《基金合同》变更的基金份额持有人大会决议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在规定媒介公告。</w:t>
      </w:r>
    </w:p>
    <w:p>
      <w:pPr>
        <w:spacing w:line="360" w:lineRule="auto"/>
        <w:ind w:firstLine="480" w:firstLineChars="200"/>
        <w:outlineLvl w:val="2"/>
        <w:rPr>
          <w:rFonts w:ascii="宋体" w:hAnsi="宋体"/>
          <w:sz w:val="24"/>
          <w:szCs w:val="24"/>
        </w:rPr>
      </w:pPr>
      <w:r>
        <w:rPr>
          <w:rFonts w:hint="eastAsia" w:ascii="宋体" w:hAnsi="宋体"/>
          <w:sz w:val="24"/>
          <w:szCs w:val="24"/>
        </w:rPr>
        <w:t>（二）《</w:t>
      </w:r>
      <w:r>
        <w:rPr>
          <w:rFonts w:ascii="宋体" w:hAnsi="宋体"/>
          <w:sz w:val="24"/>
          <w:szCs w:val="24"/>
        </w:rPr>
        <w:t>基金合同</w:t>
      </w:r>
      <w:r>
        <w:rPr>
          <w:rFonts w:hint="eastAsia" w:ascii="宋体" w:hAnsi="宋体"/>
          <w:sz w:val="24"/>
          <w:szCs w:val="24"/>
        </w:rPr>
        <w:t>》</w:t>
      </w:r>
      <w:r>
        <w:rPr>
          <w:rFonts w:ascii="宋体" w:hAnsi="宋体"/>
          <w:sz w:val="24"/>
          <w:szCs w:val="24"/>
        </w:rPr>
        <w:t>的终止</w:t>
      </w:r>
      <w:r>
        <w:rPr>
          <w:rFonts w:ascii="宋体" w:hAnsi="宋体"/>
          <w:bCs/>
          <w:sz w:val="24"/>
          <w:szCs w:val="24"/>
        </w:rPr>
        <w:t>事由</w:t>
      </w:r>
    </w:p>
    <w:p>
      <w:pPr>
        <w:spacing w:line="360" w:lineRule="auto"/>
        <w:ind w:firstLine="480" w:firstLineChars="200"/>
        <w:rPr>
          <w:rFonts w:hint="eastAsia"/>
          <w:bCs/>
          <w:sz w:val="24"/>
        </w:rPr>
      </w:pPr>
      <w:r>
        <w:rPr>
          <w:rFonts w:hint="eastAsia"/>
          <w:bCs/>
          <w:sz w:val="24"/>
        </w:rPr>
        <w:t>有下列情形之一的，经履行相关程序后，《基金合同》应当终止：</w:t>
      </w:r>
    </w:p>
    <w:p>
      <w:pPr>
        <w:spacing w:line="360" w:lineRule="auto"/>
        <w:ind w:firstLine="480" w:firstLineChars="200"/>
        <w:rPr>
          <w:rFonts w:hint="eastAsia"/>
          <w:bCs/>
          <w:sz w:val="24"/>
        </w:rPr>
      </w:pPr>
      <w:r>
        <w:rPr>
          <w:rFonts w:hint="eastAsia"/>
          <w:bCs/>
          <w:sz w:val="24"/>
        </w:rPr>
        <w:t>1、基金份额持有人大会决定终止的；</w:t>
      </w:r>
    </w:p>
    <w:p>
      <w:pPr>
        <w:spacing w:line="360" w:lineRule="auto"/>
        <w:ind w:firstLine="480" w:firstLineChars="200"/>
        <w:rPr>
          <w:rFonts w:hint="eastAsia"/>
          <w:bCs/>
          <w:sz w:val="24"/>
        </w:rPr>
      </w:pPr>
      <w:r>
        <w:rPr>
          <w:rFonts w:hint="eastAsia"/>
          <w:bCs/>
          <w:sz w:val="24"/>
        </w:rPr>
        <w:t>2、基金管理人、基金托管人职责终止，在6个月内没有新基金管理人、新基金托管人承接的；</w:t>
      </w:r>
    </w:p>
    <w:p>
      <w:pPr>
        <w:spacing w:line="360" w:lineRule="auto"/>
        <w:ind w:firstLine="480" w:firstLineChars="200"/>
        <w:rPr>
          <w:rFonts w:hint="eastAsia"/>
          <w:bCs/>
          <w:sz w:val="24"/>
        </w:rPr>
      </w:pPr>
      <w:r>
        <w:rPr>
          <w:rFonts w:hint="eastAsia"/>
          <w:bCs/>
          <w:sz w:val="24"/>
        </w:rPr>
        <w:t>3、连续</w:t>
      </w:r>
      <w:r>
        <w:rPr>
          <w:bCs/>
          <w:sz w:val="24"/>
        </w:rPr>
        <w:t>5</w:t>
      </w:r>
      <w:r>
        <w:rPr>
          <w:rFonts w:hint="eastAsia"/>
          <w:bCs/>
          <w:sz w:val="24"/>
        </w:rPr>
        <w:t>0个工作日出现基金份额持有人数量不满200人或者基金资产净值低于5000万元情形的，基金合同终止，不需召开基金份额持有人大会；</w:t>
      </w:r>
    </w:p>
    <w:p>
      <w:pPr>
        <w:spacing w:line="360" w:lineRule="auto"/>
        <w:ind w:firstLine="480" w:firstLineChars="200"/>
        <w:rPr>
          <w:rFonts w:hint="eastAsia"/>
          <w:bCs/>
          <w:sz w:val="24"/>
        </w:rPr>
      </w:pPr>
      <w:r>
        <w:rPr>
          <w:rFonts w:hint="eastAsia"/>
          <w:bCs/>
          <w:sz w:val="24"/>
        </w:rPr>
        <w:t>4、《基金合同》约定的其他情形；</w:t>
      </w:r>
    </w:p>
    <w:p>
      <w:pPr>
        <w:spacing w:line="360" w:lineRule="auto"/>
        <w:ind w:firstLine="480" w:firstLineChars="200"/>
        <w:rPr>
          <w:rFonts w:ascii="宋体" w:hAnsi="宋体"/>
          <w:bCs/>
          <w:sz w:val="24"/>
          <w:szCs w:val="24"/>
        </w:rPr>
      </w:pPr>
      <w:r>
        <w:rPr>
          <w:rFonts w:hint="eastAsia"/>
          <w:bCs/>
          <w:sz w:val="24"/>
        </w:rPr>
        <w:t>5、相关法律法规和中国证监会规定的其他情况。</w:t>
      </w:r>
    </w:p>
    <w:p>
      <w:pPr>
        <w:spacing w:line="360" w:lineRule="auto"/>
        <w:ind w:firstLine="480" w:firstLineChars="200"/>
        <w:outlineLvl w:val="2"/>
        <w:rPr>
          <w:rFonts w:ascii="宋体" w:hAnsi="宋体"/>
          <w:sz w:val="24"/>
          <w:szCs w:val="24"/>
        </w:rPr>
      </w:pPr>
      <w:r>
        <w:rPr>
          <w:rFonts w:ascii="宋体" w:hAnsi="宋体"/>
          <w:sz w:val="24"/>
          <w:szCs w:val="24"/>
        </w:rPr>
        <w:t>（</w:t>
      </w:r>
      <w:r>
        <w:rPr>
          <w:rFonts w:hint="eastAsia" w:ascii="宋体" w:hAnsi="宋体"/>
          <w:sz w:val="24"/>
          <w:szCs w:val="24"/>
        </w:rPr>
        <w:t>三</w:t>
      </w:r>
      <w:r>
        <w:rPr>
          <w:rFonts w:ascii="宋体" w:hAnsi="宋体"/>
          <w:sz w:val="24"/>
          <w:szCs w:val="24"/>
        </w:rPr>
        <w:t>）基金财产的清算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w:t>
      </w:r>
      <w:r>
        <w:rPr>
          <w:rFonts w:hint="eastAsia"/>
          <w:bCs/>
          <w:sz w:val="24"/>
        </w:rPr>
        <w:t>符合《中华人民共和国证券法》规定的</w:t>
      </w:r>
      <w:r>
        <w:rPr>
          <w:bCs/>
          <w:sz w:val="24"/>
        </w:rPr>
        <w:t>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bCs/>
          <w:sz w:val="24"/>
        </w:rPr>
        <w:t>6</w:t>
      </w:r>
      <w:r>
        <w:rPr>
          <w:bCs/>
          <w:sz w:val="24"/>
        </w:rPr>
        <w:t>个月，但因本基金所持证券的流动性受到限制而不能及时变现的，清算期限相应顺延。</w:t>
      </w:r>
    </w:p>
    <w:p>
      <w:pPr>
        <w:spacing w:line="360" w:lineRule="auto"/>
        <w:ind w:firstLine="482" w:firstLineChars="200"/>
        <w:outlineLvl w:val="1"/>
        <w:rPr>
          <w:b/>
          <w:bCs/>
          <w:sz w:val="24"/>
        </w:rPr>
      </w:pPr>
      <w:r>
        <w:rPr>
          <w:b/>
          <w:bCs/>
          <w:sz w:val="24"/>
        </w:rPr>
        <w:t>八、</w:t>
      </w:r>
      <w:r>
        <w:rPr>
          <w:rFonts w:hint="eastAsia"/>
          <w:b/>
          <w:bCs/>
          <w:sz w:val="24"/>
        </w:rPr>
        <w:t>争议解决方式</w:t>
      </w:r>
    </w:p>
    <w:p>
      <w:pPr>
        <w:spacing w:line="360" w:lineRule="auto"/>
        <w:ind w:firstLine="480" w:firstLineChars="20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r>
        <w:rPr>
          <w:bCs/>
          <w:sz w:val="24"/>
        </w:rPr>
        <w:t>。</w:t>
      </w:r>
    </w:p>
    <w:p>
      <w:pPr>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spacing w:line="360" w:lineRule="auto"/>
        <w:ind w:firstLine="480" w:firstLineChars="200"/>
        <w:rPr>
          <w:bCs/>
          <w:sz w:val="24"/>
        </w:rPr>
      </w:pPr>
      <w:r>
        <w:rPr>
          <w:bCs/>
          <w:sz w:val="24"/>
        </w:rPr>
        <w:t>《基金合同》受中国法律</w:t>
      </w:r>
      <w:r>
        <w:rPr>
          <w:rFonts w:hint="eastAsia"/>
          <w:bCs/>
          <w:sz w:val="24"/>
        </w:rPr>
        <w:t>（不含港澳台地区法律）</w:t>
      </w:r>
      <w:r>
        <w:rPr>
          <w:bCs/>
          <w:sz w:val="24"/>
        </w:rPr>
        <w:t>管辖。</w:t>
      </w:r>
    </w:p>
    <w:p>
      <w:pPr>
        <w:spacing w:line="360" w:lineRule="auto"/>
        <w:ind w:firstLine="482" w:firstLineChars="200"/>
        <w:outlineLvl w:val="1"/>
        <w:rPr>
          <w:b/>
          <w:bCs/>
          <w:sz w:val="24"/>
        </w:rPr>
      </w:pPr>
      <w:r>
        <w:rPr>
          <w:b/>
          <w:bCs/>
          <w:sz w:val="24"/>
        </w:rPr>
        <w:t>九、基金合同存放地和投资者取得基金合同的方式</w:t>
      </w:r>
    </w:p>
    <w:p>
      <w:pPr>
        <w:spacing w:line="360" w:lineRule="auto"/>
        <w:ind w:firstLine="480" w:firstLineChars="200"/>
        <w:rPr>
          <w:bCs/>
          <w:sz w:val="24"/>
        </w:rPr>
      </w:pP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pPr>
        <w:spacing w:line="360" w:lineRule="auto"/>
        <w:ind w:firstLine="480" w:firstLineChars="200"/>
        <w:rPr>
          <w:rFonts w:hAnsi="宋体"/>
          <w:b/>
          <w:sz w:val="24"/>
          <w:szCs w:val="24"/>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pPr>
        <w:spacing w:line="360" w:lineRule="auto"/>
        <w:ind w:firstLine="482" w:firstLineChars="200"/>
        <w:rPr>
          <w:rFonts w:hAnsi="宋体"/>
          <w:b/>
          <w:sz w:val="24"/>
          <w:szCs w:val="24"/>
        </w:rPr>
      </w:pPr>
    </w:p>
    <w:p>
      <w:pPr>
        <w:spacing w:line="360" w:lineRule="auto"/>
        <w:ind w:firstLine="420" w:firstLineChars="200"/>
        <w:rPr>
          <w:bCs/>
        </w:rPr>
      </w:pP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6001407"/>
      <w:docPartObj>
        <w:docPartGallery w:val="autotext"/>
      </w:docPartObj>
    </w:sdtPr>
    <w:sdtContent>
      <w:p>
        <w:pPr>
          <w:pStyle w:val="13"/>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2"/>
      </w:pBdr>
      <w:tabs>
        <w:tab w:val="right" w:pos="8280"/>
      </w:tabs>
      <w:wordWrap w:val="0"/>
      <w:adjustRightInd w:val="0"/>
      <w:jc w:val="right"/>
    </w:pPr>
    <w:r>
      <w:rPr>
        <w:rFonts w:hint="eastAsia"/>
        <w:szCs w:val="18"/>
      </w:rPr>
      <w:t>交银施罗德鸿信一年持有期混合型证券投资基金</w:t>
    </w:r>
    <w:r>
      <w:rPr>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szCs w:val="18"/>
      </w:rPr>
      <w:t>基金合同摘要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718D4"/>
    <w:multiLevelType w:val="multilevel"/>
    <w:tmpl w:val="13B718D4"/>
    <w:lvl w:ilvl="0" w:tentative="0">
      <w:start w:val="1"/>
      <w:numFmt w:val="decimal"/>
      <w:pStyle w:val="49"/>
      <w:lvlText w:val="（%1）"/>
      <w:lvlJc w:val="center"/>
      <w:pPr>
        <w:tabs>
          <w:tab w:val="left" w:pos="648"/>
        </w:tabs>
        <w:ind w:left="0" w:firstLine="28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127EAD"/>
    <w:multiLevelType w:val="multilevel"/>
    <w:tmpl w:val="58127EA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1AB5552D"/>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50"/>
    <w:qFormat/>
    <w:uiPriority w:val="0"/>
    <w:pPr>
      <w:jc w:val="left"/>
    </w:pPr>
  </w:style>
  <w:style w:type="paragraph" w:styleId="8">
    <w:name w:val="Body Text"/>
    <w:basedOn w:val="1"/>
    <w:link w:val="28"/>
    <w:qFormat/>
    <w:uiPriority w:val="0"/>
    <w:pPr>
      <w:autoSpaceDE w:val="0"/>
      <w:autoSpaceDN w:val="0"/>
      <w:adjustRightInd w:val="0"/>
      <w:spacing w:line="360" w:lineRule="auto"/>
      <w:jc w:val="left"/>
    </w:pPr>
    <w:rPr>
      <w:rFonts w:ascii="宋体"/>
      <w:kern w:val="0"/>
      <w:sz w:val="20"/>
    </w:rPr>
  </w:style>
  <w:style w:type="paragraph" w:styleId="9">
    <w:name w:val="toc 3"/>
    <w:basedOn w:val="1"/>
    <w:next w:val="1"/>
    <w:uiPriority w:val="0"/>
    <w:pPr>
      <w:ind w:left="840" w:leftChars="400"/>
    </w:pPr>
  </w:style>
  <w:style w:type="paragraph" w:styleId="10">
    <w:name w:val="Plain Text"/>
    <w:basedOn w:val="1"/>
    <w:link w:val="51"/>
    <w:qFormat/>
    <w:uiPriority w:val="99"/>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link w:val="47"/>
    <w:qFormat/>
    <w:uiPriority w:val="99"/>
    <w:pPr>
      <w:tabs>
        <w:tab w:val="center" w:pos="4153"/>
        <w:tab w:val="right" w:pos="8306"/>
      </w:tabs>
      <w:snapToGrid w:val="0"/>
      <w:jc w:val="left"/>
    </w:pPr>
    <w:rPr>
      <w:sz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19">
    <w:name w:val="Title"/>
    <w:basedOn w:val="1"/>
    <w:next w:val="1"/>
    <w:link w:val="30"/>
    <w:qFormat/>
    <w:uiPriority w:val="0"/>
    <w:pPr>
      <w:spacing w:before="240" w:after="60"/>
      <w:jc w:val="center"/>
      <w:outlineLvl w:val="0"/>
    </w:pPr>
    <w:rPr>
      <w:rFonts w:ascii="Cambria" w:hAnsi="Cambria"/>
      <w:b/>
      <w:sz w:val="32"/>
    </w:rPr>
  </w:style>
  <w:style w:type="paragraph" w:styleId="20">
    <w:name w:val="annotation subject"/>
    <w:basedOn w:val="7"/>
    <w:next w:val="7"/>
    <w:link w:val="74"/>
    <w:qFormat/>
    <w:uiPriority w:val="99"/>
    <w:rPr>
      <w:b/>
    </w:rPr>
  </w:style>
  <w:style w:type="paragraph" w:styleId="21">
    <w:name w:val="Body Text First Indent"/>
    <w:basedOn w:val="8"/>
    <w:link w:val="48"/>
    <w:semiHidden/>
    <w:unhideWhenUsed/>
    <w:qFormat/>
    <w:uiPriority w:val="99"/>
    <w:pPr>
      <w:autoSpaceDE/>
      <w:autoSpaceDN/>
      <w:adjustRightInd/>
      <w:spacing w:after="120" w:line="240" w:lineRule="auto"/>
      <w:ind w:firstLine="420" w:firstLineChars="100"/>
      <w:jc w:val="both"/>
    </w:pPr>
    <w:rPr>
      <w:kern w:val="2"/>
      <w:sz w:val="21"/>
    </w:rPr>
  </w:style>
  <w:style w:type="character" w:styleId="24">
    <w:name w:val="page number"/>
    <w:basedOn w:val="23"/>
    <w:uiPriority w:val="0"/>
  </w:style>
  <w:style w:type="character" w:styleId="25">
    <w:name w:val="Hyperlink"/>
    <w:qFormat/>
    <w:uiPriority w:val="0"/>
    <w:rPr>
      <w:color w:val="0000FF"/>
      <w:u w:val="single"/>
    </w:rPr>
  </w:style>
  <w:style w:type="character" w:styleId="26">
    <w:name w:val="annotation reference"/>
    <w:uiPriority w:val="99"/>
    <w:rPr>
      <w:sz w:val="21"/>
    </w:rPr>
  </w:style>
  <w:style w:type="character" w:styleId="27">
    <w:name w:val="footnote reference"/>
    <w:qFormat/>
    <w:uiPriority w:val="0"/>
    <w:rPr>
      <w:vertAlign w:val="superscript"/>
    </w:rPr>
  </w:style>
  <w:style w:type="character" w:customStyle="1" w:styleId="28">
    <w:name w:val="正文文本 Char"/>
    <w:link w:val="8"/>
    <w:qFormat/>
    <w:uiPriority w:val="0"/>
    <w:rPr>
      <w:rFonts w:ascii="宋体"/>
      <w:kern w:val="0"/>
    </w:rPr>
  </w:style>
  <w:style w:type="character" w:customStyle="1" w:styleId="29">
    <w:name w:val="unnamed11"/>
    <w:qFormat/>
    <w:uiPriority w:val="0"/>
    <w:rPr>
      <w:rFonts w:hint="eastAsia" w:ascii="宋体" w:hAnsi="宋体" w:eastAsia="宋体"/>
      <w:sz w:val="18"/>
    </w:rPr>
  </w:style>
  <w:style w:type="character" w:customStyle="1" w:styleId="30">
    <w:name w:val="标题 Char"/>
    <w:link w:val="19"/>
    <w:qFormat/>
    <w:uiPriority w:val="0"/>
    <w:rPr>
      <w:rFonts w:ascii="Cambria" w:hAnsi="Cambria"/>
      <w:b/>
      <w:kern w:val="2"/>
      <w:sz w:val="32"/>
    </w:rPr>
  </w:style>
  <w:style w:type="character" w:customStyle="1" w:styleId="31">
    <w:name w:val="页眉 Char1"/>
    <w:link w:val="14"/>
    <w:qFormat/>
    <w:uiPriority w:val="0"/>
    <w:rPr>
      <w:rFonts w:eastAsia="宋体"/>
      <w:kern w:val="2"/>
      <w:sz w:val="18"/>
      <w:lang w:val="en-US" w:eastAsia="zh-CN"/>
    </w:rPr>
  </w:style>
  <w:style w:type="character" w:customStyle="1" w:styleId="32">
    <w:name w:val="read"/>
    <w:basedOn w:val="23"/>
    <w:qFormat/>
    <w:uiPriority w:val="0"/>
  </w:style>
  <w:style w:type="paragraph" w:customStyle="1" w:styleId="33">
    <w:name w:val="Char Char"/>
    <w:basedOn w:val="1"/>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
    <w:name w:val="unnamed1"/>
    <w:basedOn w:val="1"/>
    <w:qFormat/>
    <w:uiPriority w:val="0"/>
    <w:pPr>
      <w:spacing w:before="60" w:after="60"/>
      <w:ind w:left="15" w:right="15"/>
    </w:pPr>
    <w:rPr>
      <w:rFonts w:hint="eastAsia" w:ascii="宋体" w:hAnsi="宋体"/>
      <w:color w:val="000000"/>
      <w:sz w:val="18"/>
      <w:szCs w:val="18"/>
    </w:rPr>
  </w:style>
  <w:style w:type="paragraph" w:customStyle="1" w:styleId="36">
    <w:name w:val="List_bullet"/>
    <w:basedOn w:val="1"/>
    <w:qFormat/>
    <w:uiPriority w:val="0"/>
    <w:pPr>
      <w:widowControl/>
      <w:tabs>
        <w:tab w:val="left" w:pos="360"/>
      </w:tabs>
      <w:ind w:left="360" w:hanging="360"/>
      <w:jc w:val="left"/>
    </w:pPr>
    <w:rPr>
      <w:kern w:val="0"/>
      <w:sz w:val="24"/>
    </w:rPr>
  </w:style>
  <w:style w:type="paragraph" w:customStyle="1" w:styleId="37">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正文"/>
    <w:basedOn w:val="1"/>
    <w:qFormat/>
    <w:uiPriority w:val="0"/>
    <w:pPr>
      <w:spacing w:afterLines="25" w:line="360" w:lineRule="auto"/>
      <w:ind w:firstLine="200" w:firstLineChars="200"/>
    </w:pPr>
    <w:rPr>
      <w:sz w:val="24"/>
    </w:rPr>
  </w:style>
  <w:style w:type="paragraph" w:customStyle="1" w:styleId="39">
    <w:name w:val="Char"/>
    <w:basedOn w:val="1"/>
    <w:qFormat/>
    <w:uiPriority w:val="0"/>
  </w:style>
  <w:style w:type="paragraph" w:customStyle="1" w:styleId="40">
    <w:name w:val="Char1"/>
    <w:basedOn w:val="1"/>
    <w:qFormat/>
    <w:uiPriority w:val="0"/>
  </w:style>
  <w:style w:type="paragraph" w:customStyle="1" w:styleId="41">
    <w:name w:val="Char Char Char"/>
    <w:basedOn w:val="1"/>
    <w:qFormat/>
    <w:uiPriority w:val="0"/>
  </w:style>
  <w:style w:type="paragraph" w:customStyle="1" w:styleId="42">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3">
    <w:name w:val="Char Char Char Char"/>
    <w:basedOn w:val="1"/>
    <w:qFormat/>
    <w:uiPriority w:val="0"/>
    <w:pPr>
      <w:tabs>
        <w:tab w:val="left" w:pos="360"/>
      </w:tabs>
    </w:pPr>
  </w:style>
  <w:style w:type="paragraph" w:customStyle="1" w:styleId="44">
    <w:name w:val="Char Char1"/>
    <w:basedOn w:val="1"/>
    <w:qFormat/>
    <w:uiPriority w:val="0"/>
  </w:style>
  <w:style w:type="paragraph" w:customStyle="1" w:styleId="45">
    <w:name w:val="正文所"/>
    <w:basedOn w:val="1"/>
    <w:qFormat/>
    <w:uiPriority w:val="0"/>
    <w:pPr>
      <w:spacing w:line="360" w:lineRule="auto"/>
      <w:ind w:firstLine="420" w:firstLineChars="200"/>
    </w:pPr>
    <w:rPr>
      <w:rFonts w:ascii="宋体"/>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页脚 Char1"/>
    <w:link w:val="13"/>
    <w:qFormat/>
    <w:uiPriority w:val="99"/>
    <w:rPr>
      <w:kern w:val="2"/>
      <w:sz w:val="18"/>
    </w:rPr>
  </w:style>
  <w:style w:type="character" w:customStyle="1" w:styleId="48">
    <w:name w:val="正文首行缩进 Char"/>
    <w:link w:val="21"/>
    <w:qFormat/>
    <w:uiPriority w:val="0"/>
    <w:rPr>
      <w:rFonts w:ascii="宋体"/>
      <w:kern w:val="2"/>
      <w:sz w:val="21"/>
    </w:rPr>
  </w:style>
  <w:style w:type="paragraph" w:customStyle="1" w:styleId="49">
    <w:name w:val="编号正文2"/>
    <w:basedOn w:val="1"/>
    <w:qFormat/>
    <w:uiPriority w:val="0"/>
    <w:pPr>
      <w:numPr>
        <w:ilvl w:val="0"/>
        <w:numId w:val="1"/>
      </w:numPr>
      <w:autoSpaceDE w:val="0"/>
      <w:autoSpaceDN w:val="0"/>
      <w:adjustRightInd w:val="0"/>
      <w:spacing w:after="120" w:line="300" w:lineRule="auto"/>
      <w:textAlignment w:val="baseline"/>
    </w:pPr>
    <w:rPr>
      <w:rFonts w:ascii="宋体"/>
      <w:kern w:val="0"/>
    </w:rPr>
  </w:style>
  <w:style w:type="character" w:customStyle="1" w:styleId="50">
    <w:name w:val="批注文字 Char"/>
    <w:link w:val="7"/>
    <w:qFormat/>
    <w:uiPriority w:val="0"/>
    <w:rPr>
      <w:kern w:val="2"/>
      <w:sz w:val="21"/>
    </w:rPr>
  </w:style>
  <w:style w:type="character" w:customStyle="1" w:styleId="51">
    <w:name w:val="纯文本 Char"/>
    <w:basedOn w:val="23"/>
    <w:link w:val="10"/>
    <w:qFormat/>
    <w:uiPriority w:val="99"/>
    <w:rPr>
      <w:rFonts w:ascii="宋体" w:hAnsi="Courier New"/>
      <w:sz w:val="21"/>
    </w:rPr>
  </w:style>
  <w:style w:type="paragraph" w:customStyle="1" w:styleId="52">
    <w:name w:val="列出段落1"/>
    <w:basedOn w:val="1"/>
    <w:qFormat/>
    <w:uiPriority w:val="0"/>
    <w:pPr>
      <w:ind w:firstLine="420" w:firstLineChars="200"/>
    </w:pPr>
  </w:style>
  <w:style w:type="paragraph" w:styleId="53">
    <w:name w:val="List Paragraph"/>
    <w:basedOn w:val="1"/>
    <w:qFormat/>
    <w:uiPriority w:val="34"/>
    <w:pPr>
      <w:ind w:firstLine="420" w:firstLineChars="200"/>
    </w:pPr>
  </w:style>
  <w:style w:type="paragraph" w:customStyle="1" w:styleId="54">
    <w:name w:val="HTML 预设格式1"/>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55">
    <w:name w:val="普通(网站)1"/>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customStyle="1" w:styleId="56">
    <w:name w:val="修订11"/>
    <w:qFormat/>
    <w:uiPriority w:val="0"/>
    <w:rPr>
      <w:rFonts w:ascii="Times New Roman" w:hAnsi="Times New Roman" w:eastAsia="宋体" w:cs="Times New Roman"/>
      <w:kern w:val="2"/>
      <w:sz w:val="21"/>
      <w:lang w:val="en-US" w:eastAsia="zh-CN" w:bidi="ar-SA"/>
    </w:rPr>
  </w:style>
  <w:style w:type="paragraph" w:customStyle="1" w:styleId="57">
    <w:name w:val="正文文本缩进 31"/>
    <w:basedOn w:val="1"/>
    <w:qFormat/>
    <w:uiPriority w:val="0"/>
    <w:pPr>
      <w:autoSpaceDE w:val="0"/>
      <w:autoSpaceDN w:val="0"/>
      <w:adjustRightInd w:val="0"/>
      <w:spacing w:line="360" w:lineRule="auto"/>
      <w:ind w:left="420" w:firstLine="435"/>
    </w:pPr>
    <w:rPr>
      <w:color w:val="0000FF"/>
    </w:rPr>
  </w:style>
  <w:style w:type="paragraph" w:customStyle="1" w:styleId="58">
    <w:name w:val="正文文本缩进 21"/>
    <w:basedOn w:val="1"/>
    <w:qFormat/>
    <w:uiPriority w:val="0"/>
    <w:pPr>
      <w:spacing w:line="360" w:lineRule="auto"/>
      <w:ind w:firstLine="425"/>
    </w:pPr>
    <w:rPr>
      <w:rFonts w:ascii="仿宋_GB2312" w:eastAsia="仿宋_GB2312"/>
      <w:sz w:val="28"/>
    </w:rPr>
  </w:style>
  <w:style w:type="paragraph" w:customStyle="1" w:styleId="59">
    <w:name w:val="修订2"/>
    <w:qFormat/>
    <w:uiPriority w:val="0"/>
    <w:rPr>
      <w:rFonts w:ascii="Times New Roman" w:hAnsi="Times New Roman" w:eastAsia="宋体" w:cs="Times New Roman"/>
      <w:kern w:val="2"/>
      <w:sz w:val="21"/>
      <w:lang w:val="en-US" w:eastAsia="zh-CN" w:bidi="ar-SA"/>
    </w:rPr>
  </w:style>
  <w:style w:type="paragraph" w:customStyle="1" w:styleId="60">
    <w:name w:val="纯文本1"/>
    <w:basedOn w:val="1"/>
    <w:qFormat/>
    <w:uiPriority w:val="0"/>
    <w:pPr>
      <w:adjustRightInd w:val="0"/>
      <w:spacing w:line="312" w:lineRule="atLeast"/>
      <w:textAlignment w:val="baseline"/>
    </w:pPr>
    <w:rPr>
      <w:rFonts w:ascii="宋体" w:hAnsi="Courier New"/>
      <w:kern w:val="0"/>
    </w:rPr>
  </w:style>
  <w:style w:type="paragraph" w:customStyle="1" w:styleId="61">
    <w:name w:val="批注主题1"/>
    <w:basedOn w:val="7"/>
    <w:next w:val="7"/>
    <w:qFormat/>
    <w:uiPriority w:val="0"/>
    <w:rPr>
      <w:b/>
    </w:rPr>
  </w:style>
  <w:style w:type="paragraph" w:customStyle="1" w:styleId="62">
    <w:name w:val="Char2"/>
    <w:basedOn w:val="1"/>
    <w:qFormat/>
    <w:uiPriority w:val="0"/>
  </w:style>
  <w:style w:type="paragraph" w:customStyle="1" w:styleId="63">
    <w:name w:val="正文首行缩进1"/>
    <w:basedOn w:val="8"/>
    <w:qFormat/>
    <w:uiPriority w:val="0"/>
    <w:pPr>
      <w:adjustRightInd/>
      <w:spacing w:after="120" w:line="240" w:lineRule="auto"/>
      <w:ind w:firstLine="420" w:firstLineChars="100"/>
      <w:jc w:val="both"/>
    </w:pPr>
    <w:rPr>
      <w:kern w:val="2"/>
      <w:sz w:val="21"/>
    </w:rPr>
  </w:style>
  <w:style w:type="paragraph" w:customStyle="1" w:styleId="64">
    <w:name w:val="文档结构图1"/>
    <w:basedOn w:val="1"/>
    <w:link w:val="68"/>
    <w:qFormat/>
    <w:uiPriority w:val="0"/>
    <w:rPr>
      <w:rFonts w:ascii="宋体"/>
      <w:sz w:val="18"/>
      <w:szCs w:val="18"/>
    </w:rPr>
  </w:style>
  <w:style w:type="paragraph" w:customStyle="1" w:styleId="65">
    <w:name w:val="批注主题2"/>
    <w:basedOn w:val="7"/>
    <w:next w:val="7"/>
    <w:link w:val="69"/>
    <w:qFormat/>
    <w:uiPriority w:val="0"/>
    <w:rPr>
      <w:b/>
      <w:bCs/>
    </w:rPr>
  </w:style>
  <w:style w:type="paragraph" w:customStyle="1" w:styleId="66">
    <w:name w:val="文档结构图11"/>
    <w:basedOn w:val="1"/>
    <w:qFormat/>
    <w:uiPriority w:val="0"/>
    <w:pPr>
      <w:shd w:val="clear" w:color="auto" w:fill="000080"/>
    </w:pPr>
  </w:style>
  <w:style w:type="paragraph" w:customStyle="1" w:styleId="67">
    <w:name w:val="修订3"/>
    <w:hidden/>
    <w:semiHidden/>
    <w:qFormat/>
    <w:uiPriority w:val="99"/>
    <w:rPr>
      <w:rFonts w:ascii="Times New Roman" w:hAnsi="Times New Roman" w:eastAsia="宋体" w:cs="Times New Roman"/>
      <w:kern w:val="2"/>
      <w:sz w:val="21"/>
      <w:lang w:val="en-US" w:eastAsia="zh-CN" w:bidi="ar-SA"/>
    </w:rPr>
  </w:style>
  <w:style w:type="character" w:customStyle="1" w:styleId="68">
    <w:name w:val="文档结构图 Char"/>
    <w:link w:val="64"/>
    <w:qFormat/>
    <w:uiPriority w:val="0"/>
    <w:rPr>
      <w:rFonts w:ascii="宋体"/>
      <w:kern w:val="2"/>
      <w:sz w:val="18"/>
      <w:szCs w:val="18"/>
    </w:rPr>
  </w:style>
  <w:style w:type="character" w:customStyle="1" w:styleId="69">
    <w:name w:val="批注主题 Char"/>
    <w:link w:val="65"/>
    <w:qFormat/>
    <w:uiPriority w:val="0"/>
    <w:rPr>
      <w:b/>
      <w:bCs/>
      <w:kern w:val="2"/>
      <w:sz w:val="21"/>
    </w:rPr>
  </w:style>
  <w:style w:type="character" w:customStyle="1" w:styleId="70">
    <w:name w:val="HTML 预设格式 Char"/>
    <w:link w:val="54"/>
    <w:qFormat/>
    <w:uiPriority w:val="0"/>
    <w:rPr>
      <w:rFonts w:ascii="宋体" w:hAnsi="宋体"/>
      <w:sz w:val="24"/>
      <w:szCs w:val="24"/>
    </w:rPr>
  </w:style>
  <w:style w:type="character" w:customStyle="1" w:styleId="71">
    <w:name w:val="批注引用1"/>
    <w:qFormat/>
    <w:uiPriority w:val="0"/>
    <w:rPr>
      <w:sz w:val="21"/>
    </w:rPr>
  </w:style>
  <w:style w:type="character" w:customStyle="1" w:styleId="72">
    <w:name w:val="批注引用2"/>
    <w:qFormat/>
    <w:uiPriority w:val="0"/>
    <w:rPr>
      <w:sz w:val="21"/>
      <w:szCs w:val="21"/>
    </w:rPr>
  </w:style>
  <w:style w:type="character" w:customStyle="1" w:styleId="73">
    <w:name w:val="页码1"/>
    <w:basedOn w:val="23"/>
    <w:qFormat/>
    <w:uiPriority w:val="0"/>
  </w:style>
  <w:style w:type="character" w:customStyle="1" w:styleId="74">
    <w:name w:val="批注主题 Char1"/>
    <w:basedOn w:val="50"/>
    <w:link w:val="20"/>
    <w:qFormat/>
    <w:uiPriority w:val="99"/>
    <w:rPr>
      <w:b/>
      <w:kern w:val="2"/>
      <w:sz w:val="21"/>
    </w:rPr>
  </w:style>
  <w:style w:type="paragraph" w:customStyle="1" w:styleId="75">
    <w:name w:val="修订4"/>
    <w:hidden/>
    <w:semiHidden/>
    <w:uiPriority w:val="99"/>
    <w:rPr>
      <w:rFonts w:ascii="Times New Roman" w:hAnsi="Times New Roman" w:eastAsia="宋体" w:cs="Times New Roman"/>
      <w:kern w:val="2"/>
      <w:sz w:val="21"/>
      <w:lang w:val="en-US" w:eastAsia="zh-CN" w:bidi="ar-SA"/>
    </w:rPr>
  </w:style>
  <w:style w:type="character" w:customStyle="1" w:styleId="76">
    <w:name w:val="页眉 Char"/>
    <w:qFormat/>
    <w:uiPriority w:val="0"/>
    <w:rPr>
      <w:rFonts w:eastAsia="宋体"/>
      <w:kern w:val="2"/>
      <w:sz w:val="18"/>
      <w:lang w:val="en-US" w:eastAsia="zh-CN"/>
    </w:rPr>
  </w:style>
  <w:style w:type="character" w:customStyle="1" w:styleId="77">
    <w:name w:val="页脚 Char"/>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3CC1F-D251-4AD2-B57F-3967CCD039FD}">
  <ds:schemaRefs/>
</ds:datastoreItem>
</file>

<file path=customXml/itemProps3.xml><?xml version="1.0" encoding="utf-8"?>
<ds:datastoreItem xmlns:ds="http://schemas.openxmlformats.org/officeDocument/2006/customXml" ds:itemID="{7888741F-BCF9-4EE8-B313-5A1BF6C2415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31</Pages>
  <Words>3495</Words>
  <Characters>19922</Characters>
  <Lines>166</Lines>
  <Paragraphs>46</Paragraphs>
  <TotalTime>0</TotalTime>
  <ScaleCrop>false</ScaleCrop>
  <LinksUpToDate>false</LinksUpToDate>
  <CharactersWithSpaces>23371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2016-10-24T01:15:00Z</dcterms:created>
  <dc:creator>zhangminjun</dc:creator>
  <cp:lastModifiedBy>zhangminjun</cp:lastModifiedBy>
  <dcterms:modified xsi:type="dcterms:W3CDTF">2021-06-28T05:02:16Z</dcterms:modified>
  <dc:title>___证券投资基金招募说明书1</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