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sz w:val="24"/>
        </w:rPr>
      </w:pPr>
      <w:r>
        <w:rPr>
          <w:rFonts w:hAnsi="宋体"/>
          <w:b/>
          <w:sz w:val="44"/>
        </w:rPr>
        <w:t>交银施罗德</w:t>
      </w:r>
      <w:r>
        <w:rPr>
          <w:rFonts w:hint="eastAsia"/>
          <w:b/>
          <w:sz w:val="44"/>
          <w:szCs w:val="44"/>
        </w:rPr>
        <w:t>鸿信一年持有期混合型</w:t>
      </w:r>
      <w:r>
        <w:rPr>
          <w:rFonts w:hAnsi="宋体"/>
          <w:b/>
          <w:sz w:val="44"/>
        </w:rPr>
        <w:t>证券投资基金招募说明书</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中信银行股份有限公司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一</w:t>
      </w:r>
      <w:r>
        <w:rPr>
          <w:rFonts w:hAnsi="宋体"/>
          <w:b/>
          <w:sz w:val="28"/>
        </w:rPr>
        <w:t>年</w:t>
      </w:r>
      <w:r>
        <w:rPr>
          <w:rFonts w:hint="eastAsia" w:hAnsi="宋体"/>
          <w:b/>
          <w:sz w:val="28"/>
        </w:rPr>
        <w:t>七</w:t>
      </w:r>
      <w:r>
        <w:rPr>
          <w:rFonts w:hAnsi="宋体"/>
          <w:b/>
          <w:sz w:val="28"/>
        </w:rPr>
        <w:t>月</w:t>
      </w:r>
    </w:p>
    <w:p>
      <w:pPr>
        <w:autoSpaceDE w:val="0"/>
        <w:autoSpaceDN w:val="0"/>
        <w:spacing w:line="360" w:lineRule="auto"/>
        <w:ind w:left="2996" w:hanging="2996"/>
        <w:jc w:val="center"/>
        <w:textAlignment w:val="bottom"/>
        <w:rPr>
          <w:b/>
          <w:sz w:val="24"/>
        </w:rPr>
      </w:pPr>
    </w:p>
    <w:p>
      <w:pPr>
        <w:widowControl/>
        <w:spacing w:line="360" w:lineRule="auto"/>
        <w:jc w:val="left"/>
        <w:rPr>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w:t>
      </w:r>
      <w:r>
        <w:rPr>
          <w:rFonts w:hint="eastAsia"/>
          <w:bCs/>
          <w:sz w:val="24"/>
        </w:rPr>
        <w:t>鸿信一年持有期混合型</w:t>
      </w:r>
      <w:r>
        <w:rPr>
          <w:kern w:val="0"/>
          <w:sz w:val="24"/>
        </w:rPr>
        <w:t>证券投资基金（以下简称</w:t>
      </w:r>
      <w:r>
        <w:rPr>
          <w:rFonts w:ascii="宋体" w:hAnsi="宋体"/>
          <w:kern w:val="0"/>
          <w:sz w:val="24"/>
        </w:rPr>
        <w:t>“本基金”</w:t>
      </w:r>
      <w:r>
        <w:rPr>
          <w:rFonts w:hAnsi="宋体"/>
          <w:kern w:val="0"/>
          <w:sz w:val="24"/>
        </w:rPr>
        <w:t>）经</w:t>
      </w:r>
      <w:r>
        <w:rPr>
          <w:kern w:val="0"/>
          <w:sz w:val="24"/>
        </w:rPr>
        <w:t>202</w:t>
      </w:r>
      <w:r>
        <w:rPr>
          <w:rFonts w:hint="eastAsia"/>
          <w:kern w:val="0"/>
          <w:sz w:val="24"/>
        </w:rPr>
        <w:t>1</w:t>
      </w:r>
      <w:r>
        <w:rPr>
          <w:rFonts w:hAnsi="宋体"/>
          <w:kern w:val="0"/>
          <w:sz w:val="24"/>
        </w:rPr>
        <w:t>年</w:t>
      </w:r>
      <w:r>
        <w:rPr>
          <w:rFonts w:hint="eastAsia" w:hAnsi="宋体"/>
          <w:kern w:val="0"/>
          <w:sz w:val="24"/>
        </w:rPr>
        <w:t>6</w:t>
      </w:r>
      <w:r>
        <w:rPr>
          <w:rFonts w:hAnsi="宋体"/>
          <w:kern w:val="0"/>
          <w:sz w:val="24"/>
        </w:rPr>
        <w:t>月</w:t>
      </w:r>
      <w:r>
        <w:rPr>
          <w:rFonts w:hint="eastAsia" w:hAnsi="宋体"/>
          <w:kern w:val="0"/>
          <w:sz w:val="24"/>
        </w:rPr>
        <w:t>8</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202</w:t>
      </w:r>
      <w:r>
        <w:rPr>
          <w:rFonts w:hint="eastAsia"/>
          <w:kern w:val="0"/>
          <w:sz w:val="24"/>
        </w:rPr>
        <w:t>1</w:t>
      </w:r>
      <w:r>
        <w:rPr>
          <w:rFonts w:hAnsi="宋体"/>
          <w:kern w:val="0"/>
          <w:sz w:val="24"/>
        </w:rPr>
        <w:t>】</w:t>
      </w:r>
      <w:r>
        <w:rPr>
          <w:rFonts w:hint="eastAsia" w:hAnsi="宋体"/>
          <w:kern w:val="0"/>
          <w:sz w:val="24"/>
        </w:rPr>
        <w:t>2007</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adjustRightInd w:val="0"/>
        <w:snapToGrid w:val="0"/>
        <w:spacing w:line="360" w:lineRule="auto"/>
        <w:ind w:firstLine="480" w:firstLineChars="200"/>
        <w:rPr>
          <w:kern w:val="0"/>
          <w:sz w:val="24"/>
        </w:rPr>
      </w:pPr>
      <w:r>
        <w:rPr>
          <w:kern w:val="0"/>
          <w:sz w:val="24"/>
        </w:rPr>
        <w:t>基金管理人依照恪尽职守、诚实信用、</w:t>
      </w:r>
      <w:r>
        <w:rPr>
          <w:rFonts w:hint="eastAsia"/>
          <w:kern w:val="0"/>
          <w:sz w:val="24"/>
        </w:rPr>
        <w:t>谨慎</w:t>
      </w:r>
      <w:r>
        <w:rPr>
          <w:kern w:val="0"/>
          <w:sz w:val="24"/>
        </w:rPr>
        <w:t>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运作过程中产生的基金管理风险；流动性风险（包括实施侧袋机制时的特定风险）；信用风险；投资股指期货的特定风险；投资资产支持证券的特定风险；投资流通受限证券的特定风险；投资存托凭证的特定风险；连续5</w:t>
      </w:r>
      <w:r>
        <w:rPr>
          <w:rFonts w:ascii="宋体" w:hAnsi="宋体"/>
          <w:kern w:val="0"/>
          <w:sz w:val="24"/>
        </w:rPr>
        <w:t>0</w:t>
      </w:r>
      <w:r>
        <w:rPr>
          <w:rFonts w:hint="eastAsia" w:ascii="宋体" w:hAnsi="宋体"/>
          <w:kern w:val="0"/>
          <w:sz w:val="24"/>
        </w:rPr>
        <w:t>个工作日出现基金份额持有人数量不满200人或基金资产净值低于5000万元情形时基金管理人依基金合同约定提前终止基金合同的风险；投资本基金的其他风险等等</w:t>
      </w:r>
      <w:r>
        <w:rPr>
          <w:kern w:val="0"/>
          <w:sz w:val="24"/>
        </w:rPr>
        <w:t>。</w:t>
      </w:r>
      <w:r>
        <w:rPr>
          <w:rFonts w:hint="eastAsia"/>
          <w:kern w:val="0"/>
          <w:sz w:val="24"/>
        </w:rPr>
        <w:t>本基金是一只混合型基金，其预期风险和预期收益</w:t>
      </w:r>
      <w:r>
        <w:rPr>
          <w:rFonts w:hint="eastAsia"/>
          <w:bCs/>
          <w:kern w:val="0"/>
          <w:sz w:val="24"/>
        </w:rPr>
        <w:t>理论上</w:t>
      </w:r>
      <w:r>
        <w:rPr>
          <w:rFonts w:hint="eastAsia"/>
          <w:kern w:val="0"/>
          <w:sz w:val="24"/>
        </w:rPr>
        <w:t>高于债券型基金和货币市场基金，低于股票型基金。</w:t>
      </w:r>
    </w:p>
    <w:p>
      <w:pPr>
        <w:widowControl/>
        <w:adjustRightInd w:val="0"/>
        <w:snapToGrid w:val="0"/>
        <w:spacing w:line="360" w:lineRule="auto"/>
        <w:ind w:firstLine="480" w:firstLineChars="200"/>
        <w:rPr>
          <w:kern w:val="0"/>
          <w:sz w:val="24"/>
        </w:rPr>
      </w:pPr>
      <w:r>
        <w:rPr>
          <w:rFonts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kern w:val="0"/>
          <w:sz w:val="24"/>
        </w:rPr>
      </w:pPr>
      <w:r>
        <w:rPr>
          <w:rFonts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kern w:val="0"/>
          <w:sz w:val="24"/>
        </w:rPr>
      </w:pPr>
      <w:r>
        <w:rPr>
          <w:rFonts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bCs/>
          <w:kern w:val="0"/>
          <w:sz w:val="24"/>
        </w:rPr>
      </w:pPr>
      <w:r>
        <w:rPr>
          <w:rFonts w:hint="eastAsia"/>
          <w:bCs/>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pPr>
        <w:widowControl/>
        <w:adjustRightInd w:val="0"/>
        <w:snapToGrid w:val="0"/>
        <w:spacing w:line="360" w:lineRule="auto"/>
        <w:ind w:firstLine="480" w:firstLineChars="200"/>
        <w:rPr>
          <w:bCs/>
          <w:kern w:val="0"/>
          <w:sz w:val="24"/>
        </w:rPr>
      </w:pPr>
      <w:r>
        <w:rPr>
          <w:rFonts w:hint="eastAsia"/>
          <w:bCs/>
          <w:kern w:val="0"/>
          <w:sz w:val="24"/>
        </w:rPr>
        <w:t>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sz w:val="24"/>
        </w:rPr>
      </w:pPr>
      <w:r>
        <w:rPr>
          <w:rFonts w:hint="eastAsia" w:hAnsi="宋体"/>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因此，对于基金份额持有人而言，存在投资本基金后</w:t>
      </w:r>
      <w:r>
        <w:rPr>
          <w:rFonts w:hint="eastAsia"/>
          <w:bCs/>
          <w:sz w:val="24"/>
        </w:rPr>
        <w:t>一年</w:t>
      </w:r>
      <w:r>
        <w:rPr>
          <w:rFonts w:hint="eastAsia" w:hAnsi="宋体"/>
          <w:sz w:val="24"/>
        </w:rPr>
        <w:t>内无法赎回的风险。</w:t>
      </w:r>
    </w:p>
    <w:p>
      <w:pPr>
        <w:widowControl/>
        <w:adjustRightInd w:val="0"/>
        <w:snapToGrid w:val="0"/>
        <w:spacing w:line="360" w:lineRule="auto"/>
        <w:ind w:firstLine="480" w:firstLineChars="200"/>
        <w:rPr>
          <w:rFonts w:hAnsi="宋体"/>
          <w:sz w:val="24"/>
        </w:rPr>
      </w:pPr>
      <w:r>
        <w:rPr>
          <w:rFonts w:hint="eastAsia"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widowControl/>
        <w:adjustRightInd w:val="0"/>
        <w:snapToGrid w:val="0"/>
        <w:spacing w:line="360" w:lineRule="auto"/>
        <w:ind w:firstLine="480" w:firstLineChars="200"/>
        <w:rPr>
          <w:rFonts w:hAnsi="宋体"/>
          <w:sz w:val="24"/>
        </w:rPr>
      </w:pPr>
      <w:r>
        <w:rPr>
          <w:rFonts w:hint="eastAsia" w:hAnsi="宋体"/>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kern w:val="0"/>
          <w:sz w:val="24"/>
        </w:rPr>
        <w:t>、基金产品资料概要</w:t>
      </w:r>
      <w:r>
        <w:rPr>
          <w:kern w:val="0"/>
          <w:sz w:val="24"/>
        </w:rPr>
        <w:t>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rPr>
          <w:rFonts w:asciiTheme="minorHAnsi" w:hAnsiTheme="minorHAnsi" w:eastAsiaTheme="minorEastAsia" w:cstheme="minorBidi"/>
          <w:sz w:val="21"/>
          <w:szCs w:val="22"/>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"_Toc62202539" </w:instrText>
      </w:r>
      <w:r>
        <w:fldChar w:fldCharType="separate"/>
      </w:r>
      <w:r>
        <w:rPr>
          <w:rStyle w:val="33"/>
          <w:rFonts w:hint="eastAsia" w:ascii="宋体"/>
          <w:b/>
          <w:kern w:val="0"/>
        </w:rPr>
        <w:t>一、绪言</w:t>
      </w:r>
      <w:r>
        <w:tab/>
      </w:r>
      <w:r>
        <w:fldChar w:fldCharType="begin"/>
      </w:r>
      <w:r>
        <w:instrText xml:space="preserve"> PAGEREF _Toc62202539 \h </w:instrText>
      </w:r>
      <w:r>
        <w:fldChar w:fldCharType="separate"/>
      </w:r>
      <w:r>
        <w:t>7</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"_Toc62202540" </w:instrText>
      </w:r>
      <w:r>
        <w:fldChar w:fldCharType="separate"/>
      </w:r>
      <w:r>
        <w:rPr>
          <w:rStyle w:val="33"/>
          <w:rFonts w:hint="eastAsia" w:ascii="宋体"/>
          <w:b/>
          <w:kern w:val="0"/>
        </w:rPr>
        <w:t>二、释义</w:t>
      </w:r>
      <w:r>
        <w:tab/>
      </w:r>
      <w:r>
        <w:fldChar w:fldCharType="begin"/>
      </w:r>
      <w:r>
        <w:instrText xml:space="preserve"> PAGEREF _Toc62202540 \h </w:instrText>
      </w:r>
      <w:r>
        <w:fldChar w:fldCharType="separate"/>
      </w:r>
      <w:r>
        <w:t>8</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"_Toc62202541" </w:instrText>
      </w:r>
      <w:r>
        <w:fldChar w:fldCharType="separate"/>
      </w:r>
      <w:r>
        <w:rPr>
          <w:rStyle w:val="33"/>
          <w:rFonts w:hint="eastAsia" w:ascii="宋体"/>
          <w:b/>
          <w:kern w:val="0"/>
        </w:rPr>
        <w:t>三、基金管理人</w:t>
      </w:r>
      <w:r>
        <w:tab/>
      </w:r>
      <w:r>
        <w:fldChar w:fldCharType="begin"/>
      </w:r>
      <w:r>
        <w:instrText xml:space="preserve"> PAGEREF _Toc62202541 \h </w:instrText>
      </w:r>
      <w:r>
        <w:fldChar w:fldCharType="separate"/>
      </w:r>
      <w:r>
        <w:t>13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"_Toc62202542" </w:instrText>
      </w:r>
      <w:r>
        <w:fldChar w:fldCharType="separate"/>
      </w:r>
      <w:r>
        <w:rPr>
          <w:rStyle w:val="33"/>
          <w:rFonts w:hint="eastAsia" w:ascii="宋体"/>
          <w:b/>
          <w:kern w:val="0"/>
        </w:rPr>
        <w:t>四、基金托管人</w:t>
      </w:r>
      <w:r>
        <w:tab/>
      </w:r>
      <w:r>
        <w:fldChar w:fldCharType="begin"/>
      </w:r>
      <w:r>
        <w:instrText xml:space="preserve"> PAGEREF _Toc62202542 \h </w:instrText>
      </w:r>
      <w:r>
        <w:fldChar w:fldCharType="separate"/>
      </w:r>
      <w:r>
        <w:t>23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"_Toc62202543" </w:instrText>
      </w:r>
      <w:r>
        <w:fldChar w:fldCharType="separate"/>
      </w:r>
      <w:r>
        <w:rPr>
          <w:rStyle w:val="33"/>
          <w:rFonts w:hint="eastAsia" w:ascii="宋体"/>
          <w:b/>
          <w:kern w:val="0"/>
        </w:rPr>
        <w:t>五、相关服务机构</w:t>
      </w:r>
      <w:r>
        <w:tab/>
      </w:r>
      <w:r>
        <w:fldChar w:fldCharType="begin"/>
      </w:r>
      <w:r>
        <w:instrText xml:space="preserve"> PAGEREF _Toc62202543 \h </w:instrText>
      </w:r>
      <w:r>
        <w:fldChar w:fldCharType="separate"/>
      </w:r>
      <w:r>
        <w:t>28</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"_Toc62202544" </w:instrText>
      </w:r>
      <w:r>
        <w:fldChar w:fldCharType="separate"/>
      </w:r>
      <w:r>
        <w:rPr>
          <w:rStyle w:val="33"/>
          <w:rFonts w:hint="eastAsia" w:ascii="宋体"/>
          <w:b/>
          <w:kern w:val="0"/>
        </w:rPr>
        <w:t>六、基金的募集</w:t>
      </w:r>
      <w:r>
        <w:tab/>
      </w:r>
      <w:r>
        <w:fldChar w:fldCharType="begin"/>
      </w:r>
      <w:r>
        <w:instrText xml:space="preserve"> PAGEREF _Toc62202544 \h </w:instrText>
      </w:r>
      <w:r>
        <w:fldChar w:fldCharType="separate"/>
      </w:r>
      <w:r>
        <w:t>31</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"_Toc62202545" </w:instrText>
      </w:r>
      <w:r>
        <w:fldChar w:fldCharType="separate"/>
      </w:r>
      <w:r>
        <w:rPr>
          <w:rStyle w:val="33"/>
          <w:rFonts w:hint="eastAsia" w:ascii="宋体"/>
          <w:b/>
          <w:kern w:val="0"/>
        </w:rPr>
        <w:t>七、基金合同的生效</w:t>
      </w:r>
      <w:r>
        <w:tab/>
      </w:r>
      <w:r>
        <w:fldChar w:fldCharType="begin"/>
      </w:r>
      <w:r>
        <w:instrText xml:space="preserve"> PAGEREF _Toc62202545 \h </w:instrText>
      </w:r>
      <w:r>
        <w:fldChar w:fldCharType="separate"/>
      </w:r>
      <w:r>
        <w:t>37</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"_Toc62202546" </w:instrText>
      </w:r>
      <w:r>
        <w:fldChar w:fldCharType="separate"/>
      </w:r>
      <w:r>
        <w:rPr>
          <w:rStyle w:val="33"/>
          <w:rFonts w:hint="eastAsia" w:ascii="宋体"/>
          <w:b/>
          <w:kern w:val="0"/>
        </w:rPr>
        <w:t>八、基金份额的申购与赎回</w:t>
      </w:r>
      <w:r>
        <w:tab/>
      </w:r>
      <w:r>
        <w:fldChar w:fldCharType="begin"/>
      </w:r>
      <w:r>
        <w:instrText xml:space="preserve"> PAGEREF _Toc62202546 \h </w:instrText>
      </w:r>
      <w:r>
        <w:fldChar w:fldCharType="separate"/>
      </w:r>
      <w:r>
        <w:t>38</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"_Toc62202547" </w:instrText>
      </w:r>
      <w:r>
        <w:fldChar w:fldCharType="separate"/>
      </w:r>
      <w:r>
        <w:rPr>
          <w:rStyle w:val="33"/>
          <w:rFonts w:hint="eastAsia" w:ascii="宋体"/>
          <w:b/>
          <w:kern w:val="0"/>
        </w:rPr>
        <w:t>九、基金的投资</w:t>
      </w:r>
      <w:r>
        <w:tab/>
      </w:r>
      <w:r>
        <w:fldChar w:fldCharType="begin"/>
      </w:r>
      <w:r>
        <w:instrText xml:space="preserve"> PAGEREF _Toc62202547 \h </w:instrText>
      </w:r>
      <w:r>
        <w:fldChar w:fldCharType="separate"/>
      </w:r>
      <w:r>
        <w:t>51</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"_Toc62202548" </w:instrText>
      </w:r>
      <w:r>
        <w:fldChar w:fldCharType="separate"/>
      </w:r>
      <w:r>
        <w:rPr>
          <w:rStyle w:val="33"/>
          <w:rFonts w:hint="eastAsia" w:ascii="宋体"/>
          <w:b/>
          <w:kern w:val="0"/>
        </w:rPr>
        <w:t>十、基金的财产</w:t>
      </w:r>
      <w:r>
        <w:tab/>
      </w:r>
      <w:r>
        <w:fldChar w:fldCharType="begin"/>
      </w:r>
      <w:r>
        <w:instrText xml:space="preserve"> PAGEREF _Toc62202548 \h </w:instrText>
      </w:r>
      <w:r>
        <w:fldChar w:fldCharType="separate"/>
      </w:r>
      <w:r>
        <w:t>62</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"_Toc62202549" </w:instrText>
      </w:r>
      <w:r>
        <w:fldChar w:fldCharType="separate"/>
      </w:r>
      <w:r>
        <w:rPr>
          <w:rStyle w:val="33"/>
          <w:rFonts w:hint="eastAsia" w:ascii="宋体"/>
          <w:b/>
          <w:kern w:val="0"/>
        </w:rPr>
        <w:t>十一、基金资产的估值</w:t>
      </w:r>
      <w:r>
        <w:tab/>
      </w:r>
      <w:r>
        <w:fldChar w:fldCharType="begin"/>
      </w:r>
      <w:r>
        <w:instrText xml:space="preserve"> PAGEREF _Toc62202549 \h </w:instrText>
      </w:r>
      <w:r>
        <w:fldChar w:fldCharType="separate"/>
      </w:r>
      <w:r>
        <w:t>63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"_Toc62202550" </w:instrText>
      </w:r>
      <w:r>
        <w:fldChar w:fldCharType="separate"/>
      </w:r>
      <w:r>
        <w:rPr>
          <w:rStyle w:val="33"/>
          <w:rFonts w:hint="eastAsia" w:ascii="宋体"/>
          <w:b/>
          <w:kern w:val="0"/>
        </w:rPr>
        <w:t>十二、基金收益与分配</w:t>
      </w:r>
      <w:r>
        <w:tab/>
      </w:r>
      <w:r>
        <w:fldChar w:fldCharType="begin"/>
      </w:r>
      <w:r>
        <w:instrText xml:space="preserve"> PAGEREF _Toc62202550 \h </w:instrText>
      </w:r>
      <w:r>
        <w:fldChar w:fldCharType="separate"/>
      </w:r>
      <w:r>
        <w:t>70</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"_Toc62202551" </w:instrText>
      </w:r>
      <w:r>
        <w:fldChar w:fldCharType="separate"/>
      </w:r>
      <w:r>
        <w:rPr>
          <w:rStyle w:val="33"/>
          <w:rFonts w:hint="eastAsia" w:ascii="宋体"/>
          <w:b/>
          <w:kern w:val="0"/>
        </w:rPr>
        <w:t>十三、基金的费用与税收</w:t>
      </w:r>
      <w:r>
        <w:tab/>
      </w:r>
      <w:r>
        <w:fldChar w:fldCharType="begin"/>
      </w:r>
      <w:r>
        <w:instrText xml:space="preserve"> PAGEREF _Toc62202551 \h </w:instrText>
      </w:r>
      <w:r>
        <w:fldChar w:fldCharType="separate"/>
      </w:r>
      <w:r>
        <w:t>72</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"_Toc62202552" </w:instrText>
      </w:r>
      <w:r>
        <w:fldChar w:fldCharType="separate"/>
      </w:r>
      <w:r>
        <w:rPr>
          <w:rStyle w:val="33"/>
          <w:rFonts w:hint="eastAsia" w:ascii="宋体"/>
          <w:b/>
          <w:kern w:val="0"/>
        </w:rPr>
        <w:t>十四、基金的会计与审计</w:t>
      </w:r>
      <w:r>
        <w:tab/>
      </w:r>
      <w:r>
        <w:fldChar w:fldCharType="begin"/>
      </w:r>
      <w:r>
        <w:instrText xml:space="preserve"> PAGEREF _Toc62202552 \h </w:instrText>
      </w:r>
      <w:r>
        <w:fldChar w:fldCharType="separate"/>
      </w:r>
      <w:r>
        <w:t>75</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"_Toc62202553" </w:instrText>
      </w:r>
      <w:r>
        <w:fldChar w:fldCharType="separate"/>
      </w:r>
      <w:r>
        <w:rPr>
          <w:rStyle w:val="33"/>
          <w:rFonts w:hint="eastAsia" w:ascii="宋体"/>
          <w:b/>
          <w:kern w:val="0"/>
        </w:rPr>
        <w:t>十五、基金的信息披露</w:t>
      </w:r>
      <w:r>
        <w:tab/>
      </w:r>
      <w:r>
        <w:fldChar w:fldCharType="begin"/>
      </w:r>
      <w:r>
        <w:instrText xml:space="preserve"> PAGEREF _Toc62202553 \h </w:instrText>
      </w:r>
      <w:r>
        <w:fldChar w:fldCharType="separate"/>
      </w:r>
      <w:r>
        <w:t>76</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"_Toc62202554" </w:instrText>
      </w:r>
      <w:r>
        <w:fldChar w:fldCharType="separate"/>
      </w:r>
      <w:r>
        <w:rPr>
          <w:rStyle w:val="33"/>
          <w:rFonts w:hint="eastAsia" w:ascii="宋体"/>
          <w:b/>
          <w:kern w:val="0"/>
        </w:rPr>
        <w:t>十六、侧袋机制</w:t>
      </w:r>
      <w:r>
        <w:tab/>
      </w:r>
      <w:r>
        <w:fldChar w:fldCharType="begin"/>
      </w:r>
      <w:r>
        <w:instrText xml:space="preserve"> PAGEREF _Toc62202554 \h </w:instrText>
      </w:r>
      <w:r>
        <w:fldChar w:fldCharType="separate"/>
      </w:r>
      <w:r>
        <w:t>83</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"_Toc62202555" </w:instrText>
      </w:r>
      <w:r>
        <w:fldChar w:fldCharType="separate"/>
      </w:r>
      <w:r>
        <w:rPr>
          <w:rStyle w:val="33"/>
          <w:rFonts w:hint="eastAsia" w:ascii="宋体"/>
          <w:b/>
          <w:kern w:val="0"/>
        </w:rPr>
        <w:t>十七、风险揭示</w:t>
      </w:r>
      <w:r>
        <w:tab/>
      </w:r>
      <w:r>
        <w:fldChar w:fldCharType="begin"/>
      </w:r>
      <w:r>
        <w:instrText xml:space="preserve"> PAGEREF _Toc62202555 \h </w:instrText>
      </w:r>
      <w:r>
        <w:fldChar w:fldCharType="separate"/>
      </w:r>
      <w:r>
        <w:t>86</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"_Toc62202556" </w:instrText>
      </w:r>
      <w:r>
        <w:fldChar w:fldCharType="separate"/>
      </w:r>
      <w:r>
        <w:rPr>
          <w:rStyle w:val="33"/>
          <w:rFonts w:hint="eastAsia"/>
          <w:b/>
          <w:kern w:val="0"/>
        </w:rPr>
        <w:t>十八、基金合同的变更、终止与基金财产的清算</w:t>
      </w:r>
      <w:r>
        <w:tab/>
      </w:r>
      <w:r>
        <w:fldChar w:fldCharType="begin"/>
      </w:r>
      <w:r>
        <w:instrText xml:space="preserve"> PAGEREF _Toc62202556 \h </w:instrText>
      </w:r>
      <w:r>
        <w:fldChar w:fldCharType="separate"/>
      </w:r>
      <w:r>
        <w:t>96</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"_Toc62202557" </w:instrText>
      </w:r>
      <w:r>
        <w:fldChar w:fldCharType="separate"/>
      </w:r>
      <w:r>
        <w:rPr>
          <w:rStyle w:val="33"/>
          <w:rFonts w:hint="eastAsia" w:ascii="宋体"/>
          <w:b/>
          <w:kern w:val="0"/>
        </w:rPr>
        <w:t>十九、基金合同内容摘要</w:t>
      </w:r>
      <w:r>
        <w:tab/>
      </w:r>
      <w:r>
        <w:fldChar w:fldCharType="begin"/>
      </w:r>
      <w:r>
        <w:instrText xml:space="preserve"> PAGEREF _Toc62202557 \h </w:instrText>
      </w:r>
      <w:r>
        <w:fldChar w:fldCharType="separate"/>
      </w:r>
      <w:r>
        <w:t>98</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"_Toc62202558" </w:instrText>
      </w:r>
      <w:r>
        <w:fldChar w:fldCharType="separate"/>
      </w:r>
      <w:r>
        <w:rPr>
          <w:rStyle w:val="33"/>
          <w:rFonts w:hint="eastAsia" w:ascii="宋体"/>
          <w:b/>
          <w:kern w:val="0"/>
        </w:rPr>
        <w:t>二十、托管协议的内容摘要</w:t>
      </w:r>
      <w:r>
        <w:tab/>
      </w:r>
      <w:r>
        <w:fldChar w:fldCharType="begin"/>
      </w:r>
      <w:r>
        <w:instrText xml:space="preserve"> PAGEREF _Toc62202558 \h </w:instrText>
      </w:r>
      <w:r>
        <w:fldChar w:fldCharType="separate"/>
      </w:r>
      <w:r>
        <w:t>116</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"_Toc62202559" </w:instrText>
      </w:r>
      <w:r>
        <w:fldChar w:fldCharType="separate"/>
      </w:r>
      <w:r>
        <w:rPr>
          <w:rStyle w:val="33"/>
          <w:rFonts w:hint="eastAsia" w:ascii="宋体"/>
          <w:b/>
          <w:kern w:val="0"/>
        </w:rPr>
        <w:t>二十一、对基金份额持有人的服务</w:t>
      </w:r>
      <w:r>
        <w:tab/>
      </w:r>
      <w:r>
        <w:fldChar w:fldCharType="begin"/>
      </w:r>
      <w:r>
        <w:instrText xml:space="preserve"> PAGEREF _Toc62202559 \h </w:instrText>
      </w:r>
      <w:r>
        <w:fldChar w:fldCharType="separate"/>
      </w:r>
      <w:r>
        <w:t>137</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"_Toc62202560" </w:instrText>
      </w:r>
      <w:r>
        <w:fldChar w:fldCharType="separate"/>
      </w:r>
      <w:r>
        <w:rPr>
          <w:rStyle w:val="33"/>
          <w:rFonts w:hint="eastAsia" w:ascii="宋体"/>
          <w:b/>
          <w:kern w:val="0"/>
        </w:rPr>
        <w:t>二十二、其他应披露事项</w:t>
      </w:r>
      <w:r>
        <w:tab/>
      </w:r>
      <w:r>
        <w:fldChar w:fldCharType="begin"/>
      </w:r>
      <w:r>
        <w:instrText xml:space="preserve"> PAGEREF _Toc62202560 \h </w:instrText>
      </w:r>
      <w:r>
        <w:fldChar w:fldCharType="separate"/>
      </w:r>
      <w:r>
        <w:t>139</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"_Toc62202561" </w:instrText>
      </w:r>
      <w:r>
        <w:fldChar w:fldCharType="separate"/>
      </w:r>
      <w:r>
        <w:rPr>
          <w:rStyle w:val="33"/>
          <w:rFonts w:hint="eastAsia" w:ascii="宋体"/>
          <w:b/>
          <w:kern w:val="0"/>
        </w:rPr>
        <w:t>二十三、招募说明书的存放及查阅方式</w:t>
      </w:r>
      <w:r>
        <w:tab/>
      </w:r>
      <w:r>
        <w:fldChar w:fldCharType="begin"/>
      </w:r>
      <w:r>
        <w:instrText xml:space="preserve"> PAGEREF _Toc62202561 \h </w:instrText>
      </w:r>
      <w:r>
        <w:fldChar w:fldCharType="separate"/>
      </w:r>
      <w:r>
        <w:t>140</w:t>
      </w:r>
      <w:r>
        <w:fldChar w:fldCharType="end"/>
      </w:r>
      <w:r>
        <w:fldChar w:fldCharType="end"/>
      </w:r>
    </w:p>
    <w:p>
      <w:pPr>
        <w:pStyle w:val="22"/>
        <w:rPr>
          <w:rFonts w:asciiTheme="minorHAnsi" w:hAnsiTheme="minorHAnsi" w:eastAsiaTheme="minorEastAsia" w:cstheme="minorBidi"/>
          <w:sz w:val="21"/>
          <w:szCs w:val="22"/>
        </w:rPr>
      </w:pPr>
      <w:r>
        <w:fldChar w:fldCharType="begin"/>
      </w:r>
      <w:r>
        <w:instrText xml:space="preserve"> HYPERLINK \l "_Toc62202562" </w:instrText>
      </w:r>
      <w:r>
        <w:fldChar w:fldCharType="separate"/>
      </w:r>
      <w:r>
        <w:rPr>
          <w:rStyle w:val="33"/>
          <w:rFonts w:hint="eastAsia" w:ascii="宋体"/>
          <w:b/>
          <w:kern w:val="0"/>
        </w:rPr>
        <w:t>二十四、备查文件</w:t>
      </w:r>
      <w:r>
        <w:tab/>
      </w:r>
      <w:r>
        <w:fldChar w:fldCharType="begin"/>
      </w:r>
      <w:r>
        <w:instrText xml:space="preserve"> PAGEREF _Toc62202562 \h </w:instrText>
      </w:r>
      <w:r>
        <w:fldChar w:fldCharType="separate"/>
      </w:r>
      <w:r>
        <w:t>141</w:t>
      </w:r>
      <w:r>
        <w:fldChar w:fldCharType="end"/>
      </w:r>
      <w:r>
        <w:fldChar w:fldCharType="end"/>
      </w:r>
    </w:p>
    <w:p>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62202539"/>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w:t>
      </w:r>
      <w:r>
        <w:rPr>
          <w:rFonts w:hint="eastAsia" w:ascii="宋体" w:hAnsi="宋体"/>
          <w:bCs/>
          <w:sz w:val="24"/>
        </w:rPr>
        <w:t>鸿信一年持有期混合型</w:t>
      </w:r>
      <w:r>
        <w:rPr>
          <w:rFonts w:ascii="宋体" w:hAnsi="宋体"/>
          <w:kern w:val="0"/>
          <w:sz w:val="24"/>
        </w:rPr>
        <w:t>证券投资基金招募说明书》（以下简称“本招募说明书”）依据《中华人民共和国证券投资基金法》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w:t>
      </w:r>
      <w:r>
        <w:rPr>
          <w:rFonts w:hint="eastAsia"/>
          <w:bCs/>
          <w:sz w:val="24"/>
        </w:rPr>
        <w:t>公开募集证券投资基金销售机构监督管理办法</w:t>
      </w:r>
      <w:r>
        <w:rPr>
          <w:rFonts w:ascii="宋体" w:hAnsi="宋体"/>
          <w:kern w:val="0"/>
          <w:sz w:val="24"/>
        </w:rPr>
        <w:t>》</w:t>
      </w:r>
      <w:r>
        <w:rPr>
          <w:rFonts w:hint="eastAsia" w:ascii="宋体" w:hAnsi="宋体"/>
          <w:kern w:val="0"/>
          <w:sz w:val="24"/>
        </w:rPr>
        <w:t>（以下简称“《销售办法》”）</w:t>
      </w:r>
      <w:r>
        <w:rPr>
          <w:rFonts w:ascii="宋体" w:hAnsi="宋体"/>
          <w:kern w:val="0"/>
          <w:sz w:val="24"/>
        </w:rPr>
        <w:t>、《</w:t>
      </w:r>
      <w:r>
        <w:rPr>
          <w:rFonts w:hint="eastAsia"/>
          <w:bCs/>
          <w:sz w:val="24"/>
        </w:rPr>
        <w:t>公开募集</w:t>
      </w:r>
      <w:r>
        <w:rPr>
          <w:rFonts w:ascii="宋体" w:hAnsi="宋体"/>
          <w:kern w:val="0"/>
          <w:sz w:val="24"/>
        </w:rPr>
        <w:t>证券投资基金信息披露管理办法》</w:t>
      </w:r>
      <w:r>
        <w:rPr>
          <w:rFonts w:hint="eastAsia" w:ascii="宋体" w:hAnsi="宋体"/>
          <w:kern w:val="0"/>
          <w:sz w:val="24"/>
        </w:rPr>
        <w:t>（以下简称“《信息披露办法》”）、《公开募集开放式证券投资基金流动性风险管理规定》（以下简称“《流动性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w:t>
      </w:r>
      <w:r>
        <w:rPr>
          <w:rFonts w:hint="eastAsia" w:ascii="宋体" w:hAnsi="宋体"/>
          <w:kern w:val="0"/>
          <w:sz w:val="24"/>
        </w:rPr>
        <w:t>鸿信一年持有期混合型</w:t>
      </w:r>
      <w:r>
        <w:rPr>
          <w:rFonts w:ascii="宋体" w:hAnsi="宋体"/>
          <w:kern w:val="0"/>
          <w:sz w:val="24"/>
        </w:rPr>
        <w:t>证券投资基金基金合同》（以下简称“基金合同”）</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spacing w:line="360" w:lineRule="auto"/>
        <w:ind w:firstLine="482" w:firstLineChars="200"/>
        <w:rPr>
          <w:rFonts w:ascii="宋体" w:hAnsi="宋体"/>
          <w:b/>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62202540"/>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r>
        <w:rPr>
          <w:rFonts w:hint="eastAsia"/>
          <w:bCs/>
          <w:sz w:val="24"/>
        </w:rPr>
        <w:t>1、基金或本基金：指交银施罗德鸿信一年持有期混合型证券投资基金</w:t>
      </w:r>
    </w:p>
    <w:p>
      <w:pPr>
        <w:adjustRightInd w:val="0"/>
        <w:snapToGrid w:val="0"/>
        <w:spacing w:line="360" w:lineRule="auto"/>
        <w:ind w:firstLine="480" w:firstLineChars="200"/>
        <w:rPr>
          <w:bCs/>
          <w:sz w:val="24"/>
        </w:rPr>
      </w:pPr>
      <w:r>
        <w:rPr>
          <w:rFonts w:hint="eastAsia"/>
          <w:bCs/>
          <w:sz w:val="24"/>
        </w:rPr>
        <w:t>2、基金管理人：指交银施罗德基金管理有限公司</w:t>
      </w:r>
    </w:p>
    <w:p>
      <w:pPr>
        <w:adjustRightInd w:val="0"/>
        <w:snapToGrid w:val="0"/>
        <w:spacing w:line="360" w:lineRule="auto"/>
        <w:ind w:firstLine="480" w:firstLineChars="200"/>
        <w:rPr>
          <w:bCs/>
          <w:sz w:val="24"/>
        </w:rPr>
      </w:pPr>
      <w:r>
        <w:rPr>
          <w:rFonts w:hint="eastAsia"/>
          <w:bCs/>
          <w:sz w:val="24"/>
        </w:rPr>
        <w:t>3、基金托管人：指中信银行股份有限公司</w:t>
      </w:r>
    </w:p>
    <w:p>
      <w:pPr>
        <w:adjustRightInd w:val="0"/>
        <w:snapToGrid w:val="0"/>
        <w:spacing w:line="360" w:lineRule="auto"/>
        <w:ind w:firstLine="480" w:firstLineChars="200"/>
        <w:rPr>
          <w:bCs/>
          <w:sz w:val="24"/>
        </w:rPr>
      </w:pPr>
      <w:r>
        <w:rPr>
          <w:rFonts w:hint="eastAsia"/>
          <w:bCs/>
          <w:sz w:val="24"/>
        </w:rPr>
        <w:t>4、基金合同：指《交银施罗德鸿信一年持有期混合型证券投资基金基金合同》及对基金合同的任何有效修订和补充</w:t>
      </w:r>
    </w:p>
    <w:p>
      <w:pPr>
        <w:adjustRightInd w:val="0"/>
        <w:snapToGrid w:val="0"/>
        <w:spacing w:line="360" w:lineRule="auto"/>
        <w:ind w:firstLine="480" w:firstLineChars="200"/>
        <w:rPr>
          <w:bCs/>
          <w:sz w:val="24"/>
        </w:rPr>
      </w:pPr>
      <w:r>
        <w:rPr>
          <w:rFonts w:hint="eastAsia"/>
          <w:bCs/>
          <w:sz w:val="24"/>
        </w:rPr>
        <w:t>5、托管协议：指基金管理人与基金托管人就本基金签订之《交银施罗德鸿信一年持有期混合型证券投资基金托管协议》及对该托管协议的任何有效修订和补充</w:t>
      </w:r>
    </w:p>
    <w:p>
      <w:pPr>
        <w:adjustRightInd w:val="0"/>
        <w:snapToGrid w:val="0"/>
        <w:spacing w:line="360" w:lineRule="auto"/>
        <w:ind w:firstLine="480" w:firstLineChars="200"/>
        <w:rPr>
          <w:bCs/>
          <w:sz w:val="24"/>
        </w:rPr>
      </w:pPr>
      <w:r>
        <w:rPr>
          <w:rFonts w:hint="eastAsia"/>
          <w:bCs/>
          <w:sz w:val="24"/>
        </w:rPr>
        <w:t>6、招募说明书或本招募说明书：指《交银施罗德鸿信一年持有期混合型证券投资基金招募说明书》及其更新</w:t>
      </w:r>
    </w:p>
    <w:p>
      <w:pPr>
        <w:adjustRightInd w:val="0"/>
        <w:snapToGrid w:val="0"/>
        <w:spacing w:line="360" w:lineRule="auto"/>
        <w:ind w:firstLine="480" w:firstLineChars="200"/>
        <w:rPr>
          <w:bCs/>
          <w:sz w:val="24"/>
        </w:rPr>
      </w:pPr>
      <w:r>
        <w:rPr>
          <w:rFonts w:hint="eastAsia"/>
          <w:bCs/>
          <w:sz w:val="24"/>
        </w:rPr>
        <w:t>7</w:t>
      </w:r>
      <w:r>
        <w:rPr>
          <w:bCs/>
          <w:sz w:val="24"/>
        </w:rPr>
        <w:t>、</w:t>
      </w:r>
      <w:r>
        <w:rPr>
          <w:rFonts w:hint="eastAsia"/>
          <w:bCs/>
          <w:sz w:val="24"/>
        </w:rPr>
        <w:t>基金产品资料概要：指《交银施罗德鸿信一年持有期混合型证券投资基金基金产品资料概要》及其更新</w:t>
      </w:r>
    </w:p>
    <w:p>
      <w:pPr>
        <w:adjustRightInd w:val="0"/>
        <w:snapToGrid w:val="0"/>
        <w:spacing w:line="360" w:lineRule="auto"/>
        <w:ind w:firstLine="480" w:firstLineChars="200"/>
        <w:rPr>
          <w:bCs/>
          <w:sz w:val="24"/>
        </w:rPr>
      </w:pPr>
      <w:r>
        <w:rPr>
          <w:bCs/>
          <w:sz w:val="24"/>
        </w:rPr>
        <w:t>8</w:t>
      </w:r>
      <w:r>
        <w:rPr>
          <w:rFonts w:hint="eastAsia"/>
          <w:bCs/>
          <w:sz w:val="24"/>
        </w:rPr>
        <w:t>、基金份额发售公告：指《交银施罗德鸿信一年持有期混合型证券投资基金基金份额发售公告》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、《销售办法》：指《公开募集证券投资基金销售机构监督管理办法》及颁布机关对其不时做出的修订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、中国证监会：指中国证券监督管理委员会</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、银行业监督管理机构：指中国人民银行和/或中国银行保险监督管理委员会</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rFonts w:hint="eastAsia"/>
          <w:bCs/>
          <w:sz w:val="24"/>
        </w:rPr>
        <w:t>21、投资人、投资者：指个人投资者、机构投资者、合格境外投资者以及法律法规或中国证监会允许购买证券投资基金的其他投资人的合称</w:t>
      </w:r>
    </w:p>
    <w:p>
      <w:pPr>
        <w:adjustRightInd w:val="0"/>
        <w:snapToGrid w:val="0"/>
        <w:spacing w:line="360" w:lineRule="auto"/>
        <w:ind w:firstLine="480" w:firstLineChars="200"/>
        <w:rPr>
          <w:bCs/>
          <w:sz w:val="24"/>
        </w:rPr>
      </w:pPr>
      <w:r>
        <w:rPr>
          <w:rFonts w:hint="eastAsia"/>
          <w:bCs/>
          <w:sz w:val="24"/>
        </w:rPr>
        <w:t>22、基金份额持有人：指依基金合同和招募说明书合法取得基金份额的投资人</w:t>
      </w:r>
    </w:p>
    <w:p>
      <w:pPr>
        <w:adjustRightInd w:val="0"/>
        <w:snapToGrid w:val="0"/>
        <w:spacing w:line="360" w:lineRule="auto"/>
        <w:ind w:firstLine="480" w:firstLineChars="200"/>
        <w:rPr>
          <w:bCs/>
          <w:sz w:val="24"/>
        </w:rPr>
      </w:pPr>
      <w:r>
        <w:rPr>
          <w:rFonts w:hint="eastAsia"/>
          <w:bCs/>
          <w:sz w:val="24"/>
        </w:rPr>
        <w:t>23、基金销售业务：指基金管理人或销售机构宣传推介基金，发售基金份额，办理基金份额的申购、赎回、转换、转托管及定期定额投资等业务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rFonts w:hint="eastAsia"/>
          <w:bCs/>
          <w:sz w:val="24"/>
        </w:rPr>
        <w:t>24、销售机构：指交银施罗德基金管理有限公司以及符合《销售办法》和中国证监会规定的其他条件，取得基金销售业务资格并与基金管理人签订了基金销售服务协议，办理基金销售业务的机构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rFonts w:hint="eastAsia"/>
          <w:bCs/>
          <w:sz w:val="24"/>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rFonts w:hint="eastAsia"/>
          <w:bCs/>
          <w:sz w:val="24"/>
        </w:rPr>
        <w:t>26、登记机构：指办理登记业务的机构。基金的登记机构为交银施罗德基金管理有限公司或接受交银施罗德基金管理有限公司委托代为办理登记业务的机构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rFonts w:hint="eastAsia"/>
          <w:bCs/>
          <w:sz w:val="24"/>
        </w:rPr>
        <w:t>27、基金账户：指登记机构为投资人开立的、记录其持有的、基金管理人所管理的基金份额余额及其变动情况的账户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rFonts w:hint="eastAsia"/>
          <w:bCs/>
          <w:sz w:val="24"/>
        </w:rPr>
        <w:t>28、基金交易账户：指销售机构为投资人开立的、记录投资人通过该销售机构办理认购、申购、赎回、转换及转托管等业务而引起的基金份额变动及结余情况的账户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rFonts w:hint="eastAsia"/>
          <w:bCs/>
          <w:sz w:val="24"/>
        </w:rPr>
        <w:t>29、基金合同生效日：指基金募集达到法律法规规定及基金合同规定的条件，基金管理人向中国证监会办理基金备案手续完毕，并获得中国证监会书面确认的日期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rFonts w:hint="eastAsia"/>
          <w:bCs/>
          <w:sz w:val="24"/>
        </w:rPr>
        <w:t>30、基金合同终止日：指基金合同规定的基金合同终止事由出现后，基金财产清算完毕，清算结果报中国证监会备案并予以公告的日期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rFonts w:hint="eastAsia"/>
          <w:bCs/>
          <w:sz w:val="24"/>
        </w:rPr>
        <w:t>31、基金募集期：指自基金份额发售之日起至发售结束之日止的期间，最长不得超过3个月</w:t>
      </w:r>
    </w:p>
    <w:p>
      <w:pPr>
        <w:adjustRightInd w:val="0"/>
        <w:snapToGrid w:val="0"/>
        <w:spacing w:line="360" w:lineRule="auto"/>
        <w:ind w:firstLine="480" w:firstLineChars="200"/>
        <w:rPr>
          <w:bCs/>
          <w:sz w:val="24"/>
        </w:rPr>
      </w:pPr>
      <w:r>
        <w:rPr>
          <w:rFonts w:hint="eastAsia"/>
          <w:bCs/>
          <w:sz w:val="24"/>
        </w:rPr>
        <w:t>32、存续期：指基金合同生效至终止之间的不定期期限</w:t>
      </w:r>
    </w:p>
    <w:p>
      <w:pPr>
        <w:adjustRightInd w:val="0"/>
        <w:snapToGrid w:val="0"/>
        <w:spacing w:line="360" w:lineRule="auto"/>
        <w:ind w:firstLine="480" w:firstLineChars="200"/>
        <w:rPr>
          <w:bCs/>
          <w:sz w:val="24"/>
        </w:rPr>
      </w:pPr>
      <w:r>
        <w:rPr>
          <w:rFonts w:hint="eastAsia"/>
          <w:bCs/>
          <w:sz w:val="24"/>
        </w:rPr>
        <w:t>33、工作日：指上海证券交易所、深圳证券交易所的正常交易日</w:t>
      </w:r>
    </w:p>
    <w:p>
      <w:pPr>
        <w:adjustRightInd w:val="0"/>
        <w:snapToGrid w:val="0"/>
        <w:spacing w:line="360" w:lineRule="auto"/>
        <w:ind w:firstLine="480" w:firstLineChars="200"/>
        <w:rPr>
          <w:bCs/>
          <w:sz w:val="24"/>
        </w:rPr>
      </w:pPr>
      <w:r>
        <w:rPr>
          <w:rFonts w:hint="eastAsia"/>
          <w:bCs/>
          <w:sz w:val="24"/>
        </w:rPr>
        <w:t>34、T日：指销售机构在规定时间受理投资人申购、赎回或其他业务申请的开放日</w:t>
      </w:r>
    </w:p>
    <w:p>
      <w:pPr>
        <w:adjustRightInd w:val="0"/>
        <w:snapToGrid w:val="0"/>
        <w:spacing w:line="360" w:lineRule="auto"/>
        <w:ind w:firstLine="480" w:firstLineChars="200"/>
        <w:rPr>
          <w:bCs/>
          <w:sz w:val="24"/>
        </w:rPr>
      </w:pPr>
      <w:r>
        <w:rPr>
          <w:rFonts w:hint="eastAsia"/>
          <w:bCs/>
          <w:sz w:val="24"/>
        </w:rPr>
        <w:t>35、T+n日：指自T日起第n个工作日(不包含T日)</w:t>
      </w:r>
    </w:p>
    <w:p>
      <w:pPr>
        <w:adjustRightInd w:val="0"/>
        <w:snapToGrid w:val="0"/>
        <w:spacing w:line="360" w:lineRule="auto"/>
        <w:ind w:firstLine="480" w:firstLineChars="200"/>
        <w:rPr>
          <w:bCs/>
          <w:sz w:val="24"/>
        </w:rPr>
      </w:pPr>
      <w:r>
        <w:rPr>
          <w:rFonts w:hint="eastAsia"/>
          <w:bCs/>
          <w:sz w:val="24"/>
        </w:rPr>
        <w:t>36、最短持有期限：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pPr>
        <w:adjustRightInd w:val="0"/>
        <w:snapToGrid w:val="0"/>
        <w:spacing w:line="360" w:lineRule="auto"/>
        <w:ind w:firstLine="480" w:firstLineChars="200"/>
        <w:rPr>
          <w:bCs/>
          <w:sz w:val="24"/>
        </w:rPr>
      </w:pPr>
      <w:r>
        <w:rPr>
          <w:rFonts w:hint="eastAsia"/>
          <w:bCs/>
          <w:sz w:val="24"/>
        </w:rPr>
        <w:t>37、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pPr>
        <w:adjustRightInd w:val="0"/>
        <w:snapToGrid w:val="0"/>
        <w:spacing w:line="360" w:lineRule="auto"/>
        <w:ind w:firstLine="480" w:firstLineChars="200"/>
        <w:rPr>
          <w:bCs/>
          <w:sz w:val="24"/>
        </w:rPr>
      </w:pPr>
      <w:r>
        <w:rPr>
          <w:rFonts w:hint="eastAsia"/>
          <w:bCs/>
          <w:sz w:val="24"/>
        </w:rPr>
        <w:t>38、开放日：指为投资人办理基金份额申购、赎回或其他业务的工作日（若该工作日为非港股通交易日，则本基金可不开放）</w:t>
      </w:r>
    </w:p>
    <w:p>
      <w:pPr>
        <w:adjustRightInd w:val="0"/>
        <w:snapToGrid w:val="0"/>
        <w:spacing w:line="360" w:lineRule="auto"/>
        <w:ind w:firstLine="480" w:firstLineChars="200"/>
        <w:rPr>
          <w:bCs/>
          <w:sz w:val="24"/>
        </w:rPr>
      </w:pPr>
      <w:r>
        <w:rPr>
          <w:rFonts w:hint="eastAsia"/>
          <w:bCs/>
          <w:sz w:val="24"/>
        </w:rPr>
        <w:t>39、开放时间：指开放日基金接受申购、赎回或其他交易的时间段</w:t>
      </w:r>
    </w:p>
    <w:p>
      <w:pPr>
        <w:adjustRightInd w:val="0"/>
        <w:snapToGrid w:val="0"/>
        <w:spacing w:line="360" w:lineRule="auto"/>
        <w:ind w:firstLine="480" w:firstLineChars="200"/>
        <w:rPr>
          <w:bCs/>
          <w:sz w:val="24"/>
        </w:rPr>
      </w:pPr>
      <w:r>
        <w:rPr>
          <w:rFonts w:hint="eastAsia"/>
          <w:bCs/>
          <w:sz w:val="24"/>
        </w:rPr>
        <w:t>40、《业务规则》：指中国证券登记结算有限责任公司相关业务规则及其不时做出的修订</w:t>
      </w:r>
    </w:p>
    <w:p>
      <w:pPr>
        <w:adjustRightInd w:val="0"/>
        <w:snapToGrid w:val="0"/>
        <w:spacing w:line="360" w:lineRule="auto"/>
        <w:ind w:firstLine="480" w:firstLineChars="200"/>
        <w:rPr>
          <w:bCs/>
          <w:sz w:val="24"/>
        </w:rPr>
      </w:pPr>
      <w:r>
        <w:rPr>
          <w:rFonts w:hint="eastAsia"/>
          <w:bCs/>
          <w:sz w:val="24"/>
        </w:rPr>
        <w:t>41、认购：指在基金募集期内，投资人根据基金合同和招募说明书的规定申请购买基金份额的行为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rFonts w:hint="eastAsia"/>
          <w:bCs/>
          <w:sz w:val="24"/>
        </w:rPr>
        <w:t>42、申购：指基金合同生效后，投资人根据基金合同和招募说明书的规定申请购买基金份额的行为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rFonts w:hint="eastAsia"/>
          <w:bCs/>
          <w:sz w:val="24"/>
        </w:rPr>
        <w:t>43、赎回：指基金合同生效后，基金份额持有人按基金合同和招募说明书规定的条件要求将基金份额兑换为现金的行为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rFonts w:hint="eastAsia"/>
          <w:bCs/>
          <w:sz w:val="24"/>
        </w:rPr>
        <w:t>44、基金转换：指基金份额持有人按照基金合同和基金管理人届时有效公告规定的条件，申请将其持有基金管理人管理的、某一基金的基金份额转换为基金管理人管理的其他基金基金份额的行为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rFonts w:hint="eastAsia"/>
          <w:bCs/>
          <w:sz w:val="24"/>
        </w:rPr>
        <w:t>45、转托管：指基金份额持有人在本基金的不同销售机构之间实施的变更所持基金份额销售机构的操作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rFonts w:hint="eastAsia"/>
          <w:bCs/>
          <w:sz w:val="24"/>
        </w:rPr>
        <w:t>46、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rFonts w:hint="eastAsia"/>
          <w:bCs/>
          <w:sz w:val="24"/>
        </w:rPr>
        <w:t>47、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rFonts w:hint="eastAsia"/>
          <w:bCs/>
          <w:sz w:val="24"/>
        </w:rPr>
        <w:t>48、元：指人民币元</w:t>
      </w:r>
    </w:p>
    <w:p>
      <w:pPr>
        <w:adjustRightInd w:val="0"/>
        <w:snapToGrid w:val="0"/>
        <w:spacing w:line="360" w:lineRule="auto"/>
        <w:ind w:firstLine="480" w:firstLineChars="200"/>
        <w:rPr>
          <w:bCs/>
          <w:sz w:val="24"/>
        </w:rPr>
      </w:pPr>
      <w:r>
        <w:rPr>
          <w:rFonts w:hint="eastAsia"/>
          <w:bCs/>
          <w:sz w:val="24"/>
        </w:rPr>
        <w:t>49、基金收益：指基金投资所得红利、股息、债券利息、买卖证券价差、银行存款利息、已实现的其他合法收入及因运用基金财产带来的成本和费用的节约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rFonts w:hint="eastAsia"/>
          <w:bCs/>
          <w:sz w:val="24"/>
        </w:rPr>
        <w:t>50、基金资产总值：指基金拥有的各类有价证券、股指期货合约、银行存款本息、基金应收</w:t>
      </w:r>
      <w:r>
        <w:rPr>
          <w:bCs/>
          <w:sz w:val="24"/>
        </w:rPr>
        <w:t>款项</w:t>
      </w:r>
      <w:r>
        <w:rPr>
          <w:rFonts w:hint="eastAsia"/>
          <w:bCs/>
          <w:sz w:val="24"/>
        </w:rPr>
        <w:t>及其他资产的价值总和</w:t>
      </w:r>
    </w:p>
    <w:p>
      <w:pPr>
        <w:adjustRightInd w:val="0"/>
        <w:snapToGrid w:val="0"/>
        <w:spacing w:line="360" w:lineRule="auto"/>
        <w:ind w:firstLine="480" w:firstLineChars="200"/>
        <w:rPr>
          <w:bCs/>
          <w:sz w:val="24"/>
        </w:rPr>
      </w:pPr>
      <w:r>
        <w:rPr>
          <w:rFonts w:hint="eastAsia"/>
          <w:bCs/>
          <w:sz w:val="24"/>
        </w:rPr>
        <w:t>51、基金资产净值：指基金资产总值减去基金负债后的价值</w:t>
      </w:r>
    </w:p>
    <w:p>
      <w:pPr>
        <w:adjustRightInd w:val="0"/>
        <w:snapToGrid w:val="0"/>
        <w:spacing w:line="360" w:lineRule="auto"/>
        <w:ind w:firstLine="480" w:firstLineChars="200"/>
        <w:rPr>
          <w:bCs/>
          <w:sz w:val="24"/>
        </w:rPr>
      </w:pPr>
      <w:r>
        <w:rPr>
          <w:rFonts w:hint="eastAsia"/>
          <w:bCs/>
          <w:sz w:val="24"/>
        </w:rPr>
        <w:t>52、基金份额净值：指计算日基金资产净值除以计算日基金份额总数</w:t>
      </w:r>
    </w:p>
    <w:p>
      <w:pPr>
        <w:adjustRightInd w:val="0"/>
        <w:snapToGrid w:val="0"/>
        <w:spacing w:line="360" w:lineRule="auto"/>
        <w:ind w:firstLine="480" w:firstLineChars="200"/>
        <w:rPr>
          <w:bCs/>
          <w:sz w:val="24"/>
        </w:rPr>
      </w:pPr>
      <w:r>
        <w:rPr>
          <w:rFonts w:hint="eastAsia"/>
          <w:bCs/>
          <w:sz w:val="24"/>
        </w:rPr>
        <w:t>53、基金资产估值：指计算评估基金资产和负债的价值，以确定基金资产净值和基金份额净值的过程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rFonts w:hint="eastAsia"/>
          <w:bCs/>
          <w:sz w:val="24"/>
        </w:rPr>
        <w:t>54、港股通：指内地投资者委托内地证券公司，经由内地证券交易所在香港设立的证券交易服务公司，向香港联合交易所进行申报，买卖规定范围内的香港联合交易所上市的股票</w:t>
      </w:r>
    </w:p>
    <w:p>
      <w:pPr>
        <w:adjustRightInd w:val="0"/>
        <w:snapToGrid w:val="0"/>
        <w:spacing w:line="360" w:lineRule="auto"/>
        <w:ind w:firstLine="480" w:firstLineChars="200"/>
        <w:rPr>
          <w:bCs/>
          <w:sz w:val="24"/>
        </w:rPr>
      </w:pPr>
      <w:r>
        <w:rPr>
          <w:rFonts w:hint="eastAsia"/>
          <w:bCs/>
          <w:sz w:val="24"/>
        </w:rPr>
        <w:t>55、销售服务费：指从基金财产中计提的，用于本基金市场推广、销售以及基金份额持有人服务的费用</w:t>
      </w:r>
    </w:p>
    <w:p>
      <w:pPr>
        <w:adjustRightInd w:val="0"/>
        <w:snapToGrid w:val="0"/>
        <w:spacing w:line="360" w:lineRule="auto"/>
        <w:ind w:firstLine="480" w:firstLineChars="200"/>
        <w:rPr>
          <w:bCs/>
          <w:sz w:val="24"/>
        </w:rPr>
      </w:pPr>
      <w:r>
        <w:rPr>
          <w:rFonts w:hint="eastAsia"/>
          <w:bCs/>
          <w:sz w:val="24"/>
        </w:rPr>
        <w:t>56、A类基金份额：指在投资人认购/申购时收取认购/申购费用且不从本类别基金资产中计提销售服务费的基金份额</w:t>
      </w:r>
    </w:p>
    <w:p>
      <w:pPr>
        <w:adjustRightInd w:val="0"/>
        <w:snapToGrid w:val="0"/>
        <w:spacing w:line="360" w:lineRule="auto"/>
        <w:ind w:firstLine="480" w:firstLineChars="200"/>
        <w:rPr>
          <w:bCs/>
          <w:sz w:val="24"/>
        </w:rPr>
      </w:pPr>
      <w:r>
        <w:rPr>
          <w:rFonts w:hint="eastAsia"/>
          <w:bCs/>
          <w:sz w:val="24"/>
        </w:rPr>
        <w:t>57、C类基金份额：指在投资人认购/申购时不收取认购/申购费用，并从本类别基金资产中计提销售服务费的基金份额</w:t>
      </w:r>
    </w:p>
    <w:p>
      <w:pPr>
        <w:adjustRightInd w:val="0"/>
        <w:snapToGrid w:val="0"/>
        <w:spacing w:line="360" w:lineRule="auto"/>
        <w:ind w:firstLine="480" w:firstLineChars="200"/>
        <w:rPr>
          <w:bCs/>
          <w:sz w:val="24"/>
        </w:rPr>
      </w:pPr>
      <w:r>
        <w:rPr>
          <w:rFonts w:hint="eastAsia"/>
          <w:bCs/>
          <w:sz w:val="24"/>
        </w:rPr>
        <w:t>58、规定媒介：指符合中国证监会规定条件的用以进行信息披露的全国性报刊及《信息披露办法》规定的互联网网站（包括基金管理人网站、基金托管人网站、中国证监会基金电子披露网站）等媒介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rFonts w:hint="eastAsia"/>
          <w:bCs/>
          <w:sz w:val="24"/>
        </w:rPr>
        <w:t>59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rFonts w:hint="eastAsia"/>
          <w:bCs/>
          <w:sz w:val="24"/>
        </w:rPr>
        <w:t>60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rFonts w:hint="eastAsia"/>
          <w:bCs/>
          <w:sz w:val="24"/>
        </w:rPr>
        <w:t>61、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rFonts w:hint="eastAsia"/>
          <w:bCs/>
          <w:sz w:val="24"/>
        </w:rPr>
        <w:t>62、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rFonts w:ascii="宋体" w:hAnsi="宋体"/>
          <w:sz w:val="24"/>
        </w:rPr>
      </w:pPr>
      <w:r>
        <w:rPr>
          <w:rFonts w:hint="eastAsia"/>
          <w:bCs/>
          <w:sz w:val="24"/>
        </w:rPr>
        <w:t>63、不可抗力：指基金合同当事人不能预见、不能避免且不能克服的客观事件</w:t>
      </w:r>
    </w:p>
    <w:p>
      <w:pPr>
        <w:spacing w:line="360" w:lineRule="auto"/>
        <w:ind w:firstLine="480" w:firstLineChars="200"/>
        <w:rPr>
          <w:rFonts w:ascii="宋体" w:hAnsi="宋体"/>
          <w:sz w:val="24"/>
        </w:rPr>
      </w:pPr>
    </w:p>
    <w:p>
      <w:pPr>
        <w:spacing w:line="360" w:lineRule="auto"/>
        <w:jc w:val="center"/>
        <w:outlineLvl w:val="0"/>
        <w:rPr>
          <w:rFonts w:ascii="宋体" w:hAnsi="宋体"/>
          <w:b/>
          <w:kern w:val="0"/>
          <w:sz w:val="30"/>
        </w:rPr>
      </w:pPr>
      <w:bookmarkStart w:id="4" w:name="_Hlt81034163"/>
      <w:bookmarkEnd w:id="4"/>
      <w:bookmarkStart w:id="5" w:name="_Hlt80961854"/>
      <w:bookmarkEnd w:id="5"/>
      <w:bookmarkStart w:id="6" w:name="_Toc109537381"/>
      <w:r>
        <w:rPr>
          <w:rFonts w:ascii="宋体" w:hAnsi="宋体"/>
          <w:b/>
          <w:kern w:val="0"/>
          <w:sz w:val="30"/>
        </w:rPr>
        <w:br w:type="page"/>
      </w:r>
      <w:bookmarkStart w:id="7" w:name="_Toc62202541"/>
      <w:r>
        <w:rPr>
          <w:rFonts w:hint="eastAsia" w:ascii="宋体" w:hAnsi="宋体"/>
          <w:b/>
          <w:kern w:val="0"/>
          <w:sz w:val="30"/>
        </w:rPr>
        <w:t>三、基金管理人</w:t>
      </w:r>
      <w:bookmarkEnd w:id="6"/>
      <w:bookmarkEnd w:id="7"/>
    </w:p>
    <w:p>
      <w:pPr>
        <w:widowControl/>
        <w:adjustRightInd w:val="0"/>
        <w:snapToGrid w:val="0"/>
        <w:spacing w:line="360" w:lineRule="auto"/>
        <w:ind w:firstLine="482" w:firstLineChars="200"/>
        <w:outlineLvl w:val="1"/>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阮红</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郭佳敏</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int="eastAsia" w:hAnsi="宋体"/>
                <w:kern w:val="0"/>
                <w:sz w:val="24"/>
              </w:rPr>
              <w:t>股东名称</w:t>
            </w:r>
          </w:p>
        </w:tc>
        <w:tc>
          <w:tcPr>
            <w:tcW w:w="3060" w:type="dxa"/>
          </w:tcPr>
          <w:p>
            <w:pPr>
              <w:widowControl/>
              <w:jc w:val="center"/>
              <w:rPr>
                <w:kern w:val="0"/>
                <w:sz w:val="24"/>
              </w:rPr>
            </w:pPr>
            <w:r>
              <w:rPr>
                <w:rFonts w:hint="eastAsia"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rPr>
                <w:kern w:val="0"/>
                <w:sz w:val="24"/>
              </w:rPr>
            </w:pPr>
            <w:r>
              <w:rPr>
                <w:rFonts w:hint="eastAsia" w:hAnsi="宋体"/>
                <w:kern w:val="0"/>
                <w:sz w:val="24"/>
              </w:rPr>
              <w:t>交通银行股份有限公司（以下使用全称或其简称</w:t>
            </w:r>
            <w:r>
              <w:rPr>
                <w:rFonts w:hint="eastAsia"/>
                <w:kern w:val="0"/>
                <w:sz w:val="24"/>
              </w:rPr>
              <w:t>“</w:t>
            </w:r>
            <w:r>
              <w:rPr>
                <w:rFonts w:hint="eastAsia" w:hAnsi="宋体"/>
                <w:kern w:val="0"/>
                <w:sz w:val="24"/>
              </w:rPr>
              <w:t>交通银行</w:t>
            </w:r>
            <w:r>
              <w:rPr>
                <w:rFonts w:hint="eastAsia"/>
                <w:kern w:val="0"/>
                <w:sz w:val="24"/>
              </w:rPr>
              <w:t>”</w:t>
            </w:r>
            <w:r>
              <w:rPr>
                <w:rFonts w:hint="eastAsia" w:hAnsi="宋体"/>
                <w:kern w:val="0"/>
                <w:sz w:val="24"/>
              </w:rPr>
              <w:t>）</w:t>
            </w:r>
          </w:p>
        </w:tc>
        <w:tc>
          <w:tcPr>
            <w:tcW w:w="3060" w:type="dxa"/>
            <w:vAlign w:val="center"/>
          </w:tcPr>
          <w:p>
            <w:pPr>
              <w:widowControl/>
              <w:jc w:val="center"/>
              <w:rPr>
                <w:kern w:val="0"/>
                <w:sz w:val="24"/>
              </w:rPr>
            </w:pPr>
            <w:r>
              <w:rPr>
                <w:rFonts w:hint="eastAsia"/>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int="eastAsia" w:hAnsi="宋体"/>
                <w:kern w:val="0"/>
                <w:sz w:val="24"/>
              </w:rPr>
              <w:t>施罗德投资管理有限公司</w:t>
            </w:r>
          </w:p>
        </w:tc>
        <w:tc>
          <w:tcPr>
            <w:tcW w:w="3060" w:type="dxa"/>
            <w:vAlign w:val="center"/>
          </w:tcPr>
          <w:p>
            <w:pPr>
              <w:widowControl/>
              <w:jc w:val="center"/>
              <w:rPr>
                <w:kern w:val="0"/>
                <w:sz w:val="24"/>
              </w:rPr>
            </w:pPr>
            <w:r>
              <w:rPr>
                <w:rFonts w:hint="eastAsia"/>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rPr>
                <w:kern w:val="0"/>
                <w:sz w:val="24"/>
              </w:rPr>
            </w:pPr>
            <w:r>
              <w:rPr>
                <w:rFonts w:hint="eastAsia" w:hAnsi="宋体"/>
                <w:kern w:val="0"/>
                <w:sz w:val="24"/>
              </w:rPr>
              <w:t>中国国际海运集装箱（集团）股份有限公司</w:t>
            </w:r>
          </w:p>
        </w:tc>
        <w:tc>
          <w:tcPr>
            <w:tcW w:w="3060" w:type="dxa"/>
            <w:vAlign w:val="center"/>
          </w:tcPr>
          <w:p>
            <w:pPr>
              <w:widowControl/>
              <w:jc w:val="center"/>
              <w:rPr>
                <w:kern w:val="0"/>
                <w:sz w:val="24"/>
              </w:rPr>
            </w:pPr>
            <w:r>
              <w:rPr>
                <w:rFonts w:hint="eastAsia"/>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outlineLvl w:val="1"/>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outlineLvl w:val="2"/>
        <w:rPr>
          <w:kern w:val="0"/>
          <w:sz w:val="24"/>
        </w:rPr>
      </w:pPr>
      <w:r>
        <w:rPr>
          <w:kern w:val="0"/>
          <w:sz w:val="24"/>
        </w:rPr>
        <w:t>1、基金管理人董事会成员</w:t>
      </w:r>
    </w:p>
    <w:p>
      <w:pPr>
        <w:widowControl/>
        <w:adjustRightInd w:val="0"/>
        <w:snapToGrid w:val="0"/>
        <w:spacing w:line="360" w:lineRule="auto"/>
        <w:ind w:firstLine="480" w:firstLineChars="20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widowControl/>
        <w:adjustRightInd w:val="0"/>
        <w:snapToGrid w:val="0"/>
        <w:spacing w:line="360" w:lineRule="auto"/>
        <w:ind w:firstLine="480" w:firstLineChars="200"/>
        <w:rPr>
          <w:kern w:val="0"/>
          <w:sz w:val="24"/>
        </w:rPr>
      </w:pPr>
      <w:r>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widowControl/>
        <w:adjustRightInd w:val="0"/>
        <w:snapToGrid w:val="0"/>
        <w:spacing w:line="360" w:lineRule="auto"/>
        <w:ind w:firstLine="480" w:firstLineChars="200"/>
        <w:rPr>
          <w:kern w:val="0"/>
          <w:sz w:val="24"/>
        </w:rPr>
      </w:pPr>
      <w:r>
        <w:rPr>
          <w:rFonts w:hint="eastAsia"/>
          <w:kern w:val="0"/>
          <w:sz w:val="24"/>
        </w:rPr>
        <w:t>周曦女士，董事，硕士。现任交通银行总行个人金融业务部副总经理。历任交通银行湖南省分行风险管理部、资产保全部、法律合规部、个人金融业务部总经理，交通银行总行个人金融业务部总经理助理。</w:t>
      </w:r>
    </w:p>
    <w:p>
      <w:pPr>
        <w:widowControl/>
        <w:adjustRightInd w:val="0"/>
        <w:snapToGrid w:val="0"/>
        <w:spacing w:line="360" w:lineRule="auto"/>
        <w:ind w:firstLine="480" w:firstLineChars="200"/>
        <w:rPr>
          <w:kern w:val="0"/>
          <w:sz w:val="24"/>
        </w:rPr>
      </w:pPr>
      <w:r>
        <w:rPr>
          <w:rFonts w:hint="eastAsia"/>
          <w:kern w:val="0"/>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pPr>
        <w:widowControl/>
        <w:adjustRightInd w:val="0"/>
        <w:snapToGrid w:val="0"/>
        <w:spacing w:line="360" w:lineRule="auto"/>
        <w:ind w:firstLine="480" w:firstLineChars="200"/>
        <w:rPr>
          <w:kern w:val="0"/>
          <w:sz w:val="24"/>
        </w:rPr>
      </w:pPr>
      <w:r>
        <w:rPr>
          <w:rFonts w:hint="eastAsia"/>
          <w:kern w:val="0"/>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widowControl/>
        <w:adjustRightInd w:val="0"/>
        <w:snapToGrid w:val="0"/>
        <w:spacing w:line="360" w:lineRule="auto"/>
        <w:ind w:firstLine="480" w:firstLineChars="200"/>
        <w:rPr>
          <w:kern w:val="0"/>
          <w:sz w:val="24"/>
        </w:rPr>
      </w:pPr>
      <w:r>
        <w:rPr>
          <w:rFonts w:hint="eastAsia"/>
          <w:kern w:val="0"/>
          <w:sz w:val="24"/>
        </w:rPr>
        <w:t>李定邦（Lieven Debruyne）先生，董事，硕士。现任施罗德集团全球业务总裁、亚太区行政总裁, 担任集团管理委员会成员。历任施罗德投资管理有限公司亚洲投资产品总监，施罗德投资管理（香港）有限公司行政总裁兼亚太区基金业务拓展总监。</w:t>
      </w:r>
    </w:p>
    <w:p>
      <w:pPr>
        <w:widowControl/>
        <w:adjustRightInd w:val="0"/>
        <w:snapToGrid w:val="0"/>
        <w:spacing w:line="360" w:lineRule="auto"/>
        <w:ind w:firstLine="480" w:firstLineChars="200"/>
        <w:rPr>
          <w:kern w:val="0"/>
          <w:sz w:val="24"/>
        </w:rPr>
      </w:pPr>
      <w:r>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rPr>
          <w:kern w:val="0"/>
          <w:sz w:val="24"/>
        </w:rPr>
      </w:pPr>
      <w:r>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rPr>
          <w:kern w:val="0"/>
          <w:sz w:val="24"/>
        </w:rPr>
      </w:pPr>
      <w:r>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outlineLvl w:val="2"/>
        <w:rPr>
          <w:kern w:val="0"/>
          <w:sz w:val="24"/>
        </w:rPr>
      </w:pPr>
      <w:r>
        <w:rPr>
          <w:kern w:val="0"/>
          <w:sz w:val="24"/>
        </w:rPr>
        <w:t>2</w:t>
      </w:r>
      <w:r>
        <w:rPr>
          <w:rFonts w:hAnsi="宋体"/>
          <w:kern w:val="0"/>
          <w:sz w:val="24"/>
        </w:rPr>
        <w:t>、基金管理人监事会成员</w:t>
      </w:r>
    </w:p>
    <w:p>
      <w:pPr>
        <w:widowControl/>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pPr>
        <w:widowControl/>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pPr>
        <w:widowControl/>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widowControl/>
        <w:adjustRightInd w:val="0"/>
        <w:snapToGrid w:val="0"/>
        <w:spacing w:line="360" w:lineRule="auto"/>
        <w:ind w:firstLine="480" w:firstLineChars="200"/>
        <w:outlineLvl w:val="2"/>
        <w:rPr>
          <w:kern w:val="0"/>
          <w:sz w:val="24"/>
          <w:szCs w:val="24"/>
        </w:rPr>
      </w:pPr>
      <w:r>
        <w:rPr>
          <w:rFonts w:hint="eastAsia"/>
          <w:kern w:val="0"/>
          <w:sz w:val="24"/>
          <w:szCs w:val="24"/>
        </w:rPr>
        <w:t>3、基金管理人高级管理人员</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谢卫先生，总经理。简历同上。</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佘川女士，督察长，硕士，</w:t>
      </w:r>
      <w:r>
        <w:rPr>
          <w:sz w:val="24"/>
        </w:rPr>
        <w:t>兼任交银施罗德资产管理有限公司董事</w:t>
      </w:r>
      <w:r>
        <w:rPr>
          <w:rFonts w:hint="eastAsia" w:ascii="宋体" w:hAnsi="宋体"/>
          <w:sz w:val="24"/>
          <w:szCs w:val="24"/>
        </w:rPr>
        <w:t>。历任华泰证券有限责任公司综合发展部高级经理、投资银行部项目经理，银河基金管理有限公司监察部总监，交银施罗德基金管理有限公司监察稽核部总经理、监察风控副总监、投资运营总监。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马俊先生，副总经理，硕士。历任交通银行总行投资管理部高级投资分析、副高级经理，交银施罗德基金管理有限公司总裁办公室总经理、研究部副总经理、研究总监、综合管理部总经理。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outlineLvl w:val="2"/>
        <w:rPr>
          <w:kern w:val="0"/>
          <w:sz w:val="24"/>
        </w:rPr>
      </w:pPr>
      <w:r>
        <w:rPr>
          <w:kern w:val="0"/>
          <w:sz w:val="24"/>
        </w:rPr>
        <w:t>4</w:t>
      </w:r>
      <w:r>
        <w:rPr>
          <w:rFonts w:hAnsi="宋体"/>
          <w:kern w:val="0"/>
          <w:sz w:val="24"/>
        </w:rPr>
        <w:t>、本基金基金经理</w:t>
      </w:r>
    </w:p>
    <w:p>
      <w:pPr>
        <w:widowControl/>
        <w:adjustRightInd w:val="0"/>
        <w:snapToGrid w:val="0"/>
        <w:spacing w:line="360" w:lineRule="auto"/>
        <w:ind w:firstLine="480" w:firstLineChars="200"/>
        <w:rPr>
          <w:rFonts w:hAnsi="宋体"/>
          <w:kern w:val="0"/>
          <w:sz w:val="24"/>
        </w:rPr>
      </w:pPr>
      <w:r>
        <w:rPr>
          <w:rFonts w:hint="eastAsia" w:hAnsi="宋体"/>
          <w:kern w:val="0"/>
          <w:sz w:val="24"/>
        </w:rPr>
        <w:t>陈俊华女士，基金经理。上海交通大学金融学硕士，16年证券投资行业从业经验。2005年至2006年任国泰君安证券研究部研究员，2007年至2015年任中国国际金融有限公司研究部公用事业组负责人。2015年加入交银施罗德基金管理有限公司，现任跨境投资副总监、基金经理。曾任交银施罗德全球自然资源证券投资基金 (2015年11月21日至2019年09月19日)的基金经理。现任交银施罗德环球精选价值证券投资基金(2015年11月21日至今)、交银施罗德沪港深价值精选灵活配置混合型证券投资基金(2016年11月07日至今)、交银施罗德核心资产混合型证券投资基金(2019年01月18日至今)、交银施罗德鸿光一年持有期混合型证券投资基金（2021年03月08日至今）、交银施罗德鸿福六个月持有期混合型证券投资基金（2021年03月30日至今）的基金经理。</w:t>
      </w:r>
    </w:p>
    <w:p>
      <w:pPr>
        <w:adjustRightInd w:val="0"/>
        <w:snapToGrid w:val="0"/>
        <w:spacing w:line="360" w:lineRule="auto"/>
        <w:ind w:firstLine="480" w:firstLineChars="200"/>
        <w:rPr>
          <w:rFonts w:hAnsi="宋体"/>
          <w:kern w:val="0"/>
          <w:sz w:val="24"/>
        </w:rPr>
      </w:pPr>
      <w:r>
        <w:rPr>
          <w:rFonts w:hint="eastAsia" w:hAnsi="宋体"/>
          <w:kern w:val="0"/>
          <w:sz w:val="24"/>
        </w:rPr>
        <w:t>于海颖女士，基金经理。天津大学数量经济学硕士、经济学学士，15年证券投资从业经验。2004年至2006年任北方国际信托投资股份有限公司固定收益研究员，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基金经理。曾任交银施罗德丰盈收益债券型证券投资基金(2016年12月29日至2020年08月21日)、交银施罗德定期支付月月丰债券型证券投资基金(2017年06月10日至2019年03月14日)、交银施罗德强化回报债券型证券投资基金(2017年06月10日至2019年03月14日)、交银施罗德增利债券证券投资基金(2017年06月10日至2020年08月21日)、交银施罗德丰硕收益债券型证券投资基金(2017年06月10日至2018年07月18日)、交银施罗德荣鑫灵活配置混合型证券投资基金(2017年06月10日至2019年03月14日)、交银施罗德增强收益债券型证券投资基金(2017年06月10日至2019年03月14日)、交银施罗德稳固收益债券型证券投资基金(2017年06月10日至2019年03月14日)、交银施罗德增利增强债券型证券投资基金(2017年06月10日至2019年03月14日)、交银施罗德裕如纯债债券型证券投资基金(2018年05月25日至2021年01月15日)的基金经理。现任交银施罗德纯债债券型发起式证券投资基金(2017年06月10日至今)、交银施罗德丰晟收益债券型证券投资基金(2018年05月23日至今)、交银施罗德裕泰两年定期开放债券型证券投资基金(2019年12月10日至今)、交银施罗德裕坤纯债一年定期开放债券型发起式证券投资基金(2019年12月26日至今)、交银施罗德鸿光一年持有期混合型证券投资基金（2021年03月08日至今）、交银施罗德鸿福六个月持有期混合型证券投资基金（2021年03月30日至今）的基金经理。</w:t>
      </w:r>
    </w:p>
    <w:p>
      <w:pPr>
        <w:widowControl/>
        <w:adjustRightInd w:val="0"/>
        <w:snapToGrid w:val="0"/>
        <w:spacing w:line="360" w:lineRule="auto"/>
        <w:ind w:firstLine="480" w:firstLineChars="200"/>
        <w:outlineLvl w:val="2"/>
        <w:rPr>
          <w:rFonts w:hAnsi="宋体"/>
          <w:kern w:val="0"/>
          <w:sz w:val="24"/>
        </w:rPr>
      </w:pPr>
      <w:r>
        <w:rPr>
          <w:rFonts w:hAnsi="宋体"/>
          <w:kern w:val="0"/>
          <w:sz w:val="24"/>
        </w:rPr>
        <w:t>5、投资决策委员会成员</w:t>
      </w:r>
    </w:p>
    <w:p>
      <w:pPr>
        <w:adjustRightInd w:val="0"/>
        <w:snapToGrid w:val="0"/>
        <w:spacing w:line="360" w:lineRule="auto"/>
        <w:ind w:firstLine="480" w:firstLineChars="200"/>
        <w:rPr>
          <w:kern w:val="0"/>
          <w:sz w:val="24"/>
        </w:rPr>
      </w:pPr>
      <w:r>
        <w:rPr>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马俊（副总经理）</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于海颖（固定收益（公募）投资总监、基金经理）</w:t>
      </w:r>
    </w:p>
    <w:p>
      <w:pPr>
        <w:adjustRightInd w:val="0"/>
        <w:snapToGrid w:val="0"/>
        <w:spacing w:line="360" w:lineRule="auto"/>
        <w:ind w:firstLine="1200" w:firstLineChars="500"/>
        <w:rPr>
          <w:rFonts w:ascii="宋体" w:hAnsi="宋体"/>
          <w:kern w:val="0"/>
          <w:sz w:val="24"/>
        </w:rPr>
      </w:pPr>
      <w:r>
        <w:rPr>
          <w:rFonts w:ascii="宋体" w:hAnsi="宋体"/>
          <w:kern w:val="0"/>
          <w:sz w:val="24"/>
        </w:rPr>
        <w:t>上述人员之间</w:t>
      </w:r>
      <w:r>
        <w:rPr>
          <w:rFonts w:hint="eastAsia" w:ascii="宋体" w:hAnsi="宋体"/>
          <w:kern w:val="0"/>
          <w:sz w:val="24"/>
        </w:rPr>
        <w:t>不存在</w:t>
      </w:r>
      <w:r>
        <w:rPr>
          <w:rFonts w:ascii="宋体" w:hAnsi="宋体"/>
          <w:kern w:val="0"/>
          <w:sz w:val="24"/>
        </w:rPr>
        <w:t>近亲属关系。</w:t>
      </w:r>
    </w:p>
    <w:p>
      <w:pPr>
        <w:widowControl/>
        <w:adjustRightInd w:val="0"/>
        <w:snapToGrid w:val="0"/>
        <w:spacing w:line="360" w:lineRule="auto"/>
        <w:ind w:firstLine="482" w:firstLineChars="200"/>
        <w:outlineLvl w:val="1"/>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w:t>
      </w:r>
      <w:r>
        <w:rPr>
          <w:rFonts w:hint="eastAsia"/>
          <w:sz w:val="24"/>
          <w:szCs w:val="24"/>
        </w:rPr>
        <w:t>编制季度报告、中期报告和年度报告</w:t>
      </w:r>
      <w:r>
        <w:rPr>
          <w:sz w:val="24"/>
          <w:szCs w:val="24"/>
        </w:rPr>
        <w:t>；</w:t>
      </w:r>
    </w:p>
    <w:p>
      <w:pPr>
        <w:adjustRightInd w:val="0"/>
        <w:snapToGrid w:val="0"/>
        <w:spacing w:line="360" w:lineRule="auto"/>
        <w:ind w:firstLine="480" w:firstLineChars="200"/>
        <w:rPr>
          <w:sz w:val="24"/>
          <w:szCs w:val="24"/>
        </w:rPr>
      </w:pPr>
      <w:r>
        <w:rPr>
          <w:sz w:val="24"/>
          <w:szCs w:val="24"/>
        </w:rPr>
        <w:t>7、计算并公告基金</w:t>
      </w:r>
      <w:r>
        <w:rPr>
          <w:kern w:val="0"/>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outlineLvl w:val="1"/>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outlineLvl w:val="1"/>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outlineLvl w:val="1"/>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outlineLvl w:val="2"/>
        <w:rPr>
          <w:kern w:val="0"/>
          <w:sz w:val="24"/>
          <w:szCs w:val="24"/>
        </w:rPr>
      </w:pPr>
      <w:r>
        <w:rPr>
          <w:kern w:val="0"/>
          <w:sz w:val="24"/>
          <w:szCs w:val="24"/>
        </w:rPr>
        <w:t>1、风险管理的原则</w:t>
      </w:r>
    </w:p>
    <w:p>
      <w:pPr>
        <w:widowControl/>
        <w:adjustRightInd w:val="0"/>
        <w:snapToGrid w:val="0"/>
        <w:spacing w:line="360" w:lineRule="auto"/>
        <w:ind w:firstLine="480" w:firstLineChars="200"/>
        <w:rPr>
          <w:kern w:val="0"/>
          <w:sz w:val="24"/>
          <w:szCs w:val="24"/>
        </w:rPr>
      </w:pPr>
      <w:r>
        <w:rPr>
          <w:kern w:val="0"/>
          <w:sz w:val="24"/>
          <w:szCs w:val="24"/>
        </w:rPr>
        <w:t>（1）全面性原则</w:t>
      </w:r>
    </w:p>
    <w:p>
      <w:pPr>
        <w:widowControl/>
        <w:adjustRightInd w:val="0"/>
        <w:snapToGrid w:val="0"/>
        <w:spacing w:line="360" w:lineRule="auto"/>
        <w:ind w:firstLine="480" w:firstLineChars="200"/>
        <w:rPr>
          <w:kern w:val="0"/>
          <w:sz w:val="24"/>
          <w:szCs w:val="24"/>
        </w:rPr>
      </w:pPr>
      <w:r>
        <w:rPr>
          <w:kern w:val="0"/>
          <w:sz w:val="24"/>
          <w:szCs w:val="24"/>
        </w:rPr>
        <w:t>公司风险管理必须覆盖公司的所有部门和岗位，渗透各项业务过程和业务环节。</w:t>
      </w:r>
    </w:p>
    <w:p>
      <w:pPr>
        <w:widowControl/>
        <w:adjustRightInd w:val="0"/>
        <w:snapToGrid w:val="0"/>
        <w:spacing w:line="360" w:lineRule="auto"/>
        <w:ind w:firstLine="480" w:firstLineChars="200"/>
        <w:rPr>
          <w:kern w:val="0"/>
          <w:sz w:val="24"/>
          <w:szCs w:val="24"/>
        </w:rPr>
      </w:pPr>
      <w:r>
        <w:rPr>
          <w:kern w:val="0"/>
          <w:sz w:val="24"/>
          <w:szCs w:val="24"/>
        </w:rPr>
        <w:t>（2）独立性原则</w:t>
      </w:r>
    </w:p>
    <w:p>
      <w:pPr>
        <w:widowControl/>
        <w:adjustRightInd w:val="0"/>
        <w:snapToGrid w:val="0"/>
        <w:spacing w:line="360" w:lineRule="auto"/>
        <w:ind w:firstLine="480" w:firstLineChars="200"/>
        <w:rPr>
          <w:kern w:val="0"/>
          <w:sz w:val="24"/>
          <w:szCs w:val="24"/>
        </w:rPr>
      </w:pPr>
      <w:r>
        <w:rPr>
          <w:kern w:val="0"/>
          <w:sz w:val="24"/>
          <w:szCs w:val="24"/>
        </w:rPr>
        <w:t>公司设立独立的风险管理部，风险管理部保持高度的独立性和权威性，负责对公司各部门风险控制工作进行监督和检查。</w:t>
      </w:r>
    </w:p>
    <w:p>
      <w:pPr>
        <w:widowControl/>
        <w:adjustRightInd w:val="0"/>
        <w:snapToGrid w:val="0"/>
        <w:spacing w:line="360" w:lineRule="auto"/>
        <w:ind w:firstLine="480" w:firstLineChars="200"/>
        <w:rPr>
          <w:kern w:val="0"/>
          <w:sz w:val="24"/>
          <w:szCs w:val="24"/>
        </w:rPr>
      </w:pPr>
      <w:r>
        <w:rPr>
          <w:kern w:val="0"/>
          <w:sz w:val="24"/>
          <w:szCs w:val="24"/>
        </w:rPr>
        <w:t>（3）相互制约原则</w:t>
      </w:r>
    </w:p>
    <w:p>
      <w:pPr>
        <w:widowControl/>
        <w:adjustRightInd w:val="0"/>
        <w:snapToGrid w:val="0"/>
        <w:spacing w:line="360" w:lineRule="auto"/>
        <w:ind w:firstLine="480" w:firstLineChars="200"/>
        <w:rPr>
          <w:kern w:val="0"/>
          <w:sz w:val="24"/>
          <w:szCs w:val="24"/>
        </w:rPr>
      </w:pPr>
      <w:r>
        <w:rPr>
          <w:kern w:val="0"/>
          <w:sz w:val="24"/>
          <w:szCs w:val="24"/>
        </w:rPr>
        <w:t>公司及各部门在内部组织结构的设计上要形成一种相互制约的机制，建立不同岗位之间的制衡体系。</w:t>
      </w:r>
    </w:p>
    <w:p>
      <w:pPr>
        <w:widowControl/>
        <w:adjustRightInd w:val="0"/>
        <w:snapToGrid w:val="0"/>
        <w:spacing w:line="360" w:lineRule="auto"/>
        <w:ind w:firstLine="480" w:firstLineChars="200"/>
        <w:rPr>
          <w:kern w:val="0"/>
          <w:sz w:val="24"/>
          <w:szCs w:val="24"/>
        </w:rPr>
      </w:pPr>
      <w:r>
        <w:rPr>
          <w:kern w:val="0"/>
          <w:sz w:val="24"/>
          <w:szCs w:val="24"/>
        </w:rPr>
        <w:t>（4）定性和定量相结合原则</w:t>
      </w:r>
    </w:p>
    <w:p>
      <w:pPr>
        <w:widowControl/>
        <w:adjustRightInd w:val="0"/>
        <w:snapToGrid w:val="0"/>
        <w:spacing w:line="360" w:lineRule="auto"/>
        <w:ind w:firstLine="480" w:firstLineChars="200"/>
        <w:rPr>
          <w:kern w:val="0"/>
          <w:sz w:val="24"/>
          <w:szCs w:val="24"/>
        </w:rPr>
      </w:pPr>
      <w:r>
        <w:rPr>
          <w:kern w:val="0"/>
          <w:sz w:val="24"/>
          <w:szCs w:val="24"/>
        </w:rPr>
        <w:t>建立完备的风险管理指标体系，使风险管理更具客观性和操作性。</w:t>
      </w:r>
    </w:p>
    <w:p>
      <w:pPr>
        <w:widowControl/>
        <w:adjustRightInd w:val="0"/>
        <w:snapToGrid w:val="0"/>
        <w:spacing w:line="360" w:lineRule="auto"/>
        <w:ind w:firstLine="480" w:firstLineChars="200"/>
        <w:outlineLvl w:val="2"/>
        <w:rPr>
          <w:kern w:val="0"/>
          <w:sz w:val="24"/>
          <w:szCs w:val="24"/>
        </w:rPr>
      </w:pPr>
      <w:r>
        <w:rPr>
          <w:kern w:val="0"/>
          <w:sz w:val="24"/>
          <w:szCs w:val="24"/>
        </w:rPr>
        <w:t>2、风险管理和内部风险控制体系结构</w:t>
      </w:r>
    </w:p>
    <w:p>
      <w:pPr>
        <w:widowControl/>
        <w:adjustRightInd w:val="0"/>
        <w:snapToGrid w:val="0"/>
        <w:spacing w:line="360" w:lineRule="auto"/>
        <w:ind w:firstLine="480" w:firstLineChars="20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rPr>
          <w:kern w:val="0"/>
          <w:sz w:val="24"/>
          <w:szCs w:val="24"/>
        </w:rPr>
      </w:pPr>
      <w:r>
        <w:rPr>
          <w:kern w:val="0"/>
          <w:sz w:val="24"/>
          <w:szCs w:val="24"/>
        </w:rPr>
        <w:t>（1）董事会</w:t>
      </w:r>
    </w:p>
    <w:p>
      <w:pPr>
        <w:widowControl/>
        <w:adjustRightInd w:val="0"/>
        <w:snapToGrid w:val="0"/>
        <w:spacing w:line="360" w:lineRule="auto"/>
        <w:ind w:firstLine="480" w:firstLineChars="200"/>
        <w:rPr>
          <w:kern w:val="0"/>
          <w:sz w:val="24"/>
          <w:szCs w:val="24"/>
        </w:rPr>
      </w:pPr>
      <w:r>
        <w:rPr>
          <w:kern w:val="0"/>
          <w:sz w:val="24"/>
          <w:szCs w:val="24"/>
        </w:rPr>
        <w:t>负责制定公司的风险管理政策，对风险管理负完全的和最终的责任。</w:t>
      </w:r>
    </w:p>
    <w:p>
      <w:pPr>
        <w:widowControl/>
        <w:adjustRightInd w:val="0"/>
        <w:snapToGrid w:val="0"/>
        <w:spacing w:line="360" w:lineRule="auto"/>
        <w:ind w:firstLine="480" w:firstLineChars="200"/>
        <w:rPr>
          <w:kern w:val="0"/>
          <w:sz w:val="24"/>
          <w:szCs w:val="24"/>
        </w:rPr>
      </w:pPr>
      <w:r>
        <w:rPr>
          <w:kern w:val="0"/>
          <w:sz w:val="24"/>
          <w:szCs w:val="24"/>
        </w:rPr>
        <w:t>（2）监事会</w:t>
      </w:r>
    </w:p>
    <w:p>
      <w:pPr>
        <w:widowControl/>
        <w:adjustRightInd w:val="0"/>
        <w:snapToGrid w:val="0"/>
        <w:spacing w:line="360" w:lineRule="auto"/>
        <w:ind w:firstLine="480" w:firstLineChars="200"/>
        <w:rPr>
          <w:kern w:val="0"/>
          <w:sz w:val="24"/>
          <w:szCs w:val="24"/>
        </w:rPr>
      </w:pPr>
      <w:r>
        <w:rPr>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kern w:val="0"/>
          <w:sz w:val="24"/>
          <w:szCs w:val="24"/>
        </w:rPr>
        <w:t>（3）合规审核及风险管理委员会</w:t>
      </w:r>
    </w:p>
    <w:p>
      <w:pPr>
        <w:widowControl/>
        <w:adjustRightInd w:val="0"/>
        <w:snapToGrid w:val="0"/>
        <w:spacing w:line="360" w:lineRule="auto"/>
        <w:ind w:firstLine="480" w:firstLineChars="20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kern w:val="0"/>
          <w:sz w:val="24"/>
          <w:szCs w:val="24"/>
        </w:rPr>
        <w:t>（4）风险控制委员会</w:t>
      </w:r>
    </w:p>
    <w:p>
      <w:pPr>
        <w:widowControl/>
        <w:adjustRightInd w:val="0"/>
        <w:snapToGrid w:val="0"/>
        <w:spacing w:line="360" w:lineRule="auto"/>
        <w:ind w:firstLine="480" w:firstLineChars="20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widowControl/>
        <w:adjustRightInd w:val="0"/>
        <w:snapToGrid w:val="0"/>
        <w:spacing w:line="360" w:lineRule="auto"/>
        <w:ind w:firstLine="360" w:firstLineChars="150"/>
        <w:rPr>
          <w:kern w:val="0"/>
          <w:sz w:val="24"/>
          <w:szCs w:val="24"/>
        </w:rPr>
      </w:pPr>
      <w:r>
        <w:rPr>
          <w:kern w:val="0"/>
          <w:sz w:val="24"/>
          <w:szCs w:val="24"/>
        </w:rPr>
        <w:t>（5）督察长</w:t>
      </w:r>
    </w:p>
    <w:p>
      <w:pPr>
        <w:widowControl/>
        <w:adjustRightInd w:val="0"/>
        <w:snapToGrid w:val="0"/>
        <w:spacing w:line="360" w:lineRule="auto"/>
        <w:ind w:firstLine="480" w:firstLineChars="20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rPr>
          <w:kern w:val="0"/>
          <w:sz w:val="24"/>
          <w:szCs w:val="24"/>
        </w:rPr>
      </w:pPr>
      <w:r>
        <w:rPr>
          <w:kern w:val="0"/>
          <w:sz w:val="24"/>
          <w:szCs w:val="24"/>
        </w:rPr>
        <w:t>（6）风险管理部</w:t>
      </w:r>
    </w:p>
    <w:p>
      <w:pPr>
        <w:widowControl/>
        <w:adjustRightInd w:val="0"/>
        <w:snapToGrid w:val="0"/>
        <w:spacing w:line="360" w:lineRule="auto"/>
        <w:ind w:firstLine="480" w:firstLineChars="20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pPr>
        <w:widowControl/>
        <w:adjustRightInd w:val="0"/>
        <w:snapToGrid w:val="0"/>
        <w:spacing w:line="360" w:lineRule="auto"/>
        <w:ind w:firstLine="480" w:firstLineChars="20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kern w:val="0"/>
          <w:sz w:val="24"/>
          <w:szCs w:val="24"/>
        </w:rPr>
        <w:t>（9）业务部门</w:t>
      </w:r>
    </w:p>
    <w:p>
      <w:pPr>
        <w:widowControl/>
        <w:adjustRightInd w:val="0"/>
        <w:snapToGrid w:val="0"/>
        <w:spacing w:line="360" w:lineRule="auto"/>
        <w:ind w:firstLine="480" w:firstLineChars="20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outlineLvl w:val="2"/>
        <w:rPr>
          <w:kern w:val="0"/>
          <w:sz w:val="24"/>
          <w:szCs w:val="24"/>
        </w:rPr>
      </w:pPr>
      <w:r>
        <w:rPr>
          <w:kern w:val="0"/>
          <w:sz w:val="24"/>
          <w:szCs w:val="24"/>
        </w:rPr>
        <w:t>3、风险管理和内部风险控制的措施</w:t>
      </w:r>
    </w:p>
    <w:p>
      <w:pPr>
        <w:widowControl/>
        <w:adjustRightInd w:val="0"/>
        <w:snapToGrid w:val="0"/>
        <w:spacing w:line="360" w:lineRule="auto"/>
        <w:ind w:firstLine="480" w:firstLineChars="200"/>
        <w:rPr>
          <w:kern w:val="0"/>
          <w:sz w:val="24"/>
          <w:szCs w:val="24"/>
        </w:rPr>
      </w:pPr>
      <w:r>
        <w:rPr>
          <w:kern w:val="0"/>
          <w:sz w:val="24"/>
          <w:szCs w:val="24"/>
        </w:rPr>
        <w:t>（1）建立内控体系，完善内控制度</w:t>
      </w:r>
    </w:p>
    <w:p>
      <w:pPr>
        <w:widowControl/>
        <w:adjustRightInd w:val="0"/>
        <w:snapToGrid w:val="0"/>
        <w:spacing w:line="360" w:lineRule="auto"/>
        <w:ind w:firstLine="480" w:firstLineChars="20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rPr>
          <w:kern w:val="0"/>
          <w:sz w:val="24"/>
          <w:szCs w:val="24"/>
        </w:rPr>
      </w:pPr>
      <w:r>
        <w:rPr>
          <w:kern w:val="0"/>
          <w:sz w:val="24"/>
          <w:szCs w:val="24"/>
        </w:rPr>
        <w:t>（2）建立相互分离、相互制衡的内控机制</w:t>
      </w:r>
    </w:p>
    <w:p>
      <w:pPr>
        <w:widowControl/>
        <w:adjustRightInd w:val="0"/>
        <w:snapToGrid w:val="0"/>
        <w:spacing w:line="360" w:lineRule="auto"/>
        <w:ind w:firstLine="480" w:firstLineChars="20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rPr>
          <w:kern w:val="0"/>
          <w:sz w:val="24"/>
          <w:szCs w:val="24"/>
        </w:rPr>
      </w:pPr>
      <w:r>
        <w:rPr>
          <w:kern w:val="0"/>
          <w:sz w:val="24"/>
          <w:szCs w:val="24"/>
        </w:rPr>
        <w:t>（3）建立、健全岗位责任制</w:t>
      </w:r>
    </w:p>
    <w:p>
      <w:pPr>
        <w:widowControl/>
        <w:adjustRightInd w:val="0"/>
        <w:snapToGrid w:val="0"/>
        <w:spacing w:line="360" w:lineRule="auto"/>
        <w:ind w:firstLine="480" w:firstLineChars="200"/>
        <w:rPr>
          <w:kern w:val="0"/>
          <w:sz w:val="24"/>
          <w:szCs w:val="24"/>
        </w:rPr>
      </w:pPr>
      <w:r>
        <w:rPr>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rPr>
          <w:kern w:val="0"/>
          <w:sz w:val="24"/>
          <w:szCs w:val="24"/>
        </w:rPr>
      </w:pPr>
      <w:r>
        <w:rPr>
          <w:kern w:val="0"/>
          <w:sz w:val="24"/>
          <w:szCs w:val="24"/>
        </w:rPr>
        <w:t>（4）建立风险分类、识别、评估、报告、提示程序</w:t>
      </w:r>
    </w:p>
    <w:p>
      <w:pPr>
        <w:widowControl/>
        <w:adjustRightInd w:val="0"/>
        <w:snapToGrid w:val="0"/>
        <w:spacing w:line="360" w:lineRule="auto"/>
        <w:ind w:firstLine="480" w:firstLineChars="20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rPr>
          <w:kern w:val="0"/>
          <w:sz w:val="24"/>
          <w:szCs w:val="24"/>
        </w:rPr>
      </w:pPr>
      <w:r>
        <w:rPr>
          <w:kern w:val="0"/>
          <w:sz w:val="24"/>
          <w:szCs w:val="24"/>
        </w:rPr>
        <w:t>（5）建立有效的内部监控系统</w:t>
      </w:r>
    </w:p>
    <w:p>
      <w:pPr>
        <w:widowControl/>
        <w:adjustRightInd w:val="0"/>
        <w:snapToGrid w:val="0"/>
        <w:spacing w:line="360" w:lineRule="auto"/>
        <w:ind w:firstLine="480" w:firstLineChars="200"/>
        <w:rPr>
          <w:kern w:val="0"/>
          <w:sz w:val="24"/>
          <w:szCs w:val="24"/>
        </w:rPr>
      </w:pPr>
      <w:r>
        <w:rPr>
          <w:kern w:val="0"/>
          <w:sz w:val="24"/>
          <w:szCs w:val="24"/>
        </w:rPr>
        <w:t>建立了足够、有效的内部监控系统，如电脑预警系统、投资监控系统，对可能出现的各种风险进行全面和实时的监控。</w:t>
      </w:r>
    </w:p>
    <w:p>
      <w:pPr>
        <w:widowControl/>
        <w:adjustRightInd w:val="0"/>
        <w:snapToGrid w:val="0"/>
        <w:spacing w:line="360" w:lineRule="auto"/>
        <w:ind w:firstLine="480" w:firstLineChars="200"/>
        <w:rPr>
          <w:kern w:val="0"/>
          <w:sz w:val="24"/>
          <w:szCs w:val="24"/>
        </w:rPr>
      </w:pPr>
      <w:r>
        <w:rPr>
          <w:kern w:val="0"/>
          <w:sz w:val="24"/>
          <w:szCs w:val="24"/>
        </w:rPr>
        <w:t>（6）使用数量化的风险管理手段</w:t>
      </w:r>
    </w:p>
    <w:p>
      <w:pPr>
        <w:widowControl/>
        <w:adjustRightInd w:val="0"/>
        <w:snapToGrid w:val="0"/>
        <w:spacing w:line="360" w:lineRule="auto"/>
        <w:ind w:firstLine="480" w:firstLineChars="20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pPr>
        <w:widowControl/>
        <w:adjustRightInd w:val="0"/>
        <w:snapToGrid w:val="0"/>
        <w:spacing w:line="360" w:lineRule="auto"/>
        <w:ind w:firstLine="480" w:firstLineChars="200"/>
        <w:rPr>
          <w:kern w:val="0"/>
          <w:sz w:val="24"/>
          <w:szCs w:val="24"/>
        </w:rPr>
      </w:pPr>
      <w:r>
        <w:rPr>
          <w:kern w:val="0"/>
          <w:sz w:val="24"/>
          <w:szCs w:val="24"/>
        </w:rPr>
        <w:t>（7）提供足够的培训</w:t>
      </w:r>
    </w:p>
    <w:p>
      <w:pPr>
        <w:widowControl/>
        <w:adjustRightInd w:val="0"/>
        <w:snapToGrid w:val="0"/>
        <w:spacing w:line="360" w:lineRule="auto"/>
        <w:ind w:firstLine="480" w:firstLineChars="200"/>
        <w:rPr>
          <w:kern w:val="0"/>
          <w:sz w:val="24"/>
          <w:szCs w:val="24"/>
        </w:rPr>
      </w:pPr>
      <w:r>
        <w:rPr>
          <w:kern w:val="0"/>
          <w:sz w:val="24"/>
          <w:szCs w:val="24"/>
        </w:rPr>
        <w:t>制定了完整的培训计划，为所有员工提供足够和适当的培训，使员工明确其职责所在，控制风险。</w:t>
      </w:r>
      <w:bookmarkStart w:id="8" w:name="_Toc109537382"/>
    </w:p>
    <w:p>
      <w:pPr>
        <w:spacing w:line="360" w:lineRule="auto"/>
        <w:jc w:val="center"/>
        <w:outlineLvl w:val="0"/>
        <w:rPr>
          <w:rFonts w:ascii="宋体" w:hAnsi="宋体"/>
          <w:b/>
          <w:kern w:val="0"/>
          <w:sz w:val="30"/>
        </w:rPr>
      </w:pPr>
      <w:r>
        <w:rPr>
          <w:rFonts w:ascii="宋体" w:hAnsi="宋体"/>
          <w:sz w:val="30"/>
        </w:rPr>
        <w:br w:type="page"/>
      </w:r>
      <w:bookmarkStart w:id="9" w:name="_Toc62202542"/>
      <w:r>
        <w:rPr>
          <w:rFonts w:hint="eastAsia" w:ascii="宋体" w:hAnsi="宋体"/>
          <w:b/>
          <w:kern w:val="0"/>
          <w:sz w:val="30"/>
        </w:rPr>
        <w:t>四、基金托管人</w:t>
      </w:r>
      <w:bookmarkEnd w:id="8"/>
      <w:bookmarkEnd w:id="9"/>
    </w:p>
    <w:p>
      <w:pPr>
        <w:adjustRightInd w:val="0"/>
        <w:snapToGrid w:val="0"/>
        <w:spacing w:line="360" w:lineRule="auto"/>
        <w:ind w:firstLine="482" w:firstLineChars="200"/>
        <w:outlineLvl w:val="1"/>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pPr>
        <w:widowControl/>
        <w:adjustRightInd w:val="0"/>
        <w:snapToGrid w:val="0"/>
        <w:spacing w:line="360" w:lineRule="auto"/>
        <w:ind w:firstLine="480" w:firstLineChars="200"/>
        <w:outlineLvl w:val="2"/>
        <w:rPr>
          <w:kern w:val="0"/>
          <w:sz w:val="24"/>
          <w:szCs w:val="24"/>
        </w:rPr>
      </w:pPr>
      <w:r>
        <w:rPr>
          <w:kern w:val="0"/>
          <w:sz w:val="24"/>
          <w:szCs w:val="24"/>
        </w:rPr>
        <w:t>1</w:t>
      </w:r>
      <w:r>
        <w:rPr>
          <w:rFonts w:hint="eastAsia"/>
          <w:kern w:val="0"/>
          <w:sz w:val="24"/>
          <w:szCs w:val="24"/>
        </w:rPr>
        <w:t>、基本情况</w:t>
      </w:r>
    </w:p>
    <w:p>
      <w:pPr>
        <w:widowControl/>
        <w:adjustRightInd w:val="0"/>
        <w:snapToGrid w:val="0"/>
        <w:spacing w:line="360" w:lineRule="auto"/>
        <w:ind w:firstLine="480" w:firstLineChars="200"/>
        <w:rPr>
          <w:kern w:val="0"/>
          <w:sz w:val="24"/>
          <w:szCs w:val="24"/>
        </w:rPr>
      </w:pPr>
      <w:r>
        <w:rPr>
          <w:rFonts w:hint="eastAsia"/>
          <w:kern w:val="0"/>
          <w:sz w:val="24"/>
          <w:szCs w:val="24"/>
        </w:rPr>
        <w:t>名称：中信银行股份有限公司（简称“中信银行”）</w:t>
      </w:r>
    </w:p>
    <w:p>
      <w:pPr>
        <w:widowControl/>
        <w:adjustRightInd w:val="0"/>
        <w:snapToGrid w:val="0"/>
        <w:spacing w:line="360" w:lineRule="auto"/>
        <w:ind w:firstLine="480" w:firstLineChars="200"/>
        <w:rPr>
          <w:kern w:val="0"/>
          <w:sz w:val="24"/>
          <w:szCs w:val="24"/>
        </w:rPr>
      </w:pPr>
      <w:r>
        <w:rPr>
          <w:rFonts w:hint="eastAsia"/>
          <w:kern w:val="0"/>
          <w:sz w:val="24"/>
          <w:szCs w:val="24"/>
        </w:rPr>
        <w:t>住所：北京市朝阳区光华路10号院1号楼</w:t>
      </w:r>
      <w:bookmarkStart w:id="103" w:name="_GoBack"/>
      <w:bookmarkEnd w:id="103"/>
    </w:p>
    <w:p>
      <w:pPr>
        <w:widowControl/>
        <w:adjustRightInd w:val="0"/>
        <w:snapToGrid w:val="0"/>
        <w:spacing w:line="360" w:lineRule="auto"/>
        <w:ind w:firstLine="480" w:firstLineChars="200"/>
        <w:rPr>
          <w:kern w:val="0"/>
          <w:sz w:val="24"/>
          <w:szCs w:val="24"/>
        </w:rPr>
      </w:pPr>
      <w:r>
        <w:rPr>
          <w:rFonts w:hint="eastAsia"/>
          <w:kern w:val="0"/>
          <w:sz w:val="24"/>
          <w:szCs w:val="24"/>
        </w:rPr>
        <w:t>办公地址：北京市朝阳区光华路10号院1号楼</w:t>
      </w:r>
    </w:p>
    <w:p>
      <w:pPr>
        <w:widowControl/>
        <w:adjustRightInd w:val="0"/>
        <w:snapToGrid w:val="0"/>
        <w:spacing w:line="360" w:lineRule="auto"/>
        <w:ind w:firstLine="480" w:firstLineChars="200"/>
        <w:rPr>
          <w:kern w:val="0"/>
          <w:sz w:val="24"/>
          <w:szCs w:val="24"/>
        </w:rPr>
      </w:pPr>
      <w:r>
        <w:rPr>
          <w:rFonts w:hint="eastAsia"/>
          <w:kern w:val="0"/>
          <w:sz w:val="24"/>
          <w:szCs w:val="24"/>
        </w:rPr>
        <w:t>法定代表人：李庆萍</w:t>
      </w:r>
    </w:p>
    <w:p>
      <w:pPr>
        <w:widowControl/>
        <w:adjustRightInd w:val="0"/>
        <w:snapToGrid w:val="0"/>
        <w:spacing w:line="360" w:lineRule="auto"/>
        <w:ind w:firstLine="480" w:firstLineChars="200"/>
        <w:rPr>
          <w:kern w:val="0"/>
          <w:sz w:val="24"/>
          <w:szCs w:val="24"/>
        </w:rPr>
      </w:pPr>
      <w:r>
        <w:rPr>
          <w:rFonts w:hint="eastAsia"/>
          <w:kern w:val="0"/>
          <w:sz w:val="24"/>
          <w:szCs w:val="24"/>
        </w:rPr>
        <w:t>成立时间：1987年4月20日</w:t>
      </w:r>
    </w:p>
    <w:p>
      <w:pPr>
        <w:widowControl/>
        <w:adjustRightInd w:val="0"/>
        <w:snapToGrid w:val="0"/>
        <w:spacing w:line="360" w:lineRule="auto"/>
        <w:ind w:firstLine="480" w:firstLineChars="200"/>
        <w:rPr>
          <w:kern w:val="0"/>
          <w:sz w:val="24"/>
          <w:szCs w:val="24"/>
        </w:rPr>
      </w:pPr>
      <w:r>
        <w:rPr>
          <w:rFonts w:hint="eastAsia"/>
          <w:kern w:val="0"/>
          <w:sz w:val="24"/>
          <w:szCs w:val="24"/>
        </w:rPr>
        <w:t>组织形式：股份有限公司</w:t>
      </w:r>
    </w:p>
    <w:p>
      <w:pPr>
        <w:widowControl/>
        <w:adjustRightInd w:val="0"/>
        <w:snapToGrid w:val="0"/>
        <w:spacing w:line="360" w:lineRule="auto"/>
        <w:ind w:firstLine="480" w:firstLineChars="200"/>
        <w:rPr>
          <w:kern w:val="0"/>
          <w:sz w:val="24"/>
          <w:szCs w:val="24"/>
        </w:rPr>
      </w:pPr>
      <w:r>
        <w:rPr>
          <w:rFonts w:hint="eastAsia"/>
          <w:kern w:val="0"/>
          <w:sz w:val="24"/>
          <w:szCs w:val="24"/>
        </w:rPr>
        <w:t>注册资本：489.35亿元人民币</w:t>
      </w:r>
    </w:p>
    <w:p>
      <w:pPr>
        <w:widowControl/>
        <w:adjustRightInd w:val="0"/>
        <w:snapToGrid w:val="0"/>
        <w:spacing w:line="360" w:lineRule="auto"/>
        <w:ind w:firstLine="480" w:firstLineChars="200"/>
        <w:rPr>
          <w:kern w:val="0"/>
          <w:sz w:val="24"/>
          <w:szCs w:val="24"/>
        </w:rPr>
      </w:pPr>
      <w:r>
        <w:rPr>
          <w:rFonts w:hint="eastAsia"/>
          <w:kern w:val="0"/>
          <w:sz w:val="24"/>
          <w:szCs w:val="24"/>
        </w:rPr>
        <w:t>存续期间：持续经营</w:t>
      </w:r>
    </w:p>
    <w:p>
      <w:pPr>
        <w:widowControl/>
        <w:adjustRightInd w:val="0"/>
        <w:snapToGrid w:val="0"/>
        <w:spacing w:line="360" w:lineRule="auto"/>
        <w:ind w:firstLine="480" w:firstLineChars="200"/>
        <w:rPr>
          <w:kern w:val="0"/>
          <w:sz w:val="24"/>
          <w:szCs w:val="24"/>
        </w:rPr>
      </w:pPr>
      <w:r>
        <w:rPr>
          <w:rFonts w:hint="eastAsia"/>
          <w:kern w:val="0"/>
          <w:sz w:val="24"/>
          <w:szCs w:val="24"/>
        </w:rPr>
        <w:t>批准设立文号：中华人民共和国国务院办公厅国办函[1987]14号</w:t>
      </w:r>
    </w:p>
    <w:p>
      <w:pPr>
        <w:widowControl/>
        <w:adjustRightInd w:val="0"/>
        <w:snapToGrid w:val="0"/>
        <w:spacing w:line="360" w:lineRule="auto"/>
        <w:ind w:firstLine="480" w:firstLineChars="200"/>
        <w:rPr>
          <w:kern w:val="0"/>
          <w:sz w:val="24"/>
          <w:szCs w:val="24"/>
        </w:rPr>
      </w:pPr>
      <w:r>
        <w:rPr>
          <w:rFonts w:hint="eastAsia"/>
          <w:kern w:val="0"/>
          <w:sz w:val="24"/>
          <w:szCs w:val="24"/>
        </w:rPr>
        <w:t>基金托管业务批准文号：中国证监会证监基字[2004]125号</w:t>
      </w:r>
    </w:p>
    <w:p>
      <w:pPr>
        <w:widowControl/>
        <w:adjustRightInd w:val="0"/>
        <w:snapToGrid w:val="0"/>
        <w:spacing w:line="360" w:lineRule="auto"/>
        <w:ind w:firstLine="480" w:firstLineChars="200"/>
        <w:rPr>
          <w:kern w:val="0"/>
          <w:sz w:val="24"/>
          <w:szCs w:val="24"/>
        </w:rPr>
      </w:pPr>
      <w:r>
        <w:rPr>
          <w:rFonts w:hint="eastAsia"/>
          <w:kern w:val="0"/>
          <w:sz w:val="24"/>
          <w:szCs w:val="24"/>
        </w:rPr>
        <w:t>联系人：中信银行资产托管部</w:t>
      </w:r>
    </w:p>
    <w:p>
      <w:pPr>
        <w:widowControl/>
        <w:adjustRightInd w:val="0"/>
        <w:snapToGrid w:val="0"/>
        <w:spacing w:line="360" w:lineRule="auto"/>
        <w:ind w:firstLine="480" w:firstLineChars="200"/>
        <w:rPr>
          <w:kern w:val="0"/>
          <w:sz w:val="24"/>
          <w:szCs w:val="24"/>
        </w:rPr>
      </w:pPr>
      <w:r>
        <w:rPr>
          <w:rFonts w:hint="eastAsia"/>
          <w:kern w:val="0"/>
          <w:sz w:val="24"/>
          <w:szCs w:val="24"/>
        </w:rPr>
        <w:t>联系电话：4006800000</w:t>
      </w:r>
    </w:p>
    <w:p>
      <w:pPr>
        <w:widowControl/>
        <w:adjustRightInd w:val="0"/>
        <w:snapToGrid w:val="0"/>
        <w:spacing w:line="360" w:lineRule="auto"/>
        <w:ind w:firstLine="480" w:firstLineChars="200"/>
        <w:rPr>
          <w:kern w:val="0"/>
          <w:sz w:val="24"/>
          <w:szCs w:val="24"/>
        </w:rPr>
      </w:pPr>
      <w:r>
        <w:rPr>
          <w:rFonts w:hint="eastAsia"/>
          <w:kern w:val="0"/>
          <w:sz w:val="24"/>
          <w:szCs w:val="24"/>
        </w:rPr>
        <w:t>传真：010-85230024</w:t>
      </w:r>
    </w:p>
    <w:p>
      <w:pPr>
        <w:widowControl/>
        <w:adjustRightInd w:val="0"/>
        <w:snapToGrid w:val="0"/>
        <w:spacing w:line="360" w:lineRule="auto"/>
        <w:ind w:firstLine="480" w:firstLineChars="200"/>
        <w:rPr>
          <w:kern w:val="0"/>
          <w:sz w:val="24"/>
          <w:szCs w:val="24"/>
        </w:rPr>
      </w:pPr>
      <w:r>
        <w:rPr>
          <w:rFonts w:hint="eastAsia"/>
          <w:kern w:val="0"/>
          <w:sz w:val="24"/>
          <w:szCs w:val="24"/>
        </w:rPr>
        <w:t>客服电话：95558</w:t>
      </w:r>
    </w:p>
    <w:p>
      <w:pPr>
        <w:widowControl/>
        <w:adjustRightInd w:val="0"/>
        <w:snapToGrid w:val="0"/>
        <w:spacing w:line="360" w:lineRule="auto"/>
        <w:ind w:firstLine="480" w:firstLineChars="200"/>
        <w:rPr>
          <w:kern w:val="0"/>
          <w:sz w:val="24"/>
          <w:szCs w:val="24"/>
        </w:rPr>
      </w:pPr>
      <w:r>
        <w:rPr>
          <w:rFonts w:hint="eastAsia"/>
          <w:kern w:val="0"/>
          <w:sz w:val="24"/>
          <w:szCs w:val="24"/>
        </w:rPr>
        <w:t>网址：bank.ecitic.com</w:t>
      </w:r>
    </w:p>
    <w:p>
      <w:pPr>
        <w:widowControl/>
        <w:adjustRightInd w:val="0"/>
        <w:snapToGrid w:val="0"/>
        <w:spacing w:line="360" w:lineRule="auto"/>
        <w:ind w:firstLine="480" w:firstLineChars="200"/>
        <w:rPr>
          <w:kern w:val="0"/>
          <w:sz w:val="24"/>
          <w:szCs w:val="24"/>
        </w:rPr>
      </w:pPr>
      <w:r>
        <w:rPr>
          <w:rFonts w:hint="eastAsia"/>
          <w:kern w:val="0"/>
          <w:sz w:val="24"/>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pPr>
        <w:widowControl/>
        <w:adjustRightInd w:val="0"/>
        <w:snapToGrid w:val="0"/>
        <w:spacing w:line="360" w:lineRule="auto"/>
        <w:ind w:firstLine="480" w:firstLineChars="200"/>
        <w:rPr>
          <w:kern w:val="0"/>
          <w:sz w:val="24"/>
          <w:szCs w:val="24"/>
        </w:rPr>
      </w:pPr>
      <w:r>
        <w:rPr>
          <w:rFonts w:hint="eastAsia"/>
          <w:kern w:val="0"/>
          <w:sz w:val="24"/>
          <w:szCs w:val="24"/>
        </w:rPr>
        <w:t>本行成立于1987年，是中国改革开放中最早成立的新兴商业银行之一，是中国最早参与国内外金融市场融资的商业银行，并以屡创中国现代金融史上多个第一而蜚声海内外，为中国经济建设做出了积极贡献。2007年4月，本行实现在上海证券交易所和香港联合交易所A+H股同步上市。</w:t>
      </w:r>
    </w:p>
    <w:p>
      <w:pPr>
        <w:widowControl/>
        <w:adjustRightInd w:val="0"/>
        <w:snapToGrid w:val="0"/>
        <w:spacing w:line="360" w:lineRule="auto"/>
        <w:ind w:firstLine="480" w:firstLineChars="200"/>
        <w:rPr>
          <w:kern w:val="0"/>
          <w:sz w:val="24"/>
          <w:szCs w:val="24"/>
        </w:rPr>
      </w:pPr>
      <w:r>
        <w:rPr>
          <w:rFonts w:hint="eastAsia"/>
          <w:kern w:val="0"/>
          <w:sz w:val="24"/>
          <w:szCs w:val="24"/>
        </w:rPr>
        <w:t>本行以建设成为“有担当、有温度、有特色、有价值”的最佳综合金融服务提供者为发展愿景，充分发挥中信集团“金融+实业”综合平台优势，坚持“以客为尊、改革推动、科技兴行、轻型发展、合规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pPr>
        <w:widowControl/>
        <w:adjustRightInd w:val="0"/>
        <w:snapToGrid w:val="0"/>
        <w:spacing w:line="360" w:lineRule="auto"/>
        <w:ind w:firstLine="480" w:firstLineChars="200"/>
        <w:rPr>
          <w:kern w:val="0"/>
          <w:sz w:val="24"/>
          <w:szCs w:val="24"/>
        </w:rPr>
      </w:pPr>
      <w:r>
        <w:rPr>
          <w:rFonts w:hint="eastAsia"/>
          <w:kern w:val="0"/>
          <w:sz w:val="24"/>
          <w:szCs w:val="24"/>
        </w:rPr>
        <w:t>截至2020年末，本行在国内153个大中城市设有1,405家营业网点，在境内外下设中信国际金融控股有限公司、信银（香港）投资有限公司、中信金融租赁有限公司、信银理财有限责任公司、中信百信银行股份有限公司、阿尔金银行和浙江临安中信村镇银行股份有限公司7家附属机构。其中，中信国际金融控股有限公司子公司中信银行（国际）在香港、澳门、纽约、洛杉矶、新加坡和中国内地设有34家营业网点和2家商务中心。信银（香港）投资有限公司在香港和境内设有3家子公司。信银理财有限责任公司为本行全资理财子公司。中信百信银行股份有限公司为本行与百度公司发起设立的国内首家具有独立法人资格的直销银行。阿尔金银行在哈萨克斯坦设有7家营业网点和1个私人银行中心。</w:t>
      </w:r>
    </w:p>
    <w:p>
      <w:pPr>
        <w:widowControl/>
        <w:adjustRightInd w:val="0"/>
        <w:snapToGrid w:val="0"/>
        <w:spacing w:line="360" w:lineRule="auto"/>
        <w:ind w:firstLine="480" w:firstLineChars="200"/>
        <w:rPr>
          <w:kern w:val="0"/>
          <w:sz w:val="24"/>
          <w:szCs w:val="24"/>
        </w:rPr>
      </w:pPr>
      <w:r>
        <w:rPr>
          <w:rFonts w:hint="eastAsia"/>
          <w:kern w:val="0"/>
          <w:sz w:val="24"/>
          <w:szCs w:val="24"/>
        </w:rPr>
        <w:t>本行坚持服务实体经济，稳健经营，与时俱进。经过30余年的发展，本行已成为一家总资产规模超7万亿元、员工人数近6万名，具有强大综合实力和品牌竞争力的金融集团。2020年，本行在英国《银行家》杂志“全球银行品牌500强排行榜”中排名第21位；本行一级资本在英国《银行家》杂志“世界1000家银行排名”中排名第24位。</w:t>
      </w:r>
    </w:p>
    <w:p>
      <w:pPr>
        <w:widowControl/>
        <w:adjustRightInd w:val="0"/>
        <w:snapToGrid w:val="0"/>
        <w:spacing w:line="360" w:lineRule="auto"/>
        <w:ind w:firstLine="480" w:firstLineChars="200"/>
        <w:outlineLvl w:val="2"/>
        <w:rPr>
          <w:kern w:val="0"/>
          <w:sz w:val="24"/>
          <w:szCs w:val="24"/>
        </w:rPr>
      </w:pPr>
      <w:r>
        <w:rPr>
          <w:rFonts w:hint="eastAsia"/>
          <w:kern w:val="0"/>
          <w:sz w:val="24"/>
          <w:szCs w:val="24"/>
        </w:rPr>
        <w:t>2、主要人员情况</w:t>
      </w:r>
    </w:p>
    <w:p>
      <w:pPr>
        <w:widowControl/>
        <w:adjustRightInd w:val="0"/>
        <w:snapToGrid w:val="0"/>
        <w:spacing w:line="360" w:lineRule="auto"/>
        <w:ind w:firstLine="480" w:firstLineChars="200"/>
        <w:rPr>
          <w:kern w:val="0"/>
          <w:sz w:val="24"/>
          <w:szCs w:val="24"/>
        </w:rPr>
      </w:pPr>
      <w:r>
        <w:rPr>
          <w:rFonts w:hint="eastAsia"/>
          <w:kern w:val="0"/>
          <w:sz w:val="24"/>
          <w:szCs w:val="24"/>
        </w:rPr>
        <w:t>方合英先生，中信银行执行董事、行长兼财务总监。方先生于2018年9月加入中信银行董事会。方先生自2014年8月起任中信银行党委委员，2014年11月起任中信银行副行长，2017年1月起兼任中信银行财务总监，2019年2月起任中信银行党委副书记。方先生现同时担任信银（香港）投资有限公司、中信银行（国际）有限公司及中信国际金融控股有限公司董事。此前，方先生于2013年5月至2015年1月任中信银行金融市场业务总监，2014年5月至2014年9月兼任中信银行杭州分行党委书记、行长；2007年3月至2013年5月任中信银行苏州分行党委书记、行长；2003年9月至2007年3月历任中信银行杭州分行行长助理、党委委员、副行长；1996年12月至2003年9月在中信银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pPr>
        <w:adjustRightInd w:val="0"/>
        <w:snapToGrid w:val="0"/>
        <w:spacing w:line="360" w:lineRule="auto"/>
        <w:ind w:firstLine="480" w:firstLineChars="200"/>
        <w:rPr>
          <w:kern w:val="0"/>
          <w:sz w:val="24"/>
          <w:szCs w:val="24"/>
        </w:rPr>
      </w:pPr>
      <w:r>
        <w:rPr>
          <w:rFonts w:hint="eastAsia"/>
          <w:kern w:val="0"/>
          <w:sz w:val="24"/>
          <w:szCs w:val="24"/>
        </w:rPr>
        <w:t>谢志斌先生，中信银行副行长，分管托管业务。谢先生自2019年6月起担任中信银行副行长，自2019年2月起担任中信银行党委委员。此前，谢先生于2015年7月至2019年1月任中国光大集团股份公司纪委书记、党委委员。2012年3月至2015年7月任中国出口信用保险公司总经理助理，期间于2014年1月至2015年7月挂职任内蒙古自治区呼和浩特市委常委、副市长。2011年3月至2012年3月任中国出口信用保险公司党委委员、总经理助理。2001年10月至2011年3月历任中国出口信用保险公司人力资源部职员、总经理助理、副总经理、总经理（党委组织部部长助理、副部长、部长），深圳分公司党委书记，河北省分公司负责人、党委书记、总经理。1991年7月至2001年10月历任中国人民保险公司科员、主任科员、副处长。谢先生为经济师，毕业于中国人民大学，获经济学博士学位。</w:t>
      </w:r>
    </w:p>
    <w:p>
      <w:pPr>
        <w:widowControl/>
        <w:adjustRightInd w:val="0"/>
        <w:snapToGrid w:val="0"/>
        <w:spacing w:line="360" w:lineRule="auto"/>
        <w:ind w:firstLine="480" w:firstLineChars="200"/>
        <w:rPr>
          <w:kern w:val="0"/>
          <w:sz w:val="24"/>
          <w:szCs w:val="24"/>
        </w:rPr>
      </w:pPr>
      <w:r>
        <w:rPr>
          <w:rFonts w:hint="eastAsia"/>
          <w:kern w:val="0"/>
          <w:sz w:val="24"/>
          <w:szCs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pPr>
        <w:widowControl/>
        <w:adjustRightInd w:val="0"/>
        <w:snapToGrid w:val="0"/>
        <w:spacing w:line="360" w:lineRule="auto"/>
        <w:ind w:firstLine="480" w:firstLineChars="200"/>
        <w:outlineLvl w:val="2"/>
        <w:rPr>
          <w:kern w:val="0"/>
          <w:sz w:val="24"/>
          <w:szCs w:val="24"/>
        </w:rPr>
      </w:pPr>
      <w:r>
        <w:rPr>
          <w:rFonts w:hint="eastAsia"/>
          <w:kern w:val="0"/>
          <w:sz w:val="24"/>
          <w:szCs w:val="24"/>
        </w:rPr>
        <w:t>3、基金托管业务经营情况</w:t>
      </w:r>
    </w:p>
    <w:p>
      <w:pPr>
        <w:widowControl/>
        <w:adjustRightInd w:val="0"/>
        <w:snapToGrid w:val="0"/>
        <w:spacing w:line="360" w:lineRule="auto"/>
        <w:ind w:firstLine="480" w:firstLineChars="200"/>
        <w:outlineLvl w:val="2"/>
        <w:rPr>
          <w:kern w:val="0"/>
          <w:sz w:val="24"/>
          <w:szCs w:val="24"/>
        </w:rPr>
      </w:pPr>
      <w:r>
        <w:rPr>
          <w:rFonts w:hint="eastAsia"/>
          <w:kern w:val="0"/>
          <w:sz w:val="24"/>
          <w:szCs w:val="24"/>
        </w:rPr>
        <w:t>2004 年8 月18 日，中信银行经中国证券监督管理委员会和中国银行业监督管理委员会批准，取得基金托管人资格。中信银行本着“诚实信用、勤勉尽责”的原则，切实履行托管人职责。</w:t>
      </w:r>
    </w:p>
    <w:p>
      <w:pPr>
        <w:adjustRightInd w:val="0"/>
        <w:snapToGrid w:val="0"/>
        <w:spacing w:line="360" w:lineRule="auto"/>
        <w:ind w:firstLine="480" w:firstLineChars="200"/>
        <w:rPr>
          <w:kern w:val="0"/>
          <w:sz w:val="24"/>
          <w:szCs w:val="24"/>
        </w:rPr>
      </w:pPr>
      <w:r>
        <w:rPr>
          <w:rFonts w:hint="eastAsia"/>
          <w:kern w:val="0"/>
          <w:sz w:val="24"/>
          <w:szCs w:val="24"/>
        </w:rPr>
        <w:t>截至2021年第一季度末，中信银行托管202只公开募集证券投资基金，以及基金公司、证券公司资产管理产品、信托产品、企业年金、股权基金、QDII等其他托管资产，托管总规模达到10.97万亿元人民币。</w:t>
      </w:r>
    </w:p>
    <w:p>
      <w:pPr>
        <w:adjustRightInd w:val="0"/>
        <w:snapToGrid w:val="0"/>
        <w:spacing w:line="360" w:lineRule="auto"/>
        <w:ind w:firstLine="482" w:firstLineChars="200"/>
        <w:outlineLvl w:val="1"/>
        <w:rPr>
          <w:b/>
          <w:sz w:val="24"/>
          <w:szCs w:val="24"/>
        </w:rPr>
      </w:pPr>
      <w:r>
        <w:rPr>
          <w:rFonts w:hint="eastAsia"/>
          <w:b/>
          <w:sz w:val="24"/>
          <w:szCs w:val="24"/>
        </w:rPr>
        <w:t>（二）基金托管人的内部风险控制制度说明</w:t>
      </w:r>
    </w:p>
    <w:p>
      <w:pPr>
        <w:adjustRightInd w:val="0"/>
        <w:snapToGrid w:val="0"/>
        <w:spacing w:line="360" w:lineRule="auto"/>
        <w:ind w:firstLine="480" w:firstLineChars="200"/>
        <w:rPr>
          <w:kern w:val="0"/>
          <w:sz w:val="24"/>
          <w:szCs w:val="24"/>
        </w:rPr>
      </w:pPr>
      <w:r>
        <w:rPr>
          <w:rFonts w:hint="eastAsia"/>
          <w:kern w:val="0"/>
          <w:sz w:val="24"/>
          <w:szCs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pPr>
        <w:adjustRightInd w:val="0"/>
        <w:snapToGrid w:val="0"/>
        <w:spacing w:line="360" w:lineRule="auto"/>
        <w:ind w:firstLine="480" w:firstLineChars="200"/>
        <w:rPr>
          <w:kern w:val="0"/>
          <w:sz w:val="24"/>
          <w:szCs w:val="24"/>
        </w:rPr>
      </w:pPr>
      <w:r>
        <w:rPr>
          <w:rFonts w:hint="eastAsia"/>
          <w:kern w:val="0"/>
          <w:sz w:val="24"/>
          <w:szCs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pPr>
        <w:adjustRightInd w:val="0"/>
        <w:snapToGrid w:val="0"/>
        <w:spacing w:line="360" w:lineRule="auto"/>
        <w:ind w:firstLine="480" w:firstLineChars="200"/>
        <w:rPr>
          <w:kern w:val="0"/>
          <w:sz w:val="24"/>
          <w:szCs w:val="24"/>
        </w:rPr>
      </w:pPr>
      <w:r>
        <w:rPr>
          <w:rFonts w:hint="eastAsia"/>
          <w:kern w:val="0"/>
          <w:sz w:val="24"/>
          <w:szCs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pPr>
        <w:adjustRightInd w:val="0"/>
        <w:snapToGrid w:val="0"/>
        <w:spacing w:line="360" w:lineRule="auto"/>
        <w:ind w:firstLine="480" w:firstLineChars="200"/>
        <w:rPr>
          <w:kern w:val="0"/>
          <w:sz w:val="24"/>
          <w:szCs w:val="24"/>
        </w:rPr>
      </w:pPr>
      <w:r>
        <w:rPr>
          <w:rFonts w:hint="eastAsia"/>
          <w:kern w:val="0"/>
          <w:sz w:val="24"/>
          <w:szCs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pPr>
        <w:adjustRightInd w:val="0"/>
        <w:snapToGrid w:val="0"/>
        <w:spacing w:line="360" w:lineRule="auto"/>
        <w:ind w:firstLine="482" w:firstLineChars="200"/>
        <w:outlineLvl w:val="1"/>
        <w:rPr>
          <w:kern w:val="0"/>
          <w:sz w:val="24"/>
          <w:szCs w:val="24"/>
        </w:rPr>
      </w:pPr>
      <w:r>
        <w:rPr>
          <w:rFonts w:hint="eastAsia"/>
          <w:b/>
          <w:bCs/>
          <w:kern w:val="0"/>
          <w:sz w:val="24"/>
          <w:szCs w:val="24"/>
        </w:rPr>
        <w:t>（三）基金托管人对基金管理人运作基金进行监督的方法和程序</w:t>
      </w:r>
    </w:p>
    <w:p>
      <w:pPr>
        <w:adjustRightInd w:val="0"/>
        <w:snapToGrid w:val="0"/>
        <w:spacing w:line="360" w:lineRule="auto"/>
        <w:ind w:firstLine="480" w:firstLineChars="200"/>
        <w:rPr>
          <w:kern w:val="0"/>
          <w:sz w:val="24"/>
          <w:szCs w:val="24"/>
        </w:rPr>
      </w:pPr>
      <w:r>
        <w:rPr>
          <w:rFonts w:hint="eastAsia"/>
          <w:kern w:val="0"/>
          <w:sz w:val="24"/>
          <w:szCs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pPr>
        <w:adjustRightInd w:val="0"/>
        <w:snapToGrid w:val="0"/>
        <w:spacing w:line="360" w:lineRule="auto"/>
        <w:ind w:firstLine="480" w:firstLineChars="200"/>
        <w:rPr>
          <w:rFonts w:hAnsi="宋体"/>
          <w:kern w:val="0"/>
          <w:sz w:val="24"/>
          <w:szCs w:val="24"/>
        </w:rPr>
      </w:pPr>
      <w:r>
        <w:rPr>
          <w:rFonts w:hint="eastAsia"/>
          <w:kern w:val="0"/>
          <w:sz w:val="24"/>
          <w:szCs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pPr>
        <w:adjustRightInd w:val="0"/>
        <w:snapToGrid w:val="0"/>
        <w:spacing w:line="360" w:lineRule="auto"/>
        <w:ind w:firstLine="480" w:firstLineChars="200"/>
        <w:rPr>
          <w:rFonts w:ascii="宋体" w:hAnsi="宋体"/>
          <w:sz w:val="24"/>
        </w:rPr>
      </w:pP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bookmarkStart w:id="10" w:name="_Toc109537383"/>
      <w:r>
        <w:rPr>
          <w:rFonts w:ascii="宋体" w:hAnsi="宋体"/>
          <w:b/>
          <w:kern w:val="0"/>
          <w:sz w:val="30"/>
        </w:rPr>
        <w:br w:type="page"/>
      </w:r>
      <w:bookmarkStart w:id="11" w:name="_Toc62202543"/>
      <w:r>
        <w:rPr>
          <w:rFonts w:hint="eastAsia" w:ascii="宋体" w:hAnsi="宋体"/>
          <w:b/>
          <w:kern w:val="0"/>
          <w:sz w:val="30"/>
        </w:rPr>
        <w:t>五、相关服务机构</w:t>
      </w:r>
      <w:bookmarkEnd w:id="10"/>
      <w:bookmarkEnd w:id="11"/>
    </w:p>
    <w:p>
      <w:pPr>
        <w:widowControl/>
        <w:adjustRightInd w:val="0"/>
        <w:snapToGrid w:val="0"/>
        <w:spacing w:line="360" w:lineRule="auto"/>
        <w:ind w:firstLine="482" w:firstLineChars="200"/>
        <w:outlineLvl w:val="1"/>
        <w:rPr>
          <w:b/>
          <w:kern w:val="0"/>
          <w:sz w:val="24"/>
        </w:rPr>
      </w:pPr>
      <w:r>
        <w:rPr>
          <w:rFonts w:hAnsi="宋体"/>
          <w:b/>
          <w:kern w:val="0"/>
          <w:sz w:val="24"/>
        </w:rPr>
        <w:t>（一）基金份额销售机构</w:t>
      </w:r>
    </w:p>
    <w:p>
      <w:pPr>
        <w:adjustRightInd w:val="0"/>
        <w:snapToGrid w:val="0"/>
        <w:spacing w:line="360" w:lineRule="auto"/>
        <w:ind w:firstLine="465"/>
        <w:outlineLvl w:val="2"/>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及手机APP，下同）。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阮红</w:t>
      </w:r>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3"/>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网上直销交易平台办理开户、本基金的认购、申购、赎回等业务，具体交易细则请参阅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3"/>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3"/>
          <w:color w:val="auto"/>
          <w:sz w:val="24"/>
          <w:u w:val="none"/>
        </w:rPr>
        <w:t>www.fund001.com</w:t>
      </w:r>
      <w:r>
        <w:rPr>
          <w:rStyle w:val="33"/>
          <w:color w:val="auto"/>
          <w:sz w:val="24"/>
          <w:u w:val="none"/>
        </w:rPr>
        <w:fldChar w:fldCharType="end"/>
      </w:r>
      <w:r>
        <w:rPr>
          <w:rStyle w:val="33"/>
          <w:color w:val="auto"/>
          <w:sz w:val="24"/>
          <w:u w:val="none"/>
        </w:rPr>
        <w:t>。</w:t>
      </w:r>
    </w:p>
    <w:p>
      <w:pPr>
        <w:adjustRightInd w:val="0"/>
        <w:snapToGrid w:val="0"/>
        <w:spacing w:line="360" w:lineRule="auto"/>
        <w:ind w:firstLine="480" w:firstLineChars="200"/>
        <w:outlineLvl w:val="2"/>
        <w:rPr>
          <w:sz w:val="24"/>
        </w:rPr>
      </w:pPr>
      <w:r>
        <w:rPr>
          <w:rFonts w:hint="eastAsia"/>
          <w:sz w:val="24"/>
        </w:rPr>
        <w:t>2、除基金管理人之外的其他销售机构</w:t>
      </w:r>
    </w:p>
    <w:p>
      <w:pPr>
        <w:adjustRightInd w:val="0"/>
        <w:snapToGrid w:val="0"/>
        <w:spacing w:line="360" w:lineRule="auto"/>
        <w:ind w:firstLine="480" w:firstLineChars="200"/>
        <w:rPr>
          <w:rFonts w:hAnsi="宋体"/>
          <w:sz w:val="24"/>
        </w:rPr>
      </w:pPr>
      <w:r>
        <w:rPr>
          <w:rFonts w:hint="eastAsia"/>
          <w:sz w:val="24"/>
        </w:rPr>
        <w:t>（1）</w:t>
      </w:r>
      <w:r>
        <w:rPr>
          <w:rFonts w:hint="eastAsia" w:hAnsi="宋体"/>
          <w:sz w:val="24"/>
        </w:rPr>
        <w:t>中信银行股份有限公司</w:t>
      </w:r>
    </w:p>
    <w:p>
      <w:pPr>
        <w:adjustRightInd w:val="0"/>
        <w:snapToGrid w:val="0"/>
        <w:spacing w:line="360" w:lineRule="auto"/>
        <w:ind w:firstLine="480" w:firstLineChars="200"/>
        <w:rPr>
          <w:rFonts w:hAnsi="宋体"/>
          <w:sz w:val="24"/>
        </w:rPr>
      </w:pPr>
      <w:r>
        <w:rPr>
          <w:rFonts w:hint="eastAsia" w:hAnsi="宋体"/>
          <w:sz w:val="24"/>
        </w:rPr>
        <w:t>住所：北京市</w:t>
      </w:r>
      <w:r>
        <w:rPr>
          <w:rFonts w:hint="eastAsia"/>
          <w:bCs/>
          <w:sz w:val="24"/>
        </w:rPr>
        <w:t>朝阳区光华路10号院1号楼</w:t>
      </w:r>
    </w:p>
    <w:p>
      <w:pPr>
        <w:adjustRightInd w:val="0"/>
        <w:snapToGrid w:val="0"/>
        <w:spacing w:line="360" w:lineRule="auto"/>
        <w:ind w:firstLine="480" w:firstLineChars="200"/>
        <w:rPr>
          <w:rFonts w:hAnsi="宋体"/>
          <w:sz w:val="24"/>
        </w:rPr>
      </w:pPr>
      <w:r>
        <w:rPr>
          <w:rFonts w:hint="eastAsia" w:hAnsi="宋体"/>
          <w:sz w:val="24"/>
        </w:rPr>
        <w:t>办公地址：北京市</w:t>
      </w:r>
      <w:r>
        <w:rPr>
          <w:rFonts w:hint="eastAsia"/>
          <w:bCs/>
          <w:sz w:val="24"/>
        </w:rPr>
        <w:t>朝阳区光华路10号院1号楼</w:t>
      </w:r>
    </w:p>
    <w:p>
      <w:pPr>
        <w:adjustRightInd w:val="0"/>
        <w:snapToGrid w:val="0"/>
        <w:spacing w:line="360" w:lineRule="auto"/>
        <w:ind w:firstLine="480" w:firstLineChars="200"/>
        <w:rPr>
          <w:rFonts w:hAnsi="宋体"/>
          <w:sz w:val="24"/>
        </w:rPr>
      </w:pPr>
      <w:r>
        <w:rPr>
          <w:rFonts w:hint="eastAsia" w:hAnsi="宋体"/>
          <w:sz w:val="24"/>
        </w:rPr>
        <w:t>法定代表人：李庆萍</w:t>
      </w:r>
    </w:p>
    <w:p>
      <w:pPr>
        <w:adjustRightInd w:val="0"/>
        <w:snapToGrid w:val="0"/>
        <w:spacing w:line="360" w:lineRule="auto"/>
        <w:ind w:firstLine="480" w:firstLineChars="200"/>
        <w:rPr>
          <w:rFonts w:hAnsi="宋体"/>
          <w:sz w:val="24"/>
        </w:rPr>
      </w:pPr>
      <w:r>
        <w:rPr>
          <w:rFonts w:hint="eastAsia" w:hAnsi="宋体"/>
          <w:sz w:val="24"/>
        </w:rPr>
        <w:t>电话：（010）89936330</w:t>
      </w:r>
    </w:p>
    <w:p>
      <w:pPr>
        <w:adjustRightInd w:val="0"/>
        <w:snapToGrid w:val="0"/>
        <w:spacing w:line="360" w:lineRule="auto"/>
        <w:ind w:firstLine="480" w:firstLineChars="200"/>
        <w:rPr>
          <w:rFonts w:hAnsi="宋体"/>
          <w:sz w:val="24"/>
        </w:rPr>
      </w:pPr>
      <w:r>
        <w:rPr>
          <w:rFonts w:hint="eastAsia" w:hAnsi="宋体"/>
          <w:sz w:val="24"/>
        </w:rPr>
        <w:t>传真：（010）85230024</w:t>
      </w:r>
    </w:p>
    <w:p>
      <w:pPr>
        <w:adjustRightInd w:val="0"/>
        <w:snapToGrid w:val="0"/>
        <w:spacing w:line="360" w:lineRule="auto"/>
        <w:ind w:firstLine="480" w:firstLineChars="200"/>
        <w:rPr>
          <w:rFonts w:hAnsi="宋体"/>
          <w:sz w:val="24"/>
        </w:rPr>
      </w:pPr>
      <w:r>
        <w:rPr>
          <w:rFonts w:hint="eastAsia" w:hAnsi="宋体"/>
          <w:sz w:val="24"/>
        </w:rPr>
        <w:t>联系人：丰靖</w:t>
      </w:r>
    </w:p>
    <w:p>
      <w:pPr>
        <w:adjustRightInd w:val="0"/>
        <w:snapToGrid w:val="0"/>
        <w:spacing w:line="360" w:lineRule="auto"/>
        <w:ind w:firstLine="480" w:firstLineChars="200"/>
        <w:rPr>
          <w:rFonts w:hAnsi="宋体"/>
          <w:sz w:val="24"/>
        </w:rPr>
      </w:pPr>
      <w:r>
        <w:rPr>
          <w:rFonts w:hint="eastAsia" w:hAnsi="宋体"/>
          <w:sz w:val="24"/>
        </w:rPr>
        <w:t>客户服务电话：95558</w:t>
      </w:r>
    </w:p>
    <w:p>
      <w:pPr>
        <w:adjustRightInd w:val="0"/>
        <w:snapToGrid w:val="0"/>
        <w:spacing w:line="360" w:lineRule="auto"/>
        <w:ind w:firstLine="480" w:firstLineChars="200"/>
        <w:rPr>
          <w:rFonts w:hAnsi="宋体"/>
          <w:kern w:val="0"/>
          <w:sz w:val="24"/>
        </w:rPr>
      </w:pPr>
      <w:r>
        <w:rPr>
          <w:rFonts w:hint="eastAsia" w:hAnsi="宋体"/>
          <w:sz w:val="24"/>
        </w:rPr>
        <w:t>网址：bank.ecitic.com</w:t>
      </w:r>
    </w:p>
    <w:p>
      <w:pPr>
        <w:adjustRightInd w:val="0"/>
        <w:snapToGrid w:val="0"/>
        <w:spacing w:line="360" w:lineRule="auto"/>
        <w:ind w:firstLine="480" w:firstLineChars="200"/>
        <w:rPr>
          <w:rFonts w:hAnsi="宋体"/>
          <w:kern w:val="0"/>
          <w:sz w:val="24"/>
        </w:rPr>
      </w:pPr>
      <w:r>
        <w:rPr>
          <w:rFonts w:hint="eastAsia" w:hAnsi="宋体"/>
          <w:kern w:val="0"/>
          <w:sz w:val="24"/>
        </w:rPr>
        <w:t>（2）交通银行股份有限公司</w:t>
      </w:r>
    </w:p>
    <w:p>
      <w:pPr>
        <w:adjustRightInd w:val="0"/>
        <w:snapToGrid w:val="0"/>
        <w:spacing w:line="360" w:lineRule="auto"/>
        <w:ind w:firstLine="480" w:firstLineChars="200"/>
        <w:rPr>
          <w:rFonts w:hAnsi="宋体"/>
          <w:kern w:val="0"/>
          <w:sz w:val="24"/>
        </w:rPr>
      </w:pPr>
      <w:r>
        <w:rPr>
          <w:rFonts w:hint="eastAsia" w:hAnsi="宋体"/>
          <w:kern w:val="0"/>
          <w:sz w:val="24"/>
        </w:rPr>
        <w:t>住所：上海市浦东新区银城中路188号</w:t>
      </w:r>
    </w:p>
    <w:p>
      <w:pPr>
        <w:adjustRightInd w:val="0"/>
        <w:snapToGrid w:val="0"/>
        <w:spacing w:line="360" w:lineRule="auto"/>
        <w:ind w:firstLine="480" w:firstLineChars="200"/>
        <w:rPr>
          <w:rFonts w:hAnsi="宋体"/>
          <w:kern w:val="0"/>
          <w:sz w:val="24"/>
        </w:rPr>
      </w:pPr>
      <w:r>
        <w:rPr>
          <w:rFonts w:hint="eastAsia" w:hAnsi="宋体"/>
          <w:kern w:val="0"/>
          <w:sz w:val="24"/>
        </w:rPr>
        <w:t>办公地址：上海市浦东新区银城中路188号</w:t>
      </w:r>
    </w:p>
    <w:p>
      <w:pPr>
        <w:adjustRightInd w:val="0"/>
        <w:snapToGrid w:val="0"/>
        <w:spacing w:line="360" w:lineRule="auto"/>
        <w:ind w:firstLine="480" w:firstLineChars="200"/>
        <w:rPr>
          <w:rFonts w:hAnsi="宋体"/>
          <w:kern w:val="0"/>
          <w:sz w:val="24"/>
        </w:rPr>
      </w:pPr>
      <w:r>
        <w:rPr>
          <w:rFonts w:hint="eastAsia" w:hAnsi="宋体"/>
          <w:kern w:val="0"/>
          <w:sz w:val="24"/>
        </w:rPr>
        <w:t>法定代表人：任德奇</w:t>
      </w:r>
    </w:p>
    <w:p>
      <w:pPr>
        <w:adjustRightInd w:val="0"/>
        <w:snapToGrid w:val="0"/>
        <w:spacing w:line="360" w:lineRule="auto"/>
        <w:ind w:firstLine="480" w:firstLineChars="200"/>
        <w:rPr>
          <w:rFonts w:hAnsi="宋体"/>
          <w:kern w:val="0"/>
          <w:sz w:val="24"/>
        </w:rPr>
      </w:pPr>
      <w:r>
        <w:rPr>
          <w:rFonts w:hint="eastAsia" w:hAnsi="宋体"/>
          <w:kern w:val="0"/>
          <w:sz w:val="24"/>
        </w:rPr>
        <w:t>电话：（021）58781234</w:t>
      </w:r>
    </w:p>
    <w:p>
      <w:pPr>
        <w:adjustRightInd w:val="0"/>
        <w:snapToGrid w:val="0"/>
        <w:spacing w:line="360" w:lineRule="auto"/>
        <w:ind w:firstLine="480" w:firstLineChars="200"/>
        <w:rPr>
          <w:rFonts w:hAnsi="宋体"/>
          <w:kern w:val="0"/>
          <w:sz w:val="24"/>
        </w:rPr>
      </w:pPr>
      <w:r>
        <w:rPr>
          <w:rFonts w:hint="eastAsia" w:hAnsi="宋体"/>
          <w:kern w:val="0"/>
          <w:sz w:val="24"/>
        </w:rPr>
        <w:t xml:space="preserve">传真：（021）58408483     </w:t>
      </w:r>
    </w:p>
    <w:p>
      <w:pPr>
        <w:adjustRightInd w:val="0"/>
        <w:snapToGrid w:val="0"/>
        <w:spacing w:line="360" w:lineRule="auto"/>
        <w:ind w:firstLine="480" w:firstLineChars="200"/>
        <w:rPr>
          <w:rFonts w:hAnsi="宋体"/>
          <w:kern w:val="0"/>
          <w:sz w:val="24"/>
        </w:rPr>
      </w:pPr>
      <w:r>
        <w:rPr>
          <w:rFonts w:hint="eastAsia" w:hAnsi="宋体"/>
          <w:kern w:val="0"/>
          <w:sz w:val="24"/>
        </w:rPr>
        <w:t>联系人：范瑞波</w:t>
      </w:r>
    </w:p>
    <w:p>
      <w:pPr>
        <w:adjustRightInd w:val="0"/>
        <w:snapToGrid w:val="0"/>
        <w:spacing w:line="360" w:lineRule="auto"/>
        <w:ind w:firstLine="480" w:firstLineChars="200"/>
        <w:rPr>
          <w:rFonts w:hAnsi="宋体"/>
          <w:kern w:val="0"/>
          <w:sz w:val="24"/>
        </w:rPr>
      </w:pPr>
      <w:r>
        <w:rPr>
          <w:rFonts w:hint="eastAsia" w:hAnsi="宋体"/>
          <w:kern w:val="0"/>
          <w:sz w:val="24"/>
        </w:rPr>
        <w:t>客户服务电话：95559</w:t>
      </w:r>
    </w:p>
    <w:p>
      <w:pPr>
        <w:adjustRightInd w:val="0"/>
        <w:snapToGrid w:val="0"/>
        <w:spacing w:line="360" w:lineRule="auto"/>
        <w:ind w:firstLine="480" w:firstLineChars="200"/>
        <w:rPr>
          <w:rFonts w:hAnsi="宋体"/>
          <w:kern w:val="0"/>
          <w:sz w:val="24"/>
        </w:rPr>
      </w:pPr>
      <w:r>
        <w:rPr>
          <w:rFonts w:hint="eastAsia" w:hAnsi="宋体"/>
          <w:kern w:val="0"/>
          <w:sz w:val="24"/>
        </w:rPr>
        <w:t>网址：</w:t>
      </w:r>
      <w:r>
        <w:rPr>
          <w:rFonts w:hint="eastAsia" w:hAnsi="宋体"/>
          <w:kern w:val="0"/>
          <w:sz w:val="24"/>
        </w:rPr>
        <w:fldChar w:fldCharType="begin"/>
      </w:r>
      <w:r>
        <w:rPr>
          <w:rFonts w:hint="eastAsia" w:hAnsi="宋体"/>
          <w:kern w:val="0"/>
          <w:sz w:val="24"/>
        </w:rPr>
        <w:instrText xml:space="preserve"> HYPERLINK "http://www.bankcomm.com" </w:instrText>
      </w:r>
      <w:r>
        <w:rPr>
          <w:rFonts w:hint="eastAsia" w:hAnsi="宋体"/>
          <w:kern w:val="0"/>
          <w:sz w:val="24"/>
        </w:rPr>
        <w:fldChar w:fldCharType="separate"/>
      </w:r>
      <w:r>
        <w:rPr>
          <w:rStyle w:val="30"/>
          <w:rFonts w:hint="eastAsia" w:hAnsi="宋体"/>
          <w:kern w:val="0"/>
          <w:sz w:val="24"/>
        </w:rPr>
        <w:t>www.bankcomm.com</w:t>
      </w:r>
      <w:r>
        <w:rPr>
          <w:rStyle w:val="30"/>
          <w:rFonts w:hint="eastAsia" w:hAnsi="宋体"/>
          <w:kern w:val="0"/>
          <w:sz w:val="24"/>
        </w:rPr>
        <w:fldChar w:fldCharType="end"/>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w:t>
      </w:r>
      <w:r>
        <w:rPr>
          <w:rFonts w:hAnsi="宋体"/>
          <w:kern w:val="0"/>
          <w:sz w:val="24"/>
        </w:rPr>
        <w:t>，</w:t>
      </w:r>
      <w:r>
        <w:rPr>
          <w:rFonts w:hint="eastAsia" w:hAnsi="宋体"/>
          <w:kern w:val="0"/>
          <w:sz w:val="24"/>
        </w:rPr>
        <w:t>并在基金管理人网站公示</w:t>
      </w:r>
      <w:r>
        <w:rPr>
          <w:rFonts w:hint="eastAsia" w:hAnsi="宋体"/>
          <w:sz w:val="24"/>
        </w:rPr>
        <w:t>。</w:t>
      </w:r>
    </w:p>
    <w:p>
      <w:pPr>
        <w:widowControl/>
        <w:adjustRightInd w:val="0"/>
        <w:snapToGrid w:val="0"/>
        <w:spacing w:line="360" w:lineRule="auto"/>
        <w:ind w:firstLine="482" w:firstLineChars="200"/>
        <w:outlineLvl w:val="1"/>
        <w:rPr>
          <w:b/>
          <w:kern w:val="0"/>
          <w:sz w:val="24"/>
        </w:rPr>
      </w:pPr>
      <w:r>
        <w:rPr>
          <w:rFonts w:hAnsi="宋体"/>
          <w:b/>
          <w:kern w:val="0"/>
          <w:sz w:val="24"/>
        </w:rPr>
        <w:t>（二）登记机构</w:t>
      </w:r>
    </w:p>
    <w:p>
      <w:pPr>
        <w:adjustRightInd w:val="0"/>
        <w:snapToGrid w:val="0"/>
        <w:spacing w:line="360" w:lineRule="auto"/>
        <w:ind w:firstLine="480" w:firstLineChars="200"/>
        <w:rPr>
          <w:kern w:val="0"/>
          <w:sz w:val="24"/>
        </w:rPr>
      </w:pPr>
      <w:r>
        <w:rPr>
          <w:rFonts w:hAnsi="宋体"/>
          <w:kern w:val="0"/>
          <w:sz w:val="24"/>
        </w:rPr>
        <w:t>名称：中国证券登记结算有限责任公司</w:t>
      </w:r>
    </w:p>
    <w:p>
      <w:pPr>
        <w:adjustRightInd w:val="0"/>
        <w:snapToGrid w:val="0"/>
        <w:spacing w:line="360" w:lineRule="auto"/>
        <w:ind w:firstLine="480" w:firstLineChars="200"/>
        <w:rPr>
          <w:kern w:val="0"/>
          <w:sz w:val="24"/>
        </w:rPr>
      </w:pPr>
      <w:r>
        <w:rPr>
          <w:rFonts w:hAnsi="宋体"/>
          <w:kern w:val="0"/>
          <w:sz w:val="24"/>
        </w:rPr>
        <w:t>住所：北京市西城区太平桥大街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办公地址：北京市西城区太平桥大街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周明</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pPr>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赵亦清</w:t>
      </w:r>
    </w:p>
    <w:p>
      <w:pPr>
        <w:widowControl/>
        <w:adjustRightInd w:val="0"/>
        <w:snapToGrid w:val="0"/>
        <w:spacing w:line="360" w:lineRule="auto"/>
        <w:ind w:firstLine="482" w:firstLineChars="200"/>
        <w:outlineLvl w:val="1"/>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经办律师：黎明</w:t>
      </w:r>
      <w:r>
        <w:rPr>
          <w:rFonts w:hint="eastAsia" w:hAnsi="宋体"/>
          <w:kern w:val="0"/>
          <w:sz w:val="24"/>
        </w:rPr>
        <w:t>、丁媛</w:t>
      </w:r>
    </w:p>
    <w:p>
      <w:pPr>
        <w:widowControl/>
        <w:adjustRightInd w:val="0"/>
        <w:snapToGrid w:val="0"/>
        <w:spacing w:line="360" w:lineRule="auto"/>
        <w:ind w:firstLine="482" w:firstLineChars="200"/>
        <w:outlineLvl w:val="1"/>
        <w:rPr>
          <w:b/>
          <w:kern w:val="0"/>
          <w:sz w:val="24"/>
        </w:rPr>
      </w:pPr>
      <w:r>
        <w:rPr>
          <w:rFonts w:hAnsi="宋体"/>
          <w:b/>
          <w:kern w:val="0"/>
          <w:sz w:val="24"/>
        </w:rPr>
        <w:t>（四）审计基金财产的会计师事务所</w:t>
      </w:r>
    </w:p>
    <w:p>
      <w:pPr>
        <w:widowControl/>
        <w:adjustRightInd w:val="0"/>
        <w:snapToGrid w:val="0"/>
        <w:spacing w:line="360" w:lineRule="auto"/>
        <w:ind w:firstLine="480" w:firstLineChars="200"/>
        <w:rPr>
          <w:rFonts w:hAnsi="宋体"/>
          <w:kern w:val="0"/>
          <w:sz w:val="24"/>
        </w:rPr>
      </w:pPr>
      <w:r>
        <w:rPr>
          <w:rFonts w:hint="eastAsia" w:hAnsi="宋体"/>
          <w:kern w:val="0"/>
          <w:sz w:val="24"/>
        </w:rPr>
        <w:t>名称：普华永道中天会计师事务所（特殊普通合伙）</w:t>
      </w:r>
    </w:p>
    <w:p>
      <w:pPr>
        <w:widowControl/>
        <w:adjustRightInd w:val="0"/>
        <w:snapToGrid w:val="0"/>
        <w:spacing w:line="360" w:lineRule="auto"/>
        <w:ind w:firstLine="480" w:firstLineChars="200"/>
        <w:rPr>
          <w:rFonts w:hAnsi="宋体"/>
          <w:kern w:val="0"/>
          <w:sz w:val="24"/>
        </w:rPr>
      </w:pPr>
      <w:r>
        <w:rPr>
          <w:rFonts w:hint="eastAsia" w:hAnsi="宋体"/>
          <w:kern w:val="0"/>
          <w:sz w:val="24"/>
        </w:rPr>
        <w:t>住所：中国(上海)自由贸易试验区陆家嘴环路1318号星展银行大厦507单元01室</w:t>
      </w:r>
    </w:p>
    <w:p>
      <w:pPr>
        <w:widowControl/>
        <w:adjustRightInd w:val="0"/>
        <w:snapToGrid w:val="0"/>
        <w:spacing w:line="360" w:lineRule="auto"/>
        <w:ind w:firstLine="480" w:firstLineChars="200"/>
        <w:rPr>
          <w:rFonts w:hAnsi="宋体"/>
          <w:kern w:val="0"/>
          <w:sz w:val="24"/>
        </w:rPr>
      </w:pPr>
      <w:r>
        <w:rPr>
          <w:rFonts w:hint="eastAsia" w:hAnsi="宋体"/>
          <w:kern w:val="0"/>
          <w:sz w:val="24"/>
        </w:rPr>
        <w:t>办公地址：中国上海市黄浦区湖滨路202号领展企业广场二座普华永道中心11楼</w:t>
      </w:r>
    </w:p>
    <w:p>
      <w:pPr>
        <w:widowControl/>
        <w:adjustRightInd w:val="0"/>
        <w:snapToGrid w:val="0"/>
        <w:spacing w:line="360" w:lineRule="auto"/>
        <w:ind w:firstLine="480" w:firstLineChars="200"/>
        <w:rPr>
          <w:rFonts w:hAnsi="宋体"/>
          <w:kern w:val="0"/>
          <w:sz w:val="24"/>
        </w:rPr>
      </w:pPr>
      <w:r>
        <w:rPr>
          <w:rFonts w:hint="eastAsia" w:hAnsi="宋体"/>
          <w:kern w:val="0"/>
          <w:sz w:val="24"/>
        </w:rPr>
        <w:t>执行事务合伙人：李丹</w:t>
      </w:r>
    </w:p>
    <w:p>
      <w:pPr>
        <w:widowControl/>
        <w:adjustRightInd w:val="0"/>
        <w:snapToGrid w:val="0"/>
        <w:spacing w:line="360" w:lineRule="auto"/>
        <w:ind w:firstLine="480" w:firstLineChars="200"/>
        <w:rPr>
          <w:rFonts w:hAnsi="宋体"/>
          <w:kern w:val="0"/>
          <w:sz w:val="24"/>
        </w:rPr>
      </w:pPr>
      <w:r>
        <w:rPr>
          <w:rFonts w:hint="eastAsia" w:hAnsi="宋体"/>
          <w:kern w:val="0"/>
          <w:sz w:val="24"/>
        </w:rPr>
        <w:t>电话：（021）23238888</w:t>
      </w:r>
    </w:p>
    <w:p>
      <w:pPr>
        <w:widowControl/>
        <w:adjustRightInd w:val="0"/>
        <w:snapToGrid w:val="0"/>
        <w:spacing w:line="360" w:lineRule="auto"/>
        <w:ind w:firstLine="480" w:firstLineChars="200"/>
        <w:rPr>
          <w:rFonts w:hAnsi="宋体"/>
          <w:kern w:val="0"/>
          <w:sz w:val="24"/>
        </w:rPr>
      </w:pPr>
      <w:r>
        <w:rPr>
          <w:rFonts w:hint="eastAsia" w:hAnsi="宋体"/>
          <w:kern w:val="0"/>
          <w:sz w:val="24"/>
        </w:rPr>
        <w:t>传真：（021）23238800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联系人：金诗涛</w:t>
      </w:r>
    </w:p>
    <w:p>
      <w:pPr>
        <w:adjustRightInd w:val="0"/>
        <w:snapToGrid w:val="0"/>
        <w:spacing w:line="360" w:lineRule="auto"/>
        <w:ind w:firstLine="480" w:firstLineChars="200"/>
        <w:rPr>
          <w:rFonts w:ascii="宋体" w:hAnsi="宋体"/>
          <w:b/>
          <w:kern w:val="0"/>
          <w:sz w:val="30"/>
        </w:rPr>
      </w:pPr>
      <w:r>
        <w:rPr>
          <w:rFonts w:hint="eastAsia" w:hAnsi="宋体"/>
          <w:kern w:val="0"/>
          <w:sz w:val="24"/>
        </w:rPr>
        <w:t>经办注册会计师：童咏静、金诗涛</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2" w:name="_Toc62202544"/>
      <w:r>
        <w:rPr>
          <w:rFonts w:hint="eastAsia" w:ascii="宋体" w:hAnsi="宋体"/>
          <w:b/>
          <w:kern w:val="0"/>
          <w:sz w:val="30"/>
        </w:rPr>
        <w:t>六、基金的募集</w:t>
      </w:r>
      <w:bookmarkEnd w:id="12"/>
    </w:p>
    <w:p>
      <w:pPr>
        <w:widowControl/>
        <w:adjustRightInd w:val="0"/>
        <w:snapToGrid w:val="0"/>
        <w:spacing w:line="360" w:lineRule="auto"/>
        <w:ind w:firstLine="482" w:firstLineChars="200"/>
        <w:outlineLvl w:val="1"/>
        <w:rPr>
          <w:b/>
          <w:kern w:val="0"/>
          <w:sz w:val="24"/>
        </w:rPr>
      </w:pPr>
      <w:r>
        <w:rPr>
          <w:b/>
          <w:kern w:val="0"/>
          <w:sz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基金合同及其他有关规定，并经中国证监会202</w:t>
      </w:r>
      <w:r>
        <w:rPr>
          <w:rFonts w:hint="eastAsia"/>
          <w:kern w:val="0"/>
          <w:sz w:val="24"/>
        </w:rPr>
        <w:t>1年6月8日证监许可【</w:t>
      </w:r>
      <w:r>
        <w:rPr>
          <w:kern w:val="0"/>
          <w:sz w:val="24"/>
        </w:rPr>
        <w:t>202</w:t>
      </w:r>
      <w:r>
        <w:rPr>
          <w:rFonts w:hint="eastAsia"/>
          <w:kern w:val="0"/>
          <w:sz w:val="24"/>
        </w:rPr>
        <w:t>1】2007号文准予</w:t>
      </w:r>
      <w:r>
        <w:rPr>
          <w:kern w:val="0"/>
          <w:sz w:val="24"/>
        </w:rPr>
        <w:t>募集</w:t>
      </w:r>
      <w:r>
        <w:rPr>
          <w:rFonts w:hint="eastAsia"/>
          <w:kern w:val="0"/>
          <w:sz w:val="24"/>
        </w:rPr>
        <w:t>注册</w:t>
      </w:r>
      <w:r>
        <w:rPr>
          <w:kern w:val="0"/>
          <w:sz w:val="24"/>
        </w:rPr>
        <w:t>。</w:t>
      </w:r>
    </w:p>
    <w:p>
      <w:pPr>
        <w:widowControl/>
        <w:adjustRightInd w:val="0"/>
        <w:snapToGrid w:val="0"/>
        <w:spacing w:line="360" w:lineRule="auto"/>
        <w:ind w:firstLine="482" w:firstLineChars="200"/>
        <w:outlineLvl w:val="1"/>
        <w:rPr>
          <w:b/>
          <w:kern w:val="0"/>
          <w:sz w:val="24"/>
        </w:rPr>
      </w:pPr>
      <w:r>
        <w:rPr>
          <w:b/>
          <w:kern w:val="0"/>
          <w:sz w:val="24"/>
        </w:rPr>
        <w:t>（二）基金类</w:t>
      </w:r>
      <w:r>
        <w:rPr>
          <w:rFonts w:hint="eastAsia"/>
          <w:b/>
          <w:kern w:val="0"/>
          <w:sz w:val="24"/>
        </w:rPr>
        <w:t>别</w:t>
      </w:r>
    </w:p>
    <w:p>
      <w:pPr>
        <w:widowControl/>
        <w:adjustRightInd w:val="0"/>
        <w:snapToGrid w:val="0"/>
        <w:spacing w:line="360" w:lineRule="auto"/>
        <w:ind w:firstLine="480" w:firstLineChars="200"/>
        <w:rPr>
          <w:kern w:val="0"/>
          <w:sz w:val="24"/>
        </w:rPr>
      </w:pPr>
      <w:r>
        <w:rPr>
          <w:kern w:val="0"/>
          <w:sz w:val="24"/>
        </w:rPr>
        <w:t>混合型</w:t>
      </w:r>
      <w:r>
        <w:rPr>
          <w:rFonts w:hint="eastAsia"/>
          <w:kern w:val="0"/>
          <w:sz w:val="24"/>
        </w:rPr>
        <w:t>证券投资</w:t>
      </w:r>
      <w:r>
        <w:rPr>
          <w:kern w:val="0"/>
          <w:sz w:val="24"/>
        </w:rPr>
        <w:t>基金</w:t>
      </w:r>
    </w:p>
    <w:p>
      <w:pPr>
        <w:widowControl/>
        <w:adjustRightInd w:val="0"/>
        <w:snapToGrid w:val="0"/>
        <w:spacing w:line="360" w:lineRule="auto"/>
        <w:ind w:firstLine="482" w:firstLineChars="200"/>
        <w:outlineLvl w:val="1"/>
        <w:rPr>
          <w:b/>
          <w:kern w:val="0"/>
          <w:sz w:val="24"/>
        </w:rPr>
      </w:pPr>
      <w:r>
        <w:rPr>
          <w:b/>
          <w:kern w:val="0"/>
          <w:sz w:val="24"/>
        </w:rPr>
        <w:t>（三）基金运作方式</w:t>
      </w:r>
    </w:p>
    <w:p>
      <w:pPr>
        <w:widowControl/>
        <w:adjustRightInd w:val="0"/>
        <w:snapToGrid w:val="0"/>
        <w:spacing w:line="360" w:lineRule="auto"/>
        <w:ind w:firstLine="480"/>
        <w:rPr>
          <w:kern w:val="0"/>
          <w:sz w:val="24"/>
        </w:rPr>
      </w:pPr>
      <w:r>
        <w:rPr>
          <w:kern w:val="0"/>
          <w:sz w:val="24"/>
        </w:rPr>
        <w:t>契约型开放式</w:t>
      </w:r>
    </w:p>
    <w:p>
      <w:pPr>
        <w:widowControl/>
        <w:adjustRightInd w:val="0"/>
        <w:snapToGrid w:val="0"/>
        <w:spacing w:line="360" w:lineRule="auto"/>
        <w:ind w:firstLine="480"/>
        <w:rPr>
          <w:kern w:val="0"/>
          <w:sz w:val="24"/>
        </w:rPr>
      </w:pPr>
      <w:r>
        <w:rPr>
          <w:rFonts w:hint="eastAsia"/>
          <w:kern w:val="0"/>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pPr>
        <w:widowControl/>
        <w:adjustRightInd w:val="0"/>
        <w:snapToGrid w:val="0"/>
        <w:spacing w:line="360" w:lineRule="auto"/>
        <w:ind w:firstLine="482" w:firstLineChars="200"/>
        <w:outlineLvl w:val="1"/>
        <w:rPr>
          <w:b/>
          <w:kern w:val="0"/>
          <w:sz w:val="24"/>
        </w:rPr>
      </w:pPr>
      <w:r>
        <w:rPr>
          <w:b/>
          <w:kern w:val="0"/>
          <w:sz w:val="24"/>
        </w:rPr>
        <w:t>（四）基金存续期限</w:t>
      </w:r>
    </w:p>
    <w:p>
      <w:pPr>
        <w:widowControl/>
        <w:adjustRightInd w:val="0"/>
        <w:snapToGrid w:val="0"/>
        <w:spacing w:line="360" w:lineRule="auto"/>
        <w:ind w:firstLine="480" w:firstLineChars="200"/>
        <w:rPr>
          <w:kern w:val="0"/>
          <w:sz w:val="24"/>
        </w:rPr>
      </w:pPr>
      <w:r>
        <w:rPr>
          <w:kern w:val="0"/>
          <w:sz w:val="24"/>
        </w:rPr>
        <w:t>不定期</w:t>
      </w:r>
    </w:p>
    <w:p>
      <w:pPr>
        <w:widowControl/>
        <w:adjustRightInd w:val="0"/>
        <w:snapToGrid w:val="0"/>
        <w:spacing w:line="360" w:lineRule="auto"/>
        <w:ind w:firstLine="482" w:firstLineChars="200"/>
        <w:outlineLvl w:val="1"/>
        <w:rPr>
          <w:b/>
          <w:kern w:val="0"/>
          <w:sz w:val="24"/>
        </w:rPr>
      </w:pPr>
      <w:r>
        <w:rPr>
          <w:b/>
          <w:kern w:val="0"/>
          <w:sz w:val="24"/>
        </w:rPr>
        <w:t>（五）</w:t>
      </w:r>
      <w:r>
        <w:rPr>
          <w:rFonts w:hint="eastAsia"/>
          <w:b/>
          <w:kern w:val="0"/>
          <w:sz w:val="24"/>
        </w:rPr>
        <w:t>基金份额类别</w:t>
      </w:r>
    </w:p>
    <w:p>
      <w:pPr>
        <w:widowControl/>
        <w:adjustRightInd w:val="0"/>
        <w:snapToGrid w:val="0"/>
        <w:spacing w:line="360" w:lineRule="auto"/>
        <w:ind w:firstLine="480" w:firstLineChars="200"/>
        <w:rPr>
          <w:kern w:val="0"/>
          <w:sz w:val="24"/>
        </w:rPr>
      </w:pPr>
      <w:r>
        <w:rPr>
          <w:rFonts w:hint="eastAsia"/>
          <w:kern w:val="0"/>
          <w:sz w:val="24"/>
        </w:rPr>
        <w:t>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w:t>
      </w:r>
    </w:p>
    <w:p>
      <w:pPr>
        <w:widowControl/>
        <w:adjustRightInd w:val="0"/>
        <w:snapToGrid w:val="0"/>
        <w:spacing w:line="360" w:lineRule="auto"/>
        <w:ind w:firstLine="480" w:firstLineChars="200"/>
        <w:rPr>
          <w:kern w:val="0"/>
          <w:sz w:val="24"/>
        </w:rPr>
      </w:pPr>
      <w:r>
        <w:rPr>
          <w:rFonts w:hint="eastAsia"/>
          <w:kern w:val="0"/>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widowControl/>
        <w:adjustRightInd w:val="0"/>
        <w:snapToGrid w:val="0"/>
        <w:spacing w:line="360" w:lineRule="auto"/>
        <w:ind w:firstLine="480" w:firstLineChars="200"/>
        <w:rPr>
          <w:kern w:val="0"/>
          <w:sz w:val="24"/>
        </w:rPr>
      </w:pPr>
      <w:r>
        <w:rPr>
          <w:rFonts w:hint="eastAsia"/>
          <w:kern w:val="0"/>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pPr>
        <w:widowControl/>
        <w:adjustRightInd w:val="0"/>
        <w:snapToGrid w:val="0"/>
        <w:spacing w:line="360" w:lineRule="auto"/>
        <w:ind w:firstLine="482" w:firstLineChars="200"/>
        <w:outlineLvl w:val="1"/>
        <w:rPr>
          <w:b/>
          <w:kern w:val="0"/>
          <w:sz w:val="24"/>
        </w:rPr>
      </w:pPr>
      <w:r>
        <w:rPr>
          <w:rFonts w:hint="eastAsia"/>
          <w:b/>
          <w:kern w:val="0"/>
          <w:sz w:val="24"/>
        </w:rPr>
        <w:t>（六</w:t>
      </w:r>
      <w:r>
        <w:rPr>
          <w:b/>
          <w:kern w:val="0"/>
          <w:sz w:val="24"/>
        </w:rPr>
        <w:t>）基金份额的认购</w:t>
      </w:r>
    </w:p>
    <w:p>
      <w:pPr>
        <w:adjustRightInd w:val="0"/>
        <w:snapToGrid w:val="0"/>
        <w:spacing w:line="360" w:lineRule="auto"/>
        <w:ind w:firstLine="480" w:firstLineChars="200"/>
        <w:rPr>
          <w:i/>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网上直销交易平台办理开户和本基金的认购业务。除法律法规或中国证监会另有规定外，任何与基金份额发售有关的当事人不得预留和提前发售基金份额。</w:t>
      </w:r>
    </w:p>
    <w:p>
      <w:pPr>
        <w:spacing w:line="360" w:lineRule="auto"/>
        <w:ind w:firstLine="480" w:firstLineChars="200"/>
        <w:outlineLvl w:val="2"/>
        <w:rPr>
          <w:kern w:val="0"/>
          <w:sz w:val="24"/>
        </w:rPr>
      </w:pPr>
      <w:r>
        <w:rPr>
          <w:kern w:val="0"/>
          <w:sz w:val="24"/>
        </w:rPr>
        <w:t>1、基金份额的发售时间、方式和对象</w:t>
      </w:r>
    </w:p>
    <w:p>
      <w:pPr>
        <w:widowControl/>
        <w:adjustRightInd w:val="0"/>
        <w:snapToGrid w:val="0"/>
        <w:spacing w:line="360" w:lineRule="auto"/>
        <w:ind w:firstLine="480" w:firstLineChars="200"/>
        <w:rPr>
          <w:kern w:val="0"/>
          <w:sz w:val="24"/>
        </w:rPr>
      </w:pPr>
      <w:r>
        <w:rPr>
          <w:kern w:val="0"/>
          <w:sz w:val="24"/>
        </w:rPr>
        <w:t>（1）募集期限：自基金份额发售之日起不超过3个月。本</w:t>
      </w:r>
      <w:r>
        <w:rPr>
          <w:rFonts w:hAnsi="宋体"/>
          <w:kern w:val="0"/>
          <w:sz w:val="24"/>
        </w:rPr>
        <w:t>基金自</w:t>
      </w:r>
      <w:r>
        <w:rPr>
          <w:rFonts w:hint="eastAsia"/>
          <w:kern w:val="0"/>
          <w:sz w:val="24"/>
        </w:rPr>
        <w:t>2021年7月28日</w:t>
      </w:r>
      <w:r>
        <w:rPr>
          <w:rFonts w:hAnsi="宋体"/>
          <w:kern w:val="0"/>
          <w:sz w:val="24"/>
        </w:rPr>
        <w:t>起至</w:t>
      </w:r>
      <w:r>
        <w:rPr>
          <w:rFonts w:hint="eastAsia"/>
          <w:kern w:val="0"/>
          <w:sz w:val="24"/>
        </w:rPr>
        <w:t>2021年8月3日</w:t>
      </w:r>
      <w:r>
        <w:rPr>
          <w:kern w:val="0"/>
          <w:sz w:val="24"/>
        </w:rPr>
        <w:t>止通过销售机构公开发售（详见基金份额发售公告及</w:t>
      </w:r>
      <w:r>
        <w:rPr>
          <w:rFonts w:hint="eastAsia"/>
          <w:kern w:val="0"/>
          <w:sz w:val="24"/>
        </w:rPr>
        <w:t>销售</w:t>
      </w:r>
      <w:r>
        <w:rPr>
          <w:kern w:val="0"/>
          <w:sz w:val="24"/>
        </w:rPr>
        <w:t>机构相关公告）。</w:t>
      </w:r>
      <w:r>
        <w:rPr>
          <w:rFonts w:hint="eastAsia"/>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widowControl/>
        <w:adjustRightInd w:val="0"/>
        <w:snapToGrid w:val="0"/>
        <w:spacing w:line="360" w:lineRule="auto"/>
        <w:ind w:firstLine="480" w:firstLineChars="200"/>
        <w:rPr>
          <w:rStyle w:val="33"/>
          <w:color w:val="auto"/>
          <w:kern w:val="0"/>
          <w:sz w:val="24"/>
          <w:u w:val="none"/>
        </w:rPr>
      </w:pPr>
      <w:r>
        <w:rPr>
          <w:kern w:val="0"/>
          <w:sz w:val="24"/>
        </w:rPr>
        <w:t>（2）销售渠道：</w:t>
      </w:r>
      <w:r>
        <w:rPr>
          <w:rFonts w:hint="eastAsia"/>
          <w:kern w:val="0"/>
          <w:sz w:val="24"/>
        </w:rPr>
        <w:t>销售机构</w:t>
      </w:r>
      <w:r>
        <w:rPr>
          <w:kern w:val="0"/>
          <w:sz w:val="24"/>
        </w:rPr>
        <w:t>具体名单见基金份额发售公告</w:t>
      </w:r>
      <w:r>
        <w:rPr>
          <w:rFonts w:hint="eastAsia"/>
          <w:kern w:val="0"/>
          <w:sz w:val="24"/>
        </w:rPr>
        <w:t>以及基金管理人网站</w:t>
      </w:r>
      <w:r>
        <w:rPr>
          <w:rStyle w:val="33"/>
          <w:color w:val="auto"/>
          <w:kern w:val="0"/>
          <w:sz w:val="24"/>
          <w:u w:val="none"/>
        </w:rPr>
        <w:t>。</w:t>
      </w:r>
    </w:p>
    <w:p>
      <w:pPr>
        <w:widowControl/>
        <w:adjustRightInd w:val="0"/>
        <w:snapToGrid w:val="0"/>
        <w:spacing w:line="360" w:lineRule="auto"/>
        <w:ind w:firstLine="480" w:firstLineChars="200"/>
        <w:rPr>
          <w:kern w:val="0"/>
          <w:sz w:val="24"/>
        </w:rPr>
      </w:pPr>
      <w:r>
        <w:rPr>
          <w:kern w:val="0"/>
          <w:sz w:val="24"/>
        </w:rPr>
        <w:t>（3）销售对象：符合法律法规规定的可投资于证券投资基金的个人投资者、机构投资者</w:t>
      </w:r>
      <w:r>
        <w:rPr>
          <w:rFonts w:hint="eastAsia"/>
          <w:kern w:val="0"/>
          <w:sz w:val="24"/>
        </w:rPr>
        <w:t>、</w:t>
      </w:r>
      <w:r>
        <w:rPr>
          <w:kern w:val="0"/>
          <w:sz w:val="24"/>
        </w:rPr>
        <w:t>合格境外</w:t>
      </w:r>
      <w:r>
        <w:rPr>
          <w:rFonts w:hint="eastAsia"/>
          <w:kern w:val="0"/>
          <w:sz w:val="24"/>
        </w:rPr>
        <w:t>投资者</w:t>
      </w:r>
      <w:r>
        <w:rPr>
          <w:kern w:val="0"/>
          <w:sz w:val="24"/>
        </w:rPr>
        <w:t>以及法律法规或中国证监会允许购买证券投资基金的其他投资人。</w:t>
      </w:r>
    </w:p>
    <w:p>
      <w:pPr>
        <w:adjustRightInd w:val="0"/>
        <w:snapToGrid w:val="0"/>
        <w:spacing w:line="360" w:lineRule="auto"/>
        <w:ind w:firstLine="480" w:firstLineChars="200"/>
        <w:outlineLvl w:val="2"/>
        <w:rPr>
          <w:kern w:val="0"/>
          <w:sz w:val="24"/>
        </w:rPr>
      </w:pPr>
      <w:r>
        <w:rPr>
          <w:kern w:val="0"/>
          <w:sz w:val="24"/>
        </w:rPr>
        <w:t>2、基金份额的认购和持有限制</w:t>
      </w:r>
    </w:p>
    <w:p>
      <w:pPr>
        <w:widowControl/>
        <w:adjustRightInd w:val="0"/>
        <w:snapToGrid w:val="0"/>
        <w:spacing w:line="360" w:lineRule="auto"/>
        <w:ind w:firstLine="480" w:firstLineChars="200"/>
        <w:rPr>
          <w:kern w:val="0"/>
          <w:sz w:val="24"/>
        </w:rPr>
      </w:pPr>
      <w:r>
        <w:rPr>
          <w:kern w:val="0"/>
          <w:sz w:val="24"/>
        </w:rPr>
        <w:t>（1）</w:t>
      </w:r>
      <w:r>
        <w:rPr>
          <w:sz w:val="24"/>
          <w:szCs w:val="21"/>
        </w:rPr>
        <w:t>基金份额的认购</w:t>
      </w:r>
      <w:r>
        <w:rPr>
          <w:kern w:val="0"/>
          <w:sz w:val="24"/>
        </w:rPr>
        <w:t>采用金额认购方式。</w:t>
      </w:r>
    </w:p>
    <w:p>
      <w:pPr>
        <w:widowControl/>
        <w:adjustRightInd w:val="0"/>
        <w:snapToGrid w:val="0"/>
        <w:spacing w:line="360" w:lineRule="auto"/>
        <w:ind w:firstLine="480" w:firstLineChars="200"/>
        <w:rPr>
          <w:kern w:val="0"/>
          <w:sz w:val="24"/>
        </w:rPr>
      </w:pPr>
      <w:r>
        <w:rPr>
          <w:kern w:val="0"/>
          <w:sz w:val="24"/>
        </w:rPr>
        <w:t>（2）投资人认购基金份额采用全额缴款的认购方式。</w:t>
      </w:r>
      <w:r>
        <w:rPr>
          <w:sz w:val="24"/>
          <w:szCs w:val="21"/>
        </w:rPr>
        <w:t>投资人认购</w:t>
      </w:r>
      <w:r>
        <w:rPr>
          <w:rFonts w:hint="eastAsia"/>
          <w:sz w:val="24"/>
          <w:szCs w:val="21"/>
        </w:rPr>
        <w:t>时</w:t>
      </w:r>
      <w:r>
        <w:rPr>
          <w:sz w:val="24"/>
          <w:szCs w:val="21"/>
        </w:rPr>
        <w:t>，需按销售机构规定的方式备足认购的金额。</w:t>
      </w:r>
    </w:p>
    <w:p>
      <w:pPr>
        <w:widowControl/>
        <w:adjustRightInd w:val="0"/>
        <w:snapToGrid w:val="0"/>
        <w:spacing w:line="360" w:lineRule="auto"/>
        <w:ind w:firstLine="480" w:firstLineChars="200"/>
        <w:rPr>
          <w:kern w:val="0"/>
          <w:sz w:val="24"/>
        </w:rPr>
      </w:pPr>
      <w:r>
        <w:rPr>
          <w:kern w:val="0"/>
          <w:sz w:val="24"/>
        </w:rPr>
        <w:t>（3）投资人在募集期内可以多次认购基金份额，认购</w:t>
      </w:r>
      <w:r>
        <w:rPr>
          <w:rFonts w:hint="eastAsia"/>
          <w:kern w:val="0"/>
          <w:sz w:val="24"/>
        </w:rPr>
        <w:t>申请</w:t>
      </w:r>
      <w:r>
        <w:rPr>
          <w:kern w:val="0"/>
          <w:sz w:val="24"/>
        </w:rPr>
        <w:t>一经登记机构受理不得撤销。</w:t>
      </w:r>
    </w:p>
    <w:p>
      <w:pPr>
        <w:widowControl/>
        <w:adjustRightInd w:val="0"/>
        <w:snapToGrid w:val="0"/>
        <w:spacing w:line="360" w:lineRule="auto"/>
        <w:ind w:firstLine="480" w:firstLineChars="200"/>
        <w:rPr>
          <w:kern w:val="0"/>
          <w:sz w:val="24"/>
        </w:rPr>
      </w:pPr>
      <w:r>
        <w:rPr>
          <w:kern w:val="0"/>
          <w:sz w:val="24"/>
        </w:rPr>
        <w:t>（4）直销机构接受首次认购申请的最低金额为单笔100,000元，追加认购的最低金额为单笔10,000元；已在直销机构有认购或申购过本基金管理人管理的其他基金记录的投资人不受首次认购最低金额的限制。通过</w:t>
      </w:r>
      <w:r>
        <w:rPr>
          <w:rFonts w:hint="eastAsia"/>
          <w:kern w:val="0"/>
          <w:sz w:val="24"/>
        </w:rPr>
        <w:t>基金管理人</w:t>
      </w:r>
      <w:r>
        <w:rPr>
          <w:kern w:val="0"/>
          <w:sz w:val="24"/>
        </w:rPr>
        <w:t>网上直销交易平台办理本基金认购业务的不受直销机构最低认购金额的限制，认购最低金额为单笔1元。本基金直销机构单笔认购最低金额可由基金管理人酌情调整。</w:t>
      </w:r>
      <w:r>
        <w:rPr>
          <w:rFonts w:hint="eastAsia"/>
          <w:kern w:val="0"/>
          <w:sz w:val="24"/>
        </w:rPr>
        <w:t>其他销售</w:t>
      </w:r>
      <w:r>
        <w:rPr>
          <w:kern w:val="0"/>
          <w:sz w:val="24"/>
        </w:rPr>
        <w:t>机构接受认购申请的最低金额为单笔1元，如果</w:t>
      </w:r>
      <w:r>
        <w:rPr>
          <w:rFonts w:hint="eastAsia"/>
          <w:kern w:val="0"/>
          <w:sz w:val="24"/>
        </w:rPr>
        <w:t>销售</w:t>
      </w:r>
      <w:r>
        <w:rPr>
          <w:kern w:val="0"/>
          <w:sz w:val="24"/>
        </w:rPr>
        <w:t>机构业务规则规定的最低单笔认购金额高于1元，以</w:t>
      </w:r>
      <w:r>
        <w:rPr>
          <w:rFonts w:hint="eastAsia"/>
          <w:kern w:val="0"/>
          <w:sz w:val="24"/>
        </w:rPr>
        <w:t>该销售</w:t>
      </w:r>
      <w:r>
        <w:rPr>
          <w:kern w:val="0"/>
          <w:sz w:val="24"/>
        </w:rPr>
        <w:t>机构的规定为准。</w:t>
      </w:r>
    </w:p>
    <w:p>
      <w:pPr>
        <w:widowControl/>
        <w:adjustRightInd w:val="0"/>
        <w:snapToGrid w:val="0"/>
        <w:spacing w:line="360" w:lineRule="auto"/>
        <w:ind w:firstLine="480" w:firstLineChars="200"/>
        <w:rPr>
          <w:kern w:val="0"/>
          <w:sz w:val="24"/>
        </w:rPr>
      </w:pPr>
      <w:r>
        <w:rPr>
          <w:kern w:val="0"/>
          <w:sz w:val="24"/>
        </w:rPr>
        <w:t>（5）</w:t>
      </w:r>
      <w:r>
        <w:rPr>
          <w:rFonts w:hint="eastAsia"/>
          <w:kern w:val="0"/>
          <w:sz w:val="24"/>
        </w:rPr>
        <w:t>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widowControl/>
        <w:adjustRightInd w:val="0"/>
        <w:snapToGrid w:val="0"/>
        <w:spacing w:line="360" w:lineRule="auto"/>
        <w:ind w:firstLine="480" w:firstLineChars="200"/>
        <w:outlineLvl w:val="2"/>
        <w:rPr>
          <w:kern w:val="0"/>
          <w:sz w:val="24"/>
        </w:rPr>
      </w:pPr>
      <w:r>
        <w:rPr>
          <w:kern w:val="0"/>
          <w:sz w:val="24"/>
        </w:rPr>
        <w:t>3、基金份额的认购费用、认购价格及认购份额的计算公式</w:t>
      </w:r>
    </w:p>
    <w:p>
      <w:pPr>
        <w:widowControl/>
        <w:adjustRightInd w:val="0"/>
        <w:snapToGrid w:val="0"/>
        <w:spacing w:line="360" w:lineRule="auto"/>
        <w:ind w:firstLine="480" w:firstLineChars="200"/>
        <w:rPr>
          <w:kern w:val="0"/>
          <w:sz w:val="24"/>
        </w:rPr>
      </w:pPr>
      <w:r>
        <w:rPr>
          <w:kern w:val="0"/>
          <w:sz w:val="24"/>
        </w:rPr>
        <w:t>（1）认购价格：本基金份额的认购价</w:t>
      </w:r>
      <w:r>
        <w:rPr>
          <w:sz w:val="24"/>
        </w:rPr>
        <w:t>格为1.00元/</w:t>
      </w:r>
      <w:r>
        <w:rPr>
          <w:kern w:val="0"/>
          <w:sz w:val="24"/>
        </w:rPr>
        <w:t>份。</w:t>
      </w:r>
    </w:p>
    <w:p>
      <w:pPr>
        <w:widowControl/>
        <w:adjustRightInd w:val="0"/>
        <w:snapToGrid w:val="0"/>
        <w:spacing w:line="360" w:lineRule="auto"/>
        <w:ind w:firstLine="480" w:firstLineChars="200"/>
        <w:rPr>
          <w:kern w:val="0"/>
          <w:sz w:val="24"/>
        </w:rPr>
      </w:pPr>
      <w:r>
        <w:rPr>
          <w:kern w:val="0"/>
          <w:sz w:val="24"/>
        </w:rPr>
        <w:t>（2）认购费率</w:t>
      </w:r>
      <w:r>
        <w:rPr>
          <w:rFonts w:hint="eastAsia"/>
          <w:kern w:val="0"/>
          <w:sz w:val="24"/>
        </w:rPr>
        <w:t>：</w:t>
      </w:r>
      <w:r>
        <w:rPr>
          <w:kern w:val="0"/>
          <w:sz w:val="24"/>
        </w:rPr>
        <w:t>募集期投资人可以多次认购本基金，认购费</w:t>
      </w:r>
      <w:r>
        <w:rPr>
          <w:rFonts w:hint="eastAsia"/>
          <w:kern w:val="0"/>
          <w:sz w:val="24"/>
        </w:rPr>
        <w:t>用</w:t>
      </w:r>
      <w:r>
        <w:rPr>
          <w:kern w:val="0"/>
          <w:sz w:val="24"/>
        </w:rPr>
        <w:t>按每笔认购申请单独计算。</w:t>
      </w:r>
      <w:r>
        <w:rPr>
          <w:rFonts w:hint="eastAsia"/>
          <w:kern w:val="0"/>
          <w:sz w:val="24"/>
        </w:rPr>
        <w:t>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w:t>
      </w:r>
      <w:r>
        <w:rPr>
          <w:kern w:val="0"/>
          <w:sz w:val="24"/>
        </w:rPr>
        <w:t>认购费率如下表：</w:t>
      </w:r>
    </w:p>
    <w:tbl>
      <w:tblPr>
        <w:tblStyle w:val="28"/>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rPr>
                <w:b/>
                <w:sz w:val="24"/>
              </w:rPr>
            </w:pPr>
            <w:r>
              <w:rPr>
                <w:rFonts w:hint="eastAsia"/>
                <w:b/>
                <w:sz w:val="24"/>
              </w:rPr>
              <w:t>认购金额（含认购费）</w:t>
            </w:r>
          </w:p>
        </w:tc>
        <w:tc>
          <w:tcPr>
            <w:tcW w:w="3598" w:type="dxa"/>
            <w:shd w:val="clear" w:color="auto" w:fill="FFFFFF"/>
            <w:vAlign w:val="center"/>
          </w:tcPr>
          <w:p>
            <w:pPr>
              <w:adjustRightInd w:val="0"/>
              <w:snapToGrid w:val="0"/>
              <w:jc w:val="center"/>
              <w:rPr>
                <w:b/>
                <w:sz w:val="24"/>
              </w:rPr>
            </w:pPr>
            <w:r>
              <w:rPr>
                <w:rFonts w:hint="eastAsia"/>
                <w:b/>
                <w:sz w:val="24"/>
              </w:rPr>
              <w:t>A类基金份额认购费率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100万元以下</w:t>
            </w:r>
          </w:p>
        </w:tc>
        <w:tc>
          <w:tcPr>
            <w:tcW w:w="3598" w:type="dxa"/>
          </w:tcPr>
          <w:p>
            <w:pPr>
              <w:adjustRightInd w:val="0"/>
              <w:snapToGrid w:val="0"/>
              <w:jc w:val="center"/>
              <w:rPr>
                <w:sz w:val="24"/>
              </w:rPr>
            </w:pPr>
            <w:r>
              <w:rPr>
                <w:rFonts w:hint="eastAsia"/>
                <w:sz w:val="24"/>
              </w:rPr>
              <w:t>0.8%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100万元（含）至500万元</w:t>
            </w:r>
          </w:p>
        </w:tc>
        <w:tc>
          <w:tcPr>
            <w:tcW w:w="3598" w:type="dxa"/>
          </w:tcPr>
          <w:p>
            <w:pPr>
              <w:adjustRightInd w:val="0"/>
              <w:snapToGrid w:val="0"/>
              <w:jc w:val="center"/>
              <w:rPr>
                <w:sz w:val="24"/>
              </w:rPr>
            </w:pPr>
            <w:r>
              <w:rPr>
                <w:rFonts w:hint="eastAsia"/>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500万元以上（含500万元）</w:t>
            </w:r>
          </w:p>
        </w:tc>
        <w:tc>
          <w:tcPr>
            <w:tcW w:w="3598" w:type="dxa"/>
          </w:tcPr>
          <w:p>
            <w:pPr>
              <w:adjustRightInd w:val="0"/>
              <w:snapToGrid w:val="0"/>
              <w:jc w:val="center"/>
              <w:rPr>
                <w:sz w:val="24"/>
              </w:rPr>
            </w:pPr>
            <w:r>
              <w:rPr>
                <w:rFonts w:hint="eastAsia"/>
                <w:sz w:val="24"/>
              </w:rPr>
              <w:t>每笔交易1000元</w:t>
            </w:r>
          </w:p>
        </w:tc>
      </w:tr>
    </w:tbl>
    <w:p>
      <w:pPr>
        <w:widowControl/>
        <w:adjustRightInd w:val="0"/>
        <w:snapToGrid w:val="0"/>
        <w:spacing w:before="143" w:beforeLines="50" w:line="360" w:lineRule="auto"/>
        <w:ind w:firstLine="480" w:firstLineChars="200"/>
        <w:rPr>
          <w:kern w:val="0"/>
          <w:sz w:val="24"/>
          <w:szCs w:val="24"/>
        </w:rPr>
      </w:pPr>
      <w:r>
        <w:rPr>
          <w:rFonts w:hAnsi="宋体"/>
          <w:kern w:val="0"/>
          <w:sz w:val="24"/>
          <w:szCs w:val="24"/>
        </w:rPr>
        <w:t>本基金对通过基金管理人直销柜台</w:t>
      </w:r>
      <w:r>
        <w:rPr>
          <w:rFonts w:hint="eastAsia" w:hAnsi="宋体"/>
          <w:kern w:val="0"/>
          <w:sz w:val="24"/>
          <w:szCs w:val="24"/>
        </w:rPr>
        <w:t>认</w:t>
      </w:r>
      <w:r>
        <w:rPr>
          <w:rFonts w:hAnsi="宋体"/>
          <w:kern w:val="0"/>
          <w:sz w:val="24"/>
          <w:szCs w:val="24"/>
        </w:rPr>
        <w:t>购</w:t>
      </w:r>
      <w:r>
        <w:rPr>
          <w:rFonts w:hint="eastAsia" w:hAnsi="宋体"/>
          <w:kern w:val="0"/>
          <w:sz w:val="24"/>
          <w:szCs w:val="24"/>
        </w:rPr>
        <w:t>A类基金份额</w:t>
      </w:r>
      <w:r>
        <w:rPr>
          <w:rFonts w:hAnsi="宋体"/>
          <w:kern w:val="0"/>
          <w:sz w:val="24"/>
          <w:szCs w:val="24"/>
        </w:rPr>
        <w:t>的养老金客户</w:t>
      </w:r>
      <w:r>
        <w:rPr>
          <w:rFonts w:hint="eastAsia" w:hAnsi="宋体"/>
          <w:kern w:val="0"/>
          <w:sz w:val="24"/>
          <w:szCs w:val="24"/>
        </w:rPr>
        <w:t>与除此之外的其他投资者</w:t>
      </w:r>
      <w:r>
        <w:rPr>
          <w:rFonts w:hAnsi="宋体"/>
          <w:kern w:val="0"/>
          <w:sz w:val="24"/>
          <w:szCs w:val="24"/>
        </w:rPr>
        <w:t>实施</w:t>
      </w:r>
      <w:r>
        <w:rPr>
          <w:rFonts w:hint="eastAsia" w:hAnsi="宋体"/>
          <w:kern w:val="0"/>
          <w:sz w:val="24"/>
          <w:szCs w:val="24"/>
        </w:rPr>
        <w:t>差别的认购费率</w:t>
      </w:r>
      <w:r>
        <w:rPr>
          <w:rFonts w:hint="eastAsia"/>
        </w:rPr>
        <w:t>。</w:t>
      </w:r>
      <w:r>
        <w:rPr>
          <w:rFonts w:hAnsi="宋体"/>
          <w:kern w:val="0"/>
          <w:sz w:val="24"/>
          <w:szCs w:val="24"/>
        </w:rPr>
        <w:t>养老金客户包括基本养老基金与依法成立的养老计划筹集的资金及其投资运营收益形成的补充养老基金等，具体包括：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szCs w:val="24"/>
        </w:rPr>
      </w:pPr>
      <w:r>
        <w:rPr>
          <w:kern w:val="0"/>
          <w:sz w:val="24"/>
          <w:szCs w:val="24"/>
        </w:rPr>
        <w:t>1</w:t>
      </w:r>
      <w:r>
        <w:rPr>
          <w:rFonts w:hint="eastAsia" w:hAnsi="宋体"/>
          <w:kern w:val="0"/>
          <w:sz w:val="24"/>
          <w:szCs w:val="24"/>
        </w:rPr>
        <w:t>）</w:t>
      </w:r>
      <w:r>
        <w:rPr>
          <w:rFonts w:hAnsi="宋体"/>
          <w:kern w:val="0"/>
          <w:sz w:val="24"/>
          <w:szCs w:val="24"/>
        </w:rPr>
        <w:t>全国社会保障基金；</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hAnsi="宋体"/>
          <w:kern w:val="0"/>
          <w:sz w:val="24"/>
          <w:szCs w:val="24"/>
        </w:rPr>
        <w:t>）</w:t>
      </w:r>
      <w:r>
        <w:rPr>
          <w:rFonts w:hAnsi="宋体"/>
          <w:kern w:val="0"/>
          <w:sz w:val="24"/>
          <w:szCs w:val="24"/>
        </w:rPr>
        <w:t>可以投资基金的地方社会保障基金；</w:t>
      </w:r>
    </w:p>
    <w:p>
      <w:pPr>
        <w:widowControl/>
        <w:adjustRightInd w:val="0"/>
        <w:snapToGrid w:val="0"/>
        <w:spacing w:line="360" w:lineRule="auto"/>
        <w:ind w:firstLine="480" w:firstLineChars="200"/>
        <w:rPr>
          <w:rFonts w:hAnsi="宋体"/>
          <w:kern w:val="0"/>
          <w:sz w:val="24"/>
        </w:rPr>
      </w:pPr>
      <w:r>
        <w:rPr>
          <w:kern w:val="0"/>
          <w:sz w:val="24"/>
          <w:szCs w:val="24"/>
        </w:rPr>
        <w:t>3</w:t>
      </w:r>
      <w:r>
        <w:rPr>
          <w:rFonts w:hint="eastAsia" w:hAnsi="宋体"/>
          <w:kern w:val="0"/>
          <w:sz w:val="24"/>
          <w:szCs w:val="24"/>
        </w:rPr>
        <w:t>）</w:t>
      </w:r>
      <w:r>
        <w:rPr>
          <w:rFonts w:hAnsi="宋体"/>
          <w:kern w:val="0"/>
          <w:sz w:val="24"/>
          <w:szCs w:val="24"/>
        </w:rPr>
        <w:t>企业年金单一计划以及集合计划</w:t>
      </w:r>
      <w:r>
        <w:rPr>
          <w:rFonts w:hint="eastAsia"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kern w:val="0"/>
          <w:sz w:val="24"/>
          <w:szCs w:val="24"/>
        </w:rPr>
      </w:pPr>
      <w:r>
        <w:rPr>
          <w:rFonts w:hint="eastAsia" w:hAnsi="宋体"/>
          <w:kern w:val="0"/>
          <w:sz w:val="24"/>
          <w:szCs w:val="24"/>
        </w:rPr>
        <w:t>5）企业年金养老金产品</w:t>
      </w:r>
      <w:r>
        <w:rPr>
          <w:rFonts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如将来出现经养老基金监管部门认可的新的养老基金类型，</w:t>
      </w:r>
      <w:r>
        <w:rPr>
          <w:rFonts w:hint="eastAsia" w:hAnsi="宋体"/>
          <w:kern w:val="0"/>
          <w:sz w:val="24"/>
          <w:szCs w:val="24"/>
        </w:rPr>
        <w:t>基金管理人可在招募说明书更新或</w:t>
      </w:r>
      <w:r>
        <w:rPr>
          <w:rFonts w:hAnsi="宋体"/>
          <w:kern w:val="0"/>
          <w:sz w:val="24"/>
          <w:szCs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认购金额（含认购费）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100</w:t>
            </w:r>
            <w:r>
              <w:rPr>
                <w:rFonts w:hint="eastAsia" w:hAnsi="宋体"/>
                <w:sz w:val="24"/>
              </w:rPr>
              <w:t>万元以下</w:t>
            </w:r>
          </w:p>
        </w:tc>
        <w:tc>
          <w:tcPr>
            <w:tcW w:w="3767" w:type="dxa"/>
            <w:vAlign w:val="center"/>
          </w:tcPr>
          <w:p>
            <w:pPr>
              <w:adjustRightInd w:val="0"/>
              <w:snapToGrid w:val="0"/>
              <w:jc w:val="center"/>
              <w:rPr>
                <w:sz w:val="24"/>
              </w:rPr>
            </w:pPr>
            <w:r>
              <w:rPr>
                <w:rFonts w:hint="eastAsia"/>
                <w:sz w:val="24"/>
              </w:rPr>
              <w:t>0.32%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100万元（含）至500万元</w:t>
            </w:r>
          </w:p>
        </w:tc>
        <w:tc>
          <w:tcPr>
            <w:tcW w:w="3767" w:type="dxa"/>
            <w:vAlign w:val="center"/>
          </w:tcPr>
          <w:p>
            <w:pPr>
              <w:adjustRightInd w:val="0"/>
              <w:snapToGrid w:val="0"/>
              <w:jc w:val="center"/>
              <w:rPr>
                <w:sz w:val="24"/>
              </w:rPr>
            </w:pPr>
            <w:r>
              <w:rPr>
                <w:rFonts w:hint="eastAsia"/>
                <w:sz w:val="24"/>
              </w:rPr>
              <w:t>0.10%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500</w:t>
            </w:r>
            <w:r>
              <w:rPr>
                <w:rFonts w:hint="eastAsia" w:hAnsi="宋体"/>
                <w:sz w:val="24"/>
              </w:rPr>
              <w:t>万元以上（含</w:t>
            </w:r>
            <w:r>
              <w:rPr>
                <w:rFonts w:hint="eastAsia"/>
                <w:sz w:val="24"/>
              </w:rPr>
              <w:t>500</w:t>
            </w:r>
            <w:r>
              <w:rPr>
                <w:rFonts w:hint="eastAsia" w:hAnsi="宋体"/>
                <w:sz w:val="24"/>
              </w:rPr>
              <w:t>万元）</w:t>
            </w:r>
          </w:p>
        </w:tc>
        <w:tc>
          <w:tcPr>
            <w:tcW w:w="3767" w:type="dxa"/>
          </w:tcPr>
          <w:p>
            <w:pPr>
              <w:adjustRightInd w:val="0"/>
              <w:snapToGrid w:val="0"/>
              <w:jc w:val="center"/>
              <w:rPr>
                <w:sz w:val="24"/>
              </w:rPr>
            </w:pPr>
            <w:r>
              <w:rPr>
                <w:rFonts w:hint="eastAsia" w:hAnsi="宋体"/>
                <w:sz w:val="24"/>
              </w:rPr>
              <w:t>每笔交易</w:t>
            </w:r>
            <w:r>
              <w:rPr>
                <w:rFonts w:hint="eastAsia"/>
                <w:sz w:val="24"/>
              </w:rPr>
              <w:t>1000</w:t>
            </w:r>
            <w:r>
              <w:rPr>
                <w:rFonts w:hint="eastAsia" w:hAnsi="宋体"/>
                <w:sz w:val="24"/>
              </w:rPr>
              <w:t>元</w:t>
            </w:r>
          </w:p>
        </w:tc>
      </w:tr>
    </w:tbl>
    <w:p>
      <w:pPr>
        <w:widowControl/>
        <w:adjustRightInd w:val="0"/>
        <w:snapToGrid w:val="0"/>
        <w:spacing w:line="360" w:lineRule="auto"/>
        <w:ind w:firstLine="480" w:firstLineChars="200"/>
        <w:rPr>
          <w:rFonts w:hAnsi="宋体"/>
          <w:sz w:val="24"/>
          <w:szCs w:val="24"/>
        </w:rPr>
      </w:pPr>
    </w:p>
    <w:p>
      <w:pPr>
        <w:widowControl/>
        <w:adjustRightInd w:val="0"/>
        <w:snapToGrid w:val="0"/>
        <w:spacing w:line="360" w:lineRule="auto"/>
        <w:ind w:firstLine="480" w:firstLineChars="200"/>
        <w:rPr>
          <w:kern w:val="0"/>
          <w:sz w:val="24"/>
        </w:rPr>
      </w:pPr>
      <w:r>
        <w:rPr>
          <w:rFonts w:hint="eastAsia"/>
          <w:kern w:val="0"/>
          <w:sz w:val="24"/>
        </w:rPr>
        <w:t>本基金A类基金份额的</w:t>
      </w:r>
      <w:r>
        <w:rPr>
          <w:kern w:val="0"/>
          <w:sz w:val="24"/>
        </w:rPr>
        <w:t>认购费用</w:t>
      </w:r>
      <w:r>
        <w:rPr>
          <w:rFonts w:hint="eastAsia"/>
          <w:kern w:val="0"/>
          <w:sz w:val="24"/>
        </w:rPr>
        <w:t>由认购A类基金份额的投资人承担，</w:t>
      </w:r>
      <w:r>
        <w:rPr>
          <w:kern w:val="0"/>
          <w:sz w:val="24"/>
        </w:rPr>
        <w:t>认购费用不列入基金财产，主要用于基金的市场推广、销售、登记等募集期间发生的各项费用。</w:t>
      </w:r>
    </w:p>
    <w:p>
      <w:pPr>
        <w:widowControl/>
        <w:adjustRightInd w:val="0"/>
        <w:snapToGrid w:val="0"/>
        <w:spacing w:line="360" w:lineRule="auto"/>
        <w:ind w:firstLine="480" w:firstLineChars="200"/>
        <w:rPr>
          <w:kern w:val="0"/>
          <w:sz w:val="24"/>
        </w:rPr>
      </w:pPr>
      <w:r>
        <w:rPr>
          <w:kern w:val="0"/>
          <w:sz w:val="24"/>
        </w:rPr>
        <w:t>（3）认购份额的计算</w:t>
      </w:r>
    </w:p>
    <w:p>
      <w:pPr>
        <w:widowControl/>
        <w:adjustRightInd w:val="0"/>
        <w:snapToGrid w:val="0"/>
        <w:spacing w:line="360" w:lineRule="auto"/>
        <w:ind w:firstLine="480" w:firstLineChars="200"/>
        <w:rPr>
          <w:kern w:val="0"/>
          <w:sz w:val="24"/>
        </w:rPr>
      </w:pPr>
      <w:r>
        <w:rPr>
          <w:rFonts w:hint="eastAsia"/>
          <w:kern w:val="0"/>
          <w:sz w:val="24"/>
        </w:rPr>
        <w:t>1）A类基金份额的认购</w:t>
      </w:r>
    </w:p>
    <w:p>
      <w:pPr>
        <w:widowControl/>
        <w:adjustRightInd w:val="0"/>
        <w:snapToGrid w:val="0"/>
        <w:spacing w:line="360" w:lineRule="auto"/>
        <w:ind w:firstLine="480" w:firstLineChars="200"/>
        <w:rPr>
          <w:sz w:val="24"/>
        </w:rPr>
      </w:pPr>
      <w:r>
        <w:rPr>
          <w:rFonts w:hint="eastAsia"/>
          <w:color w:val="000000"/>
          <w:kern w:val="0"/>
          <w:sz w:val="24"/>
        </w:rPr>
        <w:t>基金认购采用</w:t>
      </w:r>
      <w:r>
        <w:rPr>
          <w:sz w:val="24"/>
        </w:rPr>
        <w:t>金额</w:t>
      </w:r>
      <w:r>
        <w:rPr>
          <w:rFonts w:hint="eastAsia"/>
          <w:color w:val="000000"/>
          <w:kern w:val="0"/>
          <w:sz w:val="24"/>
        </w:rPr>
        <w:t>认购的方式。基金的认购</w:t>
      </w:r>
      <w:r>
        <w:rPr>
          <w:sz w:val="24"/>
        </w:rPr>
        <w:t>金额</w:t>
      </w:r>
      <w:r>
        <w:rPr>
          <w:rFonts w:hint="eastAsia"/>
          <w:color w:val="000000"/>
          <w:kern w:val="0"/>
          <w:sz w:val="24"/>
        </w:rPr>
        <w:t>包括认购费用和净认购金额。计算公式为：</w:t>
      </w:r>
    </w:p>
    <w:p>
      <w:pPr>
        <w:widowControl/>
        <w:adjustRightInd w:val="0"/>
        <w:snapToGrid w:val="0"/>
        <w:spacing w:line="360" w:lineRule="auto"/>
        <w:ind w:firstLine="480" w:firstLineChars="200"/>
        <w:rPr>
          <w:sz w:val="24"/>
        </w:rPr>
      </w:pPr>
      <w:r>
        <w:rPr>
          <w:sz w:val="24"/>
        </w:rPr>
        <w:t>认购总金额=申请总金额</w:t>
      </w:r>
    </w:p>
    <w:p>
      <w:pPr>
        <w:widowControl/>
        <w:adjustRightInd w:val="0"/>
        <w:snapToGrid w:val="0"/>
        <w:spacing w:line="360" w:lineRule="auto"/>
        <w:ind w:firstLine="480" w:firstLineChars="200"/>
        <w:rPr>
          <w:sz w:val="24"/>
        </w:rPr>
      </w:pPr>
      <w:r>
        <w:rPr>
          <w:sz w:val="24"/>
        </w:rPr>
        <w:t>净认购金额=认购总金额/（1+认购费率）</w:t>
      </w:r>
    </w:p>
    <w:p>
      <w:pPr>
        <w:widowControl/>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widowControl/>
        <w:adjustRightInd w:val="0"/>
        <w:snapToGrid w:val="0"/>
        <w:spacing w:line="360" w:lineRule="auto"/>
        <w:ind w:firstLine="480" w:firstLineChars="200"/>
        <w:rPr>
          <w:sz w:val="24"/>
        </w:rPr>
      </w:pPr>
      <w:r>
        <w:rPr>
          <w:sz w:val="24"/>
        </w:rPr>
        <w:t>认购费用=认购总金额-净认购金额</w:t>
      </w:r>
    </w:p>
    <w:p>
      <w:pPr>
        <w:widowControl/>
        <w:adjustRightInd w:val="0"/>
        <w:snapToGrid w:val="0"/>
        <w:spacing w:line="360" w:lineRule="auto"/>
        <w:ind w:firstLine="480" w:firstLineChars="200"/>
        <w:rPr>
          <w:sz w:val="24"/>
        </w:rPr>
      </w:pPr>
      <w:r>
        <w:rPr>
          <w:sz w:val="24"/>
        </w:rPr>
        <w:t>（注：对于适用固定金额认购费用的认购，认购费用＝固定认购费用金额）</w:t>
      </w:r>
    </w:p>
    <w:p>
      <w:pPr>
        <w:widowControl/>
        <w:adjustRightInd w:val="0"/>
        <w:snapToGrid w:val="0"/>
        <w:spacing w:line="360" w:lineRule="auto"/>
        <w:ind w:firstLine="480" w:firstLineChars="200"/>
        <w:rPr>
          <w:sz w:val="24"/>
        </w:rPr>
      </w:pPr>
      <w:r>
        <w:rPr>
          <w:sz w:val="24"/>
        </w:rPr>
        <w:t>认购份额=净认购金额/基金份额初始面值+认购利息/基金份额初始面值</w:t>
      </w:r>
    </w:p>
    <w:p>
      <w:pPr>
        <w:widowControl/>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widowControl/>
        <w:adjustRightInd w:val="0"/>
        <w:snapToGrid w:val="0"/>
        <w:spacing w:line="360" w:lineRule="auto"/>
        <w:ind w:firstLine="480" w:firstLineChars="200"/>
        <w:rPr>
          <w:sz w:val="24"/>
        </w:rPr>
      </w:pPr>
      <w:r>
        <w:rPr>
          <w:rFonts w:hint="eastAsia"/>
          <w:sz w:val="24"/>
        </w:rPr>
        <w:t>例一：某投资者（非养老金客户）认购本基金A类基金份额100,000元，且该认购申请被全额确认，所对应的认购费率为0.</w:t>
      </w:r>
      <w:r>
        <w:rPr>
          <w:sz w:val="24"/>
        </w:rPr>
        <w:t>8</w:t>
      </w:r>
      <w:r>
        <w:rPr>
          <w:rFonts w:hint="eastAsia"/>
          <w:sz w:val="24"/>
        </w:rPr>
        <w:t>%。假定该笔认购金额产生利息50.00元。则认购份额为：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认购总金额＝100,000元</w:t>
      </w:r>
    </w:p>
    <w:p>
      <w:pPr>
        <w:widowControl/>
        <w:adjustRightInd w:val="0"/>
        <w:snapToGrid w:val="0"/>
        <w:spacing w:line="360" w:lineRule="auto"/>
        <w:ind w:firstLine="480" w:firstLineChars="200"/>
        <w:rPr>
          <w:sz w:val="24"/>
        </w:rPr>
      </w:pPr>
      <w:r>
        <w:rPr>
          <w:rFonts w:hint="eastAsia"/>
          <w:sz w:val="24"/>
        </w:rPr>
        <w:t>净认购金额＝100,000/（1＋0.</w:t>
      </w:r>
      <w:r>
        <w:rPr>
          <w:sz w:val="24"/>
        </w:rPr>
        <w:t>8</w:t>
      </w:r>
      <w:r>
        <w:rPr>
          <w:rFonts w:hint="eastAsia"/>
          <w:sz w:val="24"/>
        </w:rPr>
        <w:t>%）＝</w:t>
      </w:r>
      <w:r>
        <w:rPr>
          <w:sz w:val="24"/>
        </w:rPr>
        <w:t>99,206.35</w:t>
      </w:r>
      <w:r>
        <w:rPr>
          <w:rFonts w:hint="eastAsia"/>
          <w:sz w:val="24"/>
        </w:rPr>
        <w:t>元</w:t>
      </w:r>
    </w:p>
    <w:p>
      <w:pPr>
        <w:widowControl/>
        <w:adjustRightInd w:val="0"/>
        <w:snapToGrid w:val="0"/>
        <w:spacing w:line="360" w:lineRule="auto"/>
        <w:ind w:firstLine="480" w:firstLineChars="200"/>
        <w:rPr>
          <w:sz w:val="24"/>
        </w:rPr>
      </w:pPr>
      <w:r>
        <w:rPr>
          <w:rFonts w:hint="eastAsia"/>
          <w:sz w:val="24"/>
        </w:rPr>
        <w:t>认购费用＝100,000－</w:t>
      </w:r>
      <w:r>
        <w:rPr>
          <w:sz w:val="24"/>
        </w:rPr>
        <w:t>99,206.35</w:t>
      </w:r>
      <w:r>
        <w:rPr>
          <w:rFonts w:hint="eastAsia"/>
          <w:sz w:val="24"/>
        </w:rPr>
        <w:t>＝</w:t>
      </w:r>
      <w:r>
        <w:rPr>
          <w:sz w:val="24"/>
        </w:rPr>
        <w:t>793.65</w:t>
      </w:r>
      <w:r>
        <w:rPr>
          <w:rFonts w:hint="eastAsia"/>
          <w:sz w:val="24"/>
        </w:rPr>
        <w:t>元</w:t>
      </w:r>
    </w:p>
    <w:p>
      <w:pPr>
        <w:widowControl/>
        <w:adjustRightInd w:val="0"/>
        <w:snapToGrid w:val="0"/>
        <w:spacing w:line="360" w:lineRule="auto"/>
        <w:ind w:firstLine="480" w:firstLineChars="200"/>
        <w:rPr>
          <w:sz w:val="24"/>
        </w:rPr>
      </w:pPr>
      <w:r>
        <w:rPr>
          <w:rFonts w:hint="eastAsia"/>
          <w:sz w:val="24"/>
        </w:rPr>
        <w:t>认购份额＝</w:t>
      </w:r>
      <w:r>
        <w:rPr>
          <w:sz w:val="24"/>
        </w:rPr>
        <w:t>99,206.35</w:t>
      </w:r>
      <w:r>
        <w:rPr>
          <w:rFonts w:hint="eastAsia"/>
          <w:sz w:val="24"/>
        </w:rPr>
        <w:t>/1.00＋50.00/1.00＝99,</w:t>
      </w:r>
      <w:r>
        <w:rPr>
          <w:sz w:val="24"/>
        </w:rPr>
        <w:t>256.35</w:t>
      </w:r>
      <w:r>
        <w:rPr>
          <w:rFonts w:hint="eastAsia"/>
          <w:sz w:val="24"/>
        </w:rPr>
        <w:t>份</w:t>
      </w:r>
    </w:p>
    <w:p>
      <w:pPr>
        <w:widowControl/>
        <w:adjustRightInd w:val="0"/>
        <w:snapToGrid w:val="0"/>
        <w:spacing w:line="360" w:lineRule="auto"/>
        <w:ind w:firstLine="480" w:firstLineChars="200"/>
        <w:rPr>
          <w:sz w:val="24"/>
        </w:rPr>
      </w:pPr>
      <w:r>
        <w:rPr>
          <w:rFonts w:hint="eastAsia"/>
          <w:sz w:val="24"/>
        </w:rPr>
        <w:t>即：若该投资者（非养老金客户）选择认购A类基金份额，则投资100,000元本金，假定该笔认购金额产生利息50.00元，可得到99,</w:t>
      </w:r>
      <w:r>
        <w:rPr>
          <w:sz w:val="24"/>
        </w:rPr>
        <w:t>256.35</w:t>
      </w:r>
      <w:r>
        <w:rPr>
          <w:rFonts w:hint="eastAsia"/>
          <w:sz w:val="24"/>
        </w:rPr>
        <w:t>份A类基金份额。</w:t>
      </w:r>
    </w:p>
    <w:p>
      <w:pPr>
        <w:widowControl/>
        <w:adjustRightInd w:val="0"/>
        <w:snapToGrid w:val="0"/>
        <w:spacing w:line="360" w:lineRule="auto"/>
        <w:ind w:firstLine="480" w:firstLineChars="200"/>
        <w:rPr>
          <w:sz w:val="24"/>
        </w:rPr>
      </w:pPr>
      <w:r>
        <w:rPr>
          <w:rFonts w:hint="eastAsia"/>
          <w:sz w:val="24"/>
        </w:rPr>
        <w:t>例二：某养老金客户通过基金管理人的直销柜台认购本基金A类基金份额100,000元，且该认购申请被全额确认，所对应的认购费率为</w:t>
      </w:r>
      <w:r>
        <w:rPr>
          <w:sz w:val="24"/>
        </w:rPr>
        <w:t>0.32</w:t>
      </w:r>
      <w:r>
        <w:rPr>
          <w:rFonts w:hint="eastAsia"/>
          <w:sz w:val="24"/>
        </w:rPr>
        <w:t>%。假定该笔认购金额产生利息50.00元。则认购份额为：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认购总金额＝100,000元</w:t>
      </w:r>
    </w:p>
    <w:p>
      <w:pPr>
        <w:widowControl/>
        <w:adjustRightInd w:val="0"/>
        <w:snapToGrid w:val="0"/>
        <w:spacing w:line="360" w:lineRule="auto"/>
        <w:ind w:firstLine="480" w:firstLineChars="200"/>
        <w:rPr>
          <w:sz w:val="24"/>
        </w:rPr>
      </w:pPr>
      <w:r>
        <w:rPr>
          <w:rFonts w:hint="eastAsia"/>
          <w:sz w:val="24"/>
        </w:rPr>
        <w:t>净认购金额＝100,000/（1＋</w:t>
      </w:r>
      <w:r>
        <w:rPr>
          <w:sz w:val="24"/>
        </w:rPr>
        <w:t>0.32</w:t>
      </w:r>
      <w:r>
        <w:rPr>
          <w:rFonts w:hint="eastAsia"/>
          <w:sz w:val="24"/>
        </w:rPr>
        <w:t>%）＝</w:t>
      </w:r>
      <w:r>
        <w:rPr>
          <w:sz w:val="24"/>
        </w:rPr>
        <w:t>99,681.02</w:t>
      </w:r>
      <w:r>
        <w:rPr>
          <w:rFonts w:hint="eastAsia"/>
          <w:sz w:val="24"/>
        </w:rPr>
        <w:t>元</w:t>
      </w:r>
    </w:p>
    <w:p>
      <w:pPr>
        <w:widowControl/>
        <w:adjustRightInd w:val="0"/>
        <w:snapToGrid w:val="0"/>
        <w:spacing w:line="360" w:lineRule="auto"/>
        <w:ind w:firstLine="480" w:firstLineChars="200"/>
        <w:rPr>
          <w:sz w:val="24"/>
        </w:rPr>
      </w:pPr>
      <w:r>
        <w:rPr>
          <w:rFonts w:hint="eastAsia"/>
          <w:sz w:val="24"/>
        </w:rPr>
        <w:t>认购费用＝100,000－</w:t>
      </w:r>
      <w:r>
        <w:rPr>
          <w:sz w:val="24"/>
        </w:rPr>
        <w:t>99,681.02</w:t>
      </w:r>
      <w:r>
        <w:rPr>
          <w:rFonts w:hint="eastAsia"/>
          <w:sz w:val="24"/>
        </w:rPr>
        <w:t>＝</w:t>
      </w:r>
      <w:r>
        <w:rPr>
          <w:sz w:val="24"/>
        </w:rPr>
        <w:t>318.98</w:t>
      </w:r>
      <w:r>
        <w:rPr>
          <w:rFonts w:hint="eastAsia"/>
          <w:sz w:val="24"/>
        </w:rPr>
        <w:t>元</w:t>
      </w:r>
    </w:p>
    <w:p>
      <w:pPr>
        <w:widowControl/>
        <w:adjustRightInd w:val="0"/>
        <w:snapToGrid w:val="0"/>
        <w:spacing w:line="360" w:lineRule="auto"/>
        <w:ind w:firstLine="480" w:firstLineChars="200"/>
        <w:rPr>
          <w:sz w:val="24"/>
        </w:rPr>
      </w:pPr>
      <w:r>
        <w:rPr>
          <w:rFonts w:hint="eastAsia"/>
          <w:sz w:val="24"/>
        </w:rPr>
        <w:t>认购份额＝</w:t>
      </w:r>
      <w:r>
        <w:rPr>
          <w:sz w:val="24"/>
        </w:rPr>
        <w:t>99,681.02</w:t>
      </w:r>
      <w:r>
        <w:rPr>
          <w:rFonts w:hint="eastAsia"/>
          <w:sz w:val="24"/>
        </w:rPr>
        <w:t>/1.00＋50.00/1.00＝99,</w:t>
      </w:r>
      <w:r>
        <w:rPr>
          <w:sz w:val="24"/>
        </w:rPr>
        <w:t>731.02</w:t>
      </w:r>
      <w:r>
        <w:rPr>
          <w:rFonts w:hint="eastAsia"/>
          <w:sz w:val="24"/>
        </w:rPr>
        <w:t>份</w:t>
      </w:r>
    </w:p>
    <w:p>
      <w:pPr>
        <w:widowControl/>
        <w:adjustRightInd w:val="0"/>
        <w:snapToGrid w:val="0"/>
        <w:spacing w:line="360" w:lineRule="auto"/>
        <w:ind w:firstLine="480" w:firstLineChars="200"/>
        <w:rPr>
          <w:sz w:val="24"/>
        </w:rPr>
      </w:pPr>
      <w:r>
        <w:rPr>
          <w:rFonts w:hint="eastAsia"/>
          <w:sz w:val="24"/>
        </w:rPr>
        <w:t>即：若该养老金客户投资100,000元通过基金管理人的直销柜台认购A类基金份额，假定该笔认购金额产生利息50.00元，可得到99,</w:t>
      </w:r>
      <w:r>
        <w:rPr>
          <w:sz w:val="24"/>
        </w:rPr>
        <w:t>731.02</w:t>
      </w:r>
      <w:r>
        <w:rPr>
          <w:rFonts w:hint="eastAsia"/>
          <w:sz w:val="24"/>
        </w:rPr>
        <w:t>份A类基金份额。</w:t>
      </w:r>
    </w:p>
    <w:p>
      <w:pPr>
        <w:widowControl/>
        <w:adjustRightInd w:val="0"/>
        <w:snapToGrid w:val="0"/>
        <w:spacing w:line="360" w:lineRule="auto"/>
        <w:ind w:firstLine="480" w:firstLineChars="200"/>
        <w:rPr>
          <w:sz w:val="24"/>
        </w:rPr>
      </w:pPr>
      <w:r>
        <w:rPr>
          <w:rFonts w:hint="eastAsia"/>
          <w:sz w:val="24"/>
        </w:rPr>
        <w:t>2）C类基金份额的认购</w:t>
      </w:r>
    </w:p>
    <w:p>
      <w:pPr>
        <w:widowControl/>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widowControl/>
        <w:adjustRightInd w:val="0"/>
        <w:snapToGrid w:val="0"/>
        <w:spacing w:line="360" w:lineRule="auto"/>
        <w:ind w:firstLine="480" w:firstLineChars="200"/>
        <w:rPr>
          <w:sz w:val="24"/>
        </w:rPr>
      </w:pPr>
      <w:r>
        <w:rPr>
          <w:rFonts w:hint="eastAsia"/>
          <w:sz w:val="24"/>
        </w:rPr>
        <w:t>认购总金额＝申请总金额</w:t>
      </w:r>
    </w:p>
    <w:p>
      <w:pPr>
        <w:widowControl/>
        <w:adjustRightInd w:val="0"/>
        <w:snapToGrid w:val="0"/>
        <w:spacing w:line="360" w:lineRule="auto"/>
        <w:ind w:firstLine="480" w:firstLineChars="200"/>
        <w:rPr>
          <w:sz w:val="24"/>
        </w:rPr>
      </w:pPr>
      <w:r>
        <w:rPr>
          <w:rFonts w:hint="eastAsia"/>
          <w:sz w:val="24"/>
        </w:rPr>
        <w:t>认购份额＝（认购总金额＋认购利息）/基金份额初始面值</w:t>
      </w:r>
    </w:p>
    <w:p>
      <w:pPr>
        <w:widowControl/>
        <w:adjustRightInd w:val="0"/>
        <w:snapToGrid w:val="0"/>
        <w:spacing w:line="360" w:lineRule="auto"/>
        <w:ind w:firstLine="480" w:firstLineChars="200"/>
        <w:rPr>
          <w:sz w:val="24"/>
        </w:rPr>
      </w:pPr>
      <w:r>
        <w:rPr>
          <w:rFonts w:hint="eastAsia"/>
          <w:sz w:val="24"/>
        </w:rPr>
        <w:t>认购份额的计算保留到小数点后2位，小数点2位以后的部分四舍五入，由此误差产生的损失由基金财产承担，产生的收益归基金财产所有。</w:t>
      </w:r>
    </w:p>
    <w:p>
      <w:pPr>
        <w:widowControl/>
        <w:adjustRightInd w:val="0"/>
        <w:snapToGrid w:val="0"/>
        <w:spacing w:line="360" w:lineRule="auto"/>
        <w:ind w:firstLine="480" w:firstLineChars="200"/>
        <w:rPr>
          <w:sz w:val="24"/>
        </w:rPr>
      </w:pPr>
      <w:r>
        <w:rPr>
          <w:rFonts w:hint="eastAsia"/>
          <w:sz w:val="24"/>
        </w:rPr>
        <w:t>例三：某投资者投资100,000元认购本基金的C类基金份额，且该认购申请被全额确认，假定认购期产生的利息为50.00元，则可认购基金份额为：</w:t>
      </w:r>
    </w:p>
    <w:p>
      <w:pPr>
        <w:widowControl/>
        <w:adjustRightInd w:val="0"/>
        <w:snapToGrid w:val="0"/>
        <w:spacing w:line="360" w:lineRule="auto"/>
        <w:ind w:firstLine="480" w:firstLineChars="200"/>
        <w:rPr>
          <w:sz w:val="24"/>
        </w:rPr>
      </w:pPr>
      <w:r>
        <w:rPr>
          <w:rFonts w:hint="eastAsia"/>
          <w:sz w:val="24"/>
        </w:rPr>
        <w:t>认购份额=（100,000＋50.00）/1.00=100,050.00份</w:t>
      </w:r>
    </w:p>
    <w:p>
      <w:pPr>
        <w:widowControl/>
        <w:adjustRightInd w:val="0"/>
        <w:snapToGrid w:val="0"/>
        <w:spacing w:line="360" w:lineRule="auto"/>
        <w:ind w:firstLine="480" w:firstLineChars="200"/>
        <w:rPr>
          <w:sz w:val="24"/>
          <w:szCs w:val="21"/>
        </w:rPr>
      </w:pPr>
      <w:r>
        <w:rPr>
          <w:rFonts w:hint="eastAsia"/>
          <w:sz w:val="24"/>
        </w:rPr>
        <w:t>即：投资者投资100,000元认购本基金的C类基金份额，假定该笔认购金额产生利息50.00元，可得到100,050.00份C类基金份额。</w:t>
      </w:r>
    </w:p>
    <w:p>
      <w:pPr>
        <w:widowControl/>
        <w:adjustRightInd w:val="0"/>
        <w:snapToGrid w:val="0"/>
        <w:spacing w:line="360" w:lineRule="auto"/>
        <w:ind w:firstLine="480" w:firstLineChars="200"/>
        <w:outlineLvl w:val="2"/>
        <w:rPr>
          <w:sz w:val="24"/>
          <w:szCs w:val="21"/>
        </w:rPr>
      </w:pPr>
      <w:r>
        <w:rPr>
          <w:sz w:val="24"/>
          <w:szCs w:val="21"/>
        </w:rPr>
        <w:t>4、认购的程序</w:t>
      </w:r>
    </w:p>
    <w:p>
      <w:pPr>
        <w:widowControl/>
        <w:adjustRightInd w:val="0"/>
        <w:snapToGrid w:val="0"/>
        <w:spacing w:line="360" w:lineRule="auto"/>
        <w:ind w:firstLine="480" w:firstLineChars="200"/>
        <w:rPr>
          <w:sz w:val="24"/>
          <w:szCs w:val="21"/>
        </w:rPr>
      </w:pPr>
      <w:r>
        <w:rPr>
          <w:sz w:val="24"/>
          <w:szCs w:val="21"/>
        </w:rPr>
        <w:t>（1）申请方式：书面申请或基金管理人公告的其他方式。</w:t>
      </w:r>
    </w:p>
    <w:p>
      <w:pPr>
        <w:widowControl/>
        <w:adjustRightInd w:val="0"/>
        <w:snapToGrid w:val="0"/>
        <w:spacing w:line="360" w:lineRule="auto"/>
        <w:ind w:firstLine="480" w:firstLineChars="200"/>
        <w:rPr>
          <w:sz w:val="24"/>
          <w:szCs w:val="21"/>
        </w:rPr>
      </w:pPr>
      <w:r>
        <w:rPr>
          <w:sz w:val="24"/>
          <w:szCs w:val="21"/>
        </w:rPr>
        <w:t>（2）认购款项支付：投资人认购时，采用全额缴款方式。</w:t>
      </w:r>
    </w:p>
    <w:p>
      <w:pPr>
        <w:widowControl/>
        <w:adjustRightInd w:val="0"/>
        <w:snapToGrid w:val="0"/>
        <w:spacing w:line="360" w:lineRule="auto"/>
        <w:ind w:firstLine="480" w:firstLineChars="200"/>
        <w:outlineLvl w:val="2"/>
        <w:rPr>
          <w:sz w:val="24"/>
          <w:szCs w:val="21"/>
        </w:rPr>
      </w:pPr>
      <w:r>
        <w:rPr>
          <w:sz w:val="24"/>
          <w:szCs w:val="21"/>
        </w:rPr>
        <w:t>5、认购的确认</w:t>
      </w:r>
    </w:p>
    <w:p>
      <w:pPr>
        <w:widowControl/>
        <w:adjustRightInd w:val="0"/>
        <w:snapToGrid w:val="0"/>
        <w:spacing w:line="360" w:lineRule="auto"/>
        <w:ind w:firstLine="480" w:firstLineChars="200"/>
        <w:rPr>
          <w:sz w:val="24"/>
          <w:szCs w:val="21"/>
        </w:rPr>
      </w:pPr>
      <w:r>
        <w:rPr>
          <w:sz w:val="24"/>
          <w:szCs w:val="21"/>
        </w:rPr>
        <w:t>当日（T日）在规定时间内提交的申请，投资人通常可在T+2日后（包括该日）到</w:t>
      </w:r>
      <w:r>
        <w:rPr>
          <w:rFonts w:hint="eastAsia"/>
          <w:sz w:val="24"/>
          <w:szCs w:val="21"/>
        </w:rPr>
        <w:t>销售</w:t>
      </w:r>
      <w:r>
        <w:rPr>
          <w:sz w:val="24"/>
          <w:szCs w:val="21"/>
        </w:rPr>
        <w:t>网点查询交易情况。基金销售机构对申请的受理并不表示对该申请的成功确认，而仅代表销售机构确实接收到认购申请。申请的成功确认应以基金合同生效后、登记机构的确认登记为准。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pPr>
        <w:widowControl/>
        <w:adjustRightInd w:val="0"/>
        <w:snapToGrid w:val="0"/>
        <w:spacing w:line="360" w:lineRule="auto"/>
        <w:ind w:firstLine="480" w:firstLineChars="200"/>
        <w:rPr>
          <w:sz w:val="24"/>
          <w:szCs w:val="21"/>
        </w:rPr>
      </w:pPr>
      <w:r>
        <w:rPr>
          <w:sz w:val="24"/>
          <w:szCs w:val="21"/>
        </w:rPr>
        <w:t>投资人开户和认购所需提交的文件和办理的具体程序，请参阅基金份额发售公告。</w:t>
      </w:r>
    </w:p>
    <w:p>
      <w:pPr>
        <w:widowControl/>
        <w:adjustRightInd w:val="0"/>
        <w:snapToGrid w:val="0"/>
        <w:spacing w:line="360" w:lineRule="auto"/>
        <w:ind w:firstLine="480" w:firstLineChars="200"/>
        <w:outlineLvl w:val="2"/>
        <w:rPr>
          <w:sz w:val="24"/>
          <w:szCs w:val="21"/>
        </w:rPr>
      </w:pPr>
      <w:r>
        <w:rPr>
          <w:sz w:val="24"/>
          <w:szCs w:val="21"/>
        </w:rPr>
        <w:t>6、募集期利息的处理方式</w:t>
      </w:r>
    </w:p>
    <w:p>
      <w:pPr>
        <w:widowControl/>
        <w:adjustRightInd w:val="0"/>
        <w:snapToGrid w:val="0"/>
        <w:spacing w:line="360" w:lineRule="auto"/>
        <w:ind w:firstLine="480" w:firstLineChars="20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3" w:name="_Hlt91148053"/>
      <w:bookmarkEnd w:id="13"/>
      <w:bookmarkStart w:id="14" w:name="_Hlt90801570"/>
      <w:bookmarkEnd w:id="14"/>
      <w:bookmarkStart w:id="15" w:name="_Hlt91264042"/>
      <w:bookmarkEnd w:id="15"/>
      <w:bookmarkStart w:id="16" w:name="_Hlt90455312"/>
      <w:bookmarkEnd w:id="16"/>
      <w:bookmarkStart w:id="17" w:name="_Hlt91264078"/>
      <w:bookmarkEnd w:id="17"/>
      <w:bookmarkStart w:id="18" w:name="_Toc109537384"/>
      <w:r>
        <w:rPr>
          <w:sz w:val="24"/>
          <w:szCs w:val="21"/>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9" w:name="_Toc62202545"/>
      <w:r>
        <w:rPr>
          <w:rFonts w:hint="eastAsia" w:ascii="宋体" w:hAnsi="宋体"/>
          <w:b/>
          <w:kern w:val="0"/>
          <w:sz w:val="30"/>
        </w:rPr>
        <w:t>七、基金合同的生效</w:t>
      </w:r>
      <w:bookmarkEnd w:id="19"/>
    </w:p>
    <w:bookmarkEnd w:id="18"/>
    <w:p>
      <w:pPr>
        <w:pStyle w:val="4"/>
        <w:autoSpaceDE w:val="0"/>
        <w:autoSpaceDN w:val="0"/>
        <w:adjustRightInd w:val="0"/>
        <w:snapToGrid w:val="0"/>
        <w:spacing w:line="360" w:lineRule="auto"/>
        <w:ind w:firstLine="482"/>
        <w:outlineLvl w:val="1"/>
        <w:rPr>
          <w:b/>
          <w:sz w:val="24"/>
        </w:rPr>
      </w:pPr>
      <w:bookmarkStart w:id="20" w:name="_Hlt88901074"/>
      <w:bookmarkEnd w:id="20"/>
      <w:bookmarkStart w:id="21" w:name="_Toc79392603"/>
      <w:bookmarkStart w:id="22" w:name="_Toc57530272"/>
      <w:bookmarkStart w:id="23" w:name="_Toc15118260"/>
      <w:bookmarkStart w:id="24" w:name="_Toc109537386"/>
      <w:r>
        <w:rPr>
          <w:rFonts w:hAnsi="宋体"/>
          <w:b/>
          <w:sz w:val="24"/>
        </w:rPr>
        <w:t>（一）基金备案的条件</w:t>
      </w:r>
    </w:p>
    <w:p>
      <w:pPr>
        <w:pStyle w:val="4"/>
        <w:autoSpaceDE w:val="0"/>
        <w:autoSpaceDN w:val="0"/>
        <w:adjustRightInd w:val="0"/>
        <w:snapToGrid w:val="0"/>
        <w:spacing w:line="360" w:lineRule="auto"/>
        <w:ind w:firstLine="48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outlineLvl w:val="1"/>
        <w:rPr>
          <w:bCs/>
          <w:sz w:val="24"/>
        </w:rPr>
      </w:pPr>
      <w:r>
        <w:rPr>
          <w:rFonts w:hAnsi="宋体"/>
          <w:b/>
          <w:sz w:val="24"/>
        </w:rPr>
        <w:t>（二）</w:t>
      </w:r>
      <w:r>
        <w:rPr>
          <w:b/>
          <w:bCs/>
          <w:sz w:val="24"/>
        </w:rPr>
        <w:t>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outlineLvl w:val="1"/>
        <w:rPr>
          <w:b/>
          <w:sz w:val="24"/>
        </w:rPr>
      </w:pPr>
      <w:r>
        <w:rPr>
          <w:rFonts w:hAnsi="宋体"/>
          <w:b/>
          <w:sz w:val="24"/>
        </w:rPr>
        <w:t>（三）基金存续期内的基金份额持有人数量和资产规模</w:t>
      </w:r>
    </w:p>
    <w:bookmarkEnd w:id="21"/>
    <w:bookmarkEnd w:id="22"/>
    <w:bookmarkEnd w:id="23"/>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w:t>
      </w:r>
      <w:r>
        <w:rPr>
          <w:rFonts w:ascii="宋体" w:hAnsi="宋体"/>
          <w:kern w:val="0"/>
          <w:sz w:val="24"/>
          <w:szCs w:val="24"/>
        </w:rPr>
        <w:t>50</w:t>
      </w:r>
      <w:r>
        <w:rPr>
          <w:rFonts w:hint="eastAsia" w:ascii="宋体" w:hAnsi="宋体"/>
          <w:kern w:val="0"/>
          <w:sz w:val="24"/>
          <w:szCs w:val="24"/>
        </w:rPr>
        <w:t>个工作日出现前述情形的，基金合同终止，不需召开基金份额持有人大会。</w:t>
      </w:r>
    </w:p>
    <w:p>
      <w:pPr>
        <w:widowControl/>
        <w:adjustRightInd w:val="0"/>
        <w:snapToGrid w:val="0"/>
        <w:spacing w:line="360" w:lineRule="auto"/>
        <w:ind w:firstLine="482"/>
        <w:rPr>
          <w:rFonts w:ascii="宋体" w:hAnsi="宋体"/>
          <w:kern w:val="0"/>
          <w:sz w:val="24"/>
          <w:szCs w:val="24"/>
        </w:rPr>
      </w:pPr>
      <w:r>
        <w:rPr>
          <w:rFonts w:hint="eastAsia" w:ascii="宋体" w:hAnsi="宋体"/>
          <w:kern w:val="0"/>
          <w:sz w:val="24"/>
          <w:szCs w:val="24"/>
        </w:rPr>
        <w:t>法律法规或中国证监会另有规定时，从其规定。</w:t>
      </w:r>
    </w:p>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5" w:name="_Toc62202546"/>
      <w:r>
        <w:rPr>
          <w:rFonts w:hint="eastAsia" w:ascii="宋体" w:hAnsi="宋体"/>
          <w:b/>
          <w:kern w:val="0"/>
          <w:sz w:val="30"/>
        </w:rPr>
        <w:t>八、基金份额的申购与赎回</w:t>
      </w:r>
      <w:bookmarkEnd w:id="24"/>
      <w:bookmarkEnd w:id="25"/>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3"/>
          <w:color w:val="auto"/>
          <w:sz w:val="24"/>
          <w:szCs w:val="24"/>
          <w:u w:val="none"/>
        </w:rPr>
      </w:pPr>
      <w:r>
        <w:rPr>
          <w:rStyle w:val="33"/>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3"/>
          <w:color w:val="auto"/>
          <w:sz w:val="24"/>
          <w:szCs w:val="24"/>
          <w:u w:val="none"/>
        </w:rPr>
      </w:pPr>
      <w:r>
        <w:rPr>
          <w:rStyle w:val="33"/>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3"/>
          <w:color w:val="auto"/>
          <w:sz w:val="24"/>
          <w:szCs w:val="24"/>
          <w:u w:val="none"/>
        </w:rPr>
      </w:pPr>
      <w:r>
        <w:rPr>
          <w:rStyle w:val="33"/>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3"/>
          <w:color w:val="auto"/>
          <w:sz w:val="24"/>
          <w:szCs w:val="24"/>
          <w:u w:val="none"/>
        </w:rPr>
      </w:pPr>
      <w:r>
        <w:rPr>
          <w:rStyle w:val="33"/>
          <w:rFonts w:hint="eastAsia"/>
          <w:color w:val="auto"/>
          <w:sz w:val="24"/>
          <w:szCs w:val="24"/>
          <w:u w:val="none"/>
        </w:rPr>
        <w:t>电话：（021）6105</w:t>
      </w:r>
      <w:r>
        <w:rPr>
          <w:rStyle w:val="33"/>
          <w:color w:val="auto"/>
          <w:sz w:val="24"/>
          <w:szCs w:val="24"/>
          <w:u w:val="none"/>
        </w:rPr>
        <w:t>5724</w:t>
      </w:r>
    </w:p>
    <w:p>
      <w:pPr>
        <w:pStyle w:val="4"/>
        <w:autoSpaceDE w:val="0"/>
        <w:autoSpaceDN w:val="0"/>
        <w:adjustRightInd w:val="0"/>
        <w:snapToGrid w:val="0"/>
        <w:spacing w:line="360" w:lineRule="auto"/>
        <w:ind w:firstLine="480"/>
        <w:rPr>
          <w:rStyle w:val="33"/>
          <w:color w:val="auto"/>
          <w:sz w:val="24"/>
          <w:szCs w:val="24"/>
          <w:u w:val="none"/>
        </w:rPr>
      </w:pPr>
      <w:r>
        <w:rPr>
          <w:rStyle w:val="33"/>
          <w:rFonts w:hint="eastAsia"/>
          <w:color w:val="auto"/>
          <w:sz w:val="24"/>
          <w:szCs w:val="24"/>
          <w:u w:val="none"/>
        </w:rPr>
        <w:t>传真：（021）61055054</w:t>
      </w:r>
    </w:p>
    <w:p>
      <w:pPr>
        <w:pStyle w:val="4"/>
        <w:autoSpaceDE w:val="0"/>
        <w:autoSpaceDN w:val="0"/>
        <w:adjustRightInd w:val="0"/>
        <w:snapToGrid w:val="0"/>
        <w:spacing w:line="360" w:lineRule="auto"/>
        <w:ind w:firstLine="480"/>
        <w:rPr>
          <w:rStyle w:val="33"/>
          <w:color w:val="auto"/>
          <w:sz w:val="24"/>
          <w:szCs w:val="24"/>
          <w:u w:val="none"/>
        </w:rPr>
      </w:pPr>
      <w:r>
        <w:rPr>
          <w:rStyle w:val="33"/>
          <w:rFonts w:hint="eastAsia"/>
          <w:color w:val="auto"/>
          <w:sz w:val="24"/>
          <w:szCs w:val="24"/>
          <w:u w:val="none"/>
        </w:rPr>
        <w:t>联系人：傅</w:t>
      </w:r>
      <w:r>
        <w:rPr>
          <w:rStyle w:val="33"/>
          <w:color w:val="auto"/>
          <w:sz w:val="24"/>
          <w:szCs w:val="24"/>
          <w:u w:val="none"/>
        </w:rPr>
        <w:t>鲸</w:t>
      </w:r>
    </w:p>
    <w:p>
      <w:pPr>
        <w:pStyle w:val="4"/>
        <w:autoSpaceDE w:val="0"/>
        <w:autoSpaceDN w:val="0"/>
        <w:adjustRightInd w:val="0"/>
        <w:snapToGrid w:val="0"/>
        <w:spacing w:line="360" w:lineRule="auto"/>
        <w:ind w:firstLine="480"/>
        <w:rPr>
          <w:rStyle w:val="33"/>
          <w:color w:val="auto"/>
          <w:sz w:val="24"/>
          <w:szCs w:val="24"/>
          <w:u w:val="none"/>
        </w:rPr>
      </w:pPr>
      <w:r>
        <w:rPr>
          <w:rStyle w:val="33"/>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3"/>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3"/>
          <w:color w:val="auto"/>
          <w:sz w:val="24"/>
          <w:szCs w:val="24"/>
          <w:u w:val="none"/>
        </w:rPr>
        <w:t>www.fund001.com</w:t>
      </w:r>
    </w:p>
    <w:p>
      <w:pPr>
        <w:pStyle w:val="4"/>
        <w:autoSpaceDE w:val="0"/>
        <w:autoSpaceDN w:val="0"/>
        <w:adjustRightInd w:val="0"/>
        <w:snapToGrid w:val="0"/>
        <w:spacing w:line="360" w:lineRule="auto"/>
        <w:ind w:firstLine="480"/>
        <w:outlineLvl w:val="2"/>
        <w:rPr>
          <w:kern w:val="0"/>
          <w:sz w:val="24"/>
          <w:szCs w:val="24"/>
        </w:rPr>
      </w:pPr>
      <w:r>
        <w:rPr>
          <w:kern w:val="0"/>
          <w:sz w:val="24"/>
        </w:rPr>
        <w:t>2、</w:t>
      </w:r>
      <w:r>
        <w:rPr>
          <w:rFonts w:hint="eastAsia"/>
          <w:kern w:val="0"/>
          <w:sz w:val="24"/>
        </w:rPr>
        <w:t>除基金管理人之外的其他销售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章节或拨打本公司客户服务电话进行咨询。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outlineLvl w:val="1"/>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outlineLvl w:val="2"/>
        <w:rPr>
          <w:bCs/>
          <w:sz w:val="24"/>
          <w:szCs w:val="24"/>
        </w:rPr>
      </w:pPr>
      <w:r>
        <w:rPr>
          <w:bCs/>
          <w:sz w:val="24"/>
          <w:szCs w:val="24"/>
        </w:rPr>
        <w:t>1、开放日及开放时间</w:t>
      </w:r>
    </w:p>
    <w:p>
      <w:pPr>
        <w:adjustRightInd w:val="0"/>
        <w:snapToGrid w:val="0"/>
        <w:spacing w:line="360" w:lineRule="auto"/>
        <w:ind w:firstLine="480" w:firstLineChars="200"/>
        <w:rPr>
          <w:sz w:val="24"/>
          <w:szCs w:val="24"/>
        </w:rPr>
      </w:pPr>
      <w:r>
        <w:rPr>
          <w:rFonts w:hint="eastAsia"/>
          <w:sz w:val="24"/>
          <w:szCs w:val="24"/>
        </w:rPr>
        <w:t>投资人在开放日办理基金份额的申购和赎回，但对于每份基金份额，基金份额持有人仅可在该份额最短持有期限届满后申请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outlineLvl w:val="2"/>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基金管理人自基金合同生效之日起不超过3个月开始办理申购，具体业务办理时间在申购开始公告中规定。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w:t>
      </w:r>
      <w:r>
        <w:rPr>
          <w:rFonts w:hint="eastAsia"/>
          <w:bCs/>
          <w:sz w:val="24"/>
        </w:rPr>
        <w:t>一年后年度对日</w:t>
      </w:r>
      <w:r>
        <w:rPr>
          <w:rFonts w:hint="eastAsia"/>
          <w:sz w:val="24"/>
          <w:szCs w:val="24"/>
        </w:rPr>
        <w:t>（含该日）开始办理赎回，具体业务办理时间在赎回开始公告中规定。对于每份基金份额，自其最短持有期限届满的下一工作日起（含该日），基金份额持有人方可就该基金份额提出赎回申请。</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投资人在最短持有期限内提出的赎回或转换申请，视为无效申请。</w:t>
      </w:r>
    </w:p>
    <w:p>
      <w:pPr>
        <w:adjustRightInd w:val="0"/>
        <w:snapToGrid w:val="0"/>
        <w:spacing w:line="360" w:lineRule="auto"/>
        <w:ind w:firstLine="482" w:firstLineChars="200"/>
        <w:outlineLvl w:val="1"/>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1、“未知价”原则，即申购、赎回价格以申请当日收市后计算的基金份额净值为基准进行计算；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26"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本基金暂无最低保留余额限制。</w:t>
      </w:r>
      <w:bookmarkEnd w:id="26"/>
    </w:p>
    <w:p>
      <w:pPr>
        <w:widowControl/>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outlineLvl w:val="1"/>
        <w:rPr>
          <w:sz w:val="24"/>
          <w:szCs w:val="24"/>
        </w:rPr>
      </w:pPr>
      <w:r>
        <w:rPr>
          <w:rFonts w:hAnsi="宋体"/>
          <w:b/>
          <w:kern w:val="0"/>
          <w:sz w:val="24"/>
          <w:szCs w:val="24"/>
        </w:rPr>
        <w:t>（五）申购和赎回的程序</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pStyle w:val="4"/>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本基金基金份额分为A类基金份额和C类基金份额。投资人申购A类基金份额在申购时支付申购费用；申购C类基金份额不支付申购费用，并从该类别基金资产中计提销售服务费。</w:t>
      </w:r>
    </w:p>
    <w:p>
      <w:pPr>
        <w:widowControl/>
        <w:adjustRightInd w:val="0"/>
        <w:snapToGrid w:val="0"/>
        <w:spacing w:line="360" w:lineRule="auto"/>
        <w:ind w:firstLine="480" w:firstLineChars="200"/>
        <w:rPr>
          <w:rFonts w:hAnsi="宋体"/>
          <w:sz w:val="24"/>
          <w:szCs w:val="24"/>
        </w:rPr>
      </w:pPr>
      <w:r>
        <w:rPr>
          <w:rFonts w:hint="eastAsia" w:hAnsi="宋体"/>
          <w:sz w:val="24"/>
          <w:szCs w:val="24"/>
        </w:rPr>
        <w:t>A类基金份额的申购费用由A类基金份额申购人承担，</w:t>
      </w:r>
      <w:r>
        <w:rPr>
          <w:rFonts w:hAnsi="宋体"/>
          <w:sz w:val="24"/>
          <w:szCs w:val="24"/>
        </w:rPr>
        <w:t>不列入基金财产，主要用于本基金的市场推广、销售、登记等各项费用。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投资人可以多次申购本基金，申购费</w:t>
      </w:r>
      <w:r>
        <w:rPr>
          <w:rFonts w:hint="eastAsia" w:hAnsi="宋体"/>
          <w:sz w:val="24"/>
          <w:szCs w:val="24"/>
        </w:rPr>
        <w:t>用</w:t>
      </w:r>
      <w:r>
        <w:rPr>
          <w:rFonts w:hAnsi="宋体"/>
          <w:sz w:val="24"/>
          <w:szCs w:val="24"/>
        </w:rPr>
        <w:t>按每笔申购申请单独计算。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sz w:val="24"/>
          <w:szCs w:val="24"/>
        </w:rPr>
        <w:t>A类基金份额（非养老金客户）</w:t>
      </w:r>
      <w:r>
        <w:rPr>
          <w:rFonts w:hAnsi="宋体"/>
          <w:sz w:val="24"/>
          <w:szCs w:val="24"/>
        </w:rPr>
        <w:t>的申购费率如下：</w:t>
      </w:r>
    </w:p>
    <w:tbl>
      <w:tblPr>
        <w:tblStyle w:val="28"/>
        <w:tblW w:w="7794"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491"/>
        <w:gridCol w:w="3260"/>
        <w:gridCol w:w="2043"/>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2491" w:type="dxa"/>
            <w:vMerge w:val="restart"/>
            <w:vAlign w:val="center"/>
          </w:tcPr>
          <w:p>
            <w:pPr>
              <w:adjustRightInd w:val="0"/>
              <w:snapToGrid w:val="0"/>
              <w:jc w:val="center"/>
              <w:rPr>
                <w:sz w:val="24"/>
              </w:rPr>
            </w:pPr>
            <w:r>
              <w:rPr>
                <w:rFonts w:hint="eastAsia"/>
                <w:sz w:val="24"/>
              </w:rPr>
              <w:t>申购费率</w:t>
            </w:r>
          </w:p>
        </w:tc>
        <w:tc>
          <w:tcPr>
            <w:tcW w:w="3260" w:type="dxa"/>
            <w:shd w:val="clear" w:color="auto" w:fill="FFFFFF"/>
            <w:vAlign w:val="center"/>
          </w:tcPr>
          <w:p>
            <w:pPr>
              <w:adjustRightInd w:val="0"/>
              <w:snapToGrid w:val="0"/>
              <w:jc w:val="center"/>
              <w:rPr>
                <w:b/>
                <w:sz w:val="24"/>
              </w:rPr>
            </w:pPr>
            <w:r>
              <w:rPr>
                <w:rFonts w:hint="eastAsia"/>
                <w:b/>
                <w:sz w:val="24"/>
              </w:rPr>
              <w:t>申购金额（含申购费）</w:t>
            </w:r>
          </w:p>
        </w:tc>
        <w:tc>
          <w:tcPr>
            <w:tcW w:w="2043" w:type="dxa"/>
            <w:shd w:val="clear" w:color="auto" w:fill="FFFFFF"/>
            <w:vAlign w:val="center"/>
          </w:tcPr>
          <w:p>
            <w:pPr>
              <w:adjustRightInd w:val="0"/>
              <w:snapToGrid w:val="0"/>
              <w:jc w:val="center"/>
              <w:rPr>
                <w:b/>
                <w:sz w:val="24"/>
              </w:rPr>
            </w:pPr>
            <w:r>
              <w:rPr>
                <w:rFonts w:hint="eastAsia"/>
                <w:b/>
                <w:sz w:val="24"/>
              </w:rPr>
              <w:t>A类基金份额申购费率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rFonts w:hint="eastAsia"/>
                <w:sz w:val="24"/>
              </w:rPr>
              <w:t>100</w:t>
            </w:r>
            <w:r>
              <w:rPr>
                <w:rFonts w:hint="eastAsia" w:hAnsi="宋体"/>
                <w:sz w:val="24"/>
              </w:rPr>
              <w:t>万元以下</w:t>
            </w:r>
          </w:p>
        </w:tc>
        <w:tc>
          <w:tcPr>
            <w:tcW w:w="2043" w:type="dxa"/>
          </w:tcPr>
          <w:p>
            <w:pPr>
              <w:adjustRightInd w:val="0"/>
              <w:snapToGrid w:val="0"/>
              <w:jc w:val="center"/>
              <w:rPr>
                <w:sz w:val="24"/>
              </w:rPr>
            </w:pPr>
            <w:r>
              <w:rPr>
                <w:rFonts w:hint="eastAsia"/>
                <w:sz w:val="24"/>
              </w:rPr>
              <w:t>1.0%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rFonts w:hint="eastAsia"/>
                <w:sz w:val="24"/>
              </w:rPr>
              <w:t>100</w:t>
            </w:r>
            <w:r>
              <w:rPr>
                <w:rFonts w:hint="eastAsia" w:hAnsi="宋体"/>
                <w:sz w:val="24"/>
              </w:rPr>
              <w:t>万元（含）至5</w:t>
            </w:r>
            <w:r>
              <w:rPr>
                <w:rFonts w:hint="eastAsia"/>
                <w:sz w:val="24"/>
              </w:rPr>
              <w:t>00</w:t>
            </w:r>
            <w:r>
              <w:rPr>
                <w:rFonts w:hint="eastAsia" w:hAnsi="宋体"/>
                <w:sz w:val="24"/>
              </w:rPr>
              <w:t>万元</w:t>
            </w:r>
          </w:p>
        </w:tc>
        <w:tc>
          <w:tcPr>
            <w:tcW w:w="2043" w:type="dxa"/>
          </w:tcPr>
          <w:p>
            <w:pPr>
              <w:adjustRightInd w:val="0"/>
              <w:snapToGrid w:val="0"/>
              <w:jc w:val="center"/>
              <w:rPr>
                <w:sz w:val="24"/>
              </w:rPr>
            </w:pPr>
            <w:r>
              <w:rPr>
                <w:rFonts w:hint="eastAsia"/>
                <w:sz w:val="24"/>
              </w:rPr>
              <w:t>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rFonts w:hint="eastAsia"/>
                <w:sz w:val="24"/>
              </w:rPr>
              <w:t>500</w:t>
            </w:r>
            <w:r>
              <w:rPr>
                <w:rFonts w:hint="eastAsia" w:hAnsi="宋体"/>
                <w:sz w:val="24"/>
              </w:rPr>
              <w:t>万元以上（含</w:t>
            </w:r>
            <w:r>
              <w:rPr>
                <w:rFonts w:hint="eastAsia"/>
                <w:sz w:val="24"/>
              </w:rPr>
              <w:t>500</w:t>
            </w:r>
            <w:r>
              <w:rPr>
                <w:rFonts w:hint="eastAsia" w:hAnsi="宋体"/>
                <w:sz w:val="24"/>
              </w:rPr>
              <w:t>万元）</w:t>
            </w:r>
          </w:p>
        </w:tc>
        <w:tc>
          <w:tcPr>
            <w:tcW w:w="2043" w:type="dxa"/>
          </w:tcPr>
          <w:p>
            <w:pPr>
              <w:adjustRightInd w:val="0"/>
              <w:snapToGrid w:val="0"/>
              <w:jc w:val="center"/>
              <w:rPr>
                <w:sz w:val="24"/>
              </w:rPr>
            </w:pPr>
            <w:r>
              <w:rPr>
                <w:rFonts w:hint="eastAsia" w:hAnsi="宋体"/>
                <w:sz w:val="24"/>
              </w:rPr>
              <w:t>每笔交易</w:t>
            </w:r>
            <w:r>
              <w:rPr>
                <w:rFonts w:hint="eastAsia"/>
                <w:sz w:val="24"/>
              </w:rPr>
              <w:t>1000</w:t>
            </w:r>
            <w:r>
              <w:rPr>
                <w:rFonts w:hint="eastAsia" w:hAnsi="宋体"/>
                <w:sz w:val="24"/>
              </w:rPr>
              <w:t>元</w:t>
            </w:r>
          </w:p>
        </w:tc>
      </w:tr>
    </w:tbl>
    <w:p>
      <w:pPr>
        <w:widowControl/>
        <w:adjustRightInd w:val="0"/>
        <w:snapToGrid w:val="0"/>
        <w:spacing w:before="143" w:beforeLines="50" w:line="360" w:lineRule="auto"/>
        <w:ind w:firstLine="480" w:firstLineChars="200"/>
        <w:rPr>
          <w:sz w:val="24"/>
          <w:szCs w:val="24"/>
        </w:rPr>
      </w:pPr>
      <w:r>
        <w:rPr>
          <w:rFonts w:hint="eastAsia" w:hAnsi="宋体"/>
          <w:sz w:val="24"/>
          <w:szCs w:val="24"/>
        </w:rPr>
        <w:t>持有A类基金份额的投资人因红利自动再投资而产生的A类基金份额，不收取相应的申购费用。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本基金A类基金份额的养老金客户实施特定申购费率。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通过基金管理人直销柜台申购本基金A类基金份额的养老金客户特定申购费率如下表：</w:t>
      </w:r>
    </w:p>
    <w:tbl>
      <w:tblPr>
        <w:tblStyle w:val="28"/>
        <w:tblW w:w="7794"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491"/>
        <w:gridCol w:w="3260"/>
        <w:gridCol w:w="2043"/>
      </w:tblGrid>
      <w:tr>
        <w:tblPrEx>
          <w:tblCellMar>
            <w:top w:w="0" w:type="dxa"/>
            <w:left w:w="108" w:type="dxa"/>
            <w:bottom w:w="0" w:type="dxa"/>
            <w:right w:w="108" w:type="dxa"/>
          </w:tblCellMar>
        </w:tblPrEx>
        <w:trPr>
          <w:cantSplit/>
          <w:trHeight w:val="132" w:hRule="atLeast"/>
        </w:trPr>
        <w:tc>
          <w:tcPr>
            <w:tcW w:w="2491" w:type="dxa"/>
            <w:vMerge w:val="restart"/>
            <w:vAlign w:val="center"/>
          </w:tcPr>
          <w:p>
            <w:pPr>
              <w:adjustRightInd w:val="0"/>
              <w:snapToGrid w:val="0"/>
              <w:jc w:val="center"/>
              <w:rPr>
                <w:sz w:val="24"/>
              </w:rPr>
            </w:pPr>
            <w:r>
              <w:rPr>
                <w:rFonts w:hint="eastAsia"/>
                <w:sz w:val="24"/>
              </w:rPr>
              <w:t>申购费率</w:t>
            </w:r>
          </w:p>
        </w:tc>
        <w:tc>
          <w:tcPr>
            <w:tcW w:w="3260" w:type="dxa"/>
            <w:shd w:val="clear" w:color="auto" w:fill="FFFFFF"/>
            <w:vAlign w:val="center"/>
          </w:tcPr>
          <w:p>
            <w:pPr>
              <w:adjustRightInd w:val="0"/>
              <w:snapToGrid w:val="0"/>
              <w:jc w:val="center"/>
              <w:rPr>
                <w:b/>
                <w:sz w:val="24"/>
              </w:rPr>
            </w:pPr>
            <w:r>
              <w:rPr>
                <w:rFonts w:hint="eastAsia"/>
                <w:b/>
                <w:sz w:val="24"/>
              </w:rPr>
              <w:t>申购金额（含申购费）</w:t>
            </w:r>
          </w:p>
        </w:tc>
        <w:tc>
          <w:tcPr>
            <w:tcW w:w="2043" w:type="dxa"/>
            <w:shd w:val="clear" w:color="auto" w:fill="FFFFFF"/>
            <w:vAlign w:val="center"/>
          </w:tcPr>
          <w:p>
            <w:pPr>
              <w:adjustRightInd w:val="0"/>
              <w:snapToGrid w:val="0"/>
              <w:jc w:val="center"/>
              <w:rPr>
                <w:b/>
                <w:sz w:val="24"/>
              </w:rPr>
            </w:pPr>
            <w:r>
              <w:rPr>
                <w:rFonts w:hint="eastAsia"/>
                <w:b/>
                <w:sz w:val="24"/>
              </w:rPr>
              <w:t>A类基金份额特定申购费率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rFonts w:hint="eastAsia"/>
                <w:sz w:val="24"/>
              </w:rPr>
              <w:t>100</w:t>
            </w:r>
            <w:r>
              <w:rPr>
                <w:rFonts w:hint="eastAsia" w:hAnsi="宋体"/>
                <w:sz w:val="24"/>
              </w:rPr>
              <w:t>万元以下</w:t>
            </w:r>
          </w:p>
        </w:tc>
        <w:tc>
          <w:tcPr>
            <w:tcW w:w="2043" w:type="dxa"/>
          </w:tcPr>
          <w:p>
            <w:pPr>
              <w:adjustRightInd w:val="0"/>
              <w:snapToGrid w:val="0"/>
              <w:jc w:val="center"/>
              <w:rPr>
                <w:sz w:val="24"/>
              </w:rPr>
            </w:pPr>
            <w:r>
              <w:rPr>
                <w:rFonts w:hint="eastAsia"/>
                <w:sz w:val="24"/>
              </w:rPr>
              <w:t>0.40%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rFonts w:hint="eastAsia"/>
                <w:sz w:val="24"/>
              </w:rPr>
              <w:t>100</w:t>
            </w:r>
            <w:r>
              <w:rPr>
                <w:rFonts w:hint="eastAsia" w:hAnsi="宋体"/>
                <w:sz w:val="24"/>
              </w:rPr>
              <w:t>万元（含）至5</w:t>
            </w:r>
            <w:r>
              <w:rPr>
                <w:rFonts w:hint="eastAsia"/>
                <w:sz w:val="24"/>
              </w:rPr>
              <w:t>00</w:t>
            </w:r>
            <w:r>
              <w:rPr>
                <w:rFonts w:hint="eastAsia" w:hAnsi="宋体"/>
                <w:sz w:val="24"/>
              </w:rPr>
              <w:t>万元</w:t>
            </w:r>
          </w:p>
        </w:tc>
        <w:tc>
          <w:tcPr>
            <w:tcW w:w="2043" w:type="dxa"/>
          </w:tcPr>
          <w:p>
            <w:pPr>
              <w:adjustRightInd w:val="0"/>
              <w:snapToGrid w:val="0"/>
              <w:jc w:val="center"/>
              <w:rPr>
                <w:sz w:val="24"/>
              </w:rPr>
            </w:pPr>
            <w:r>
              <w:rPr>
                <w:rFonts w:hint="eastAsia"/>
                <w:sz w:val="24"/>
              </w:rPr>
              <w:t>0.12%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491" w:type="dxa"/>
            <w:vMerge w:val="continue"/>
          </w:tcPr>
          <w:p>
            <w:pPr>
              <w:adjustRightInd w:val="0"/>
              <w:snapToGrid w:val="0"/>
              <w:rPr>
                <w:sz w:val="24"/>
              </w:rPr>
            </w:pPr>
          </w:p>
        </w:tc>
        <w:tc>
          <w:tcPr>
            <w:tcW w:w="3260" w:type="dxa"/>
          </w:tcPr>
          <w:p>
            <w:pPr>
              <w:adjustRightInd w:val="0"/>
              <w:snapToGrid w:val="0"/>
              <w:rPr>
                <w:sz w:val="24"/>
              </w:rPr>
            </w:pPr>
            <w:r>
              <w:rPr>
                <w:rFonts w:hint="eastAsia"/>
                <w:sz w:val="24"/>
              </w:rPr>
              <w:t>500</w:t>
            </w:r>
            <w:r>
              <w:rPr>
                <w:rFonts w:hint="eastAsia" w:hAnsi="宋体"/>
                <w:sz w:val="24"/>
              </w:rPr>
              <w:t>万元以上（含</w:t>
            </w:r>
            <w:r>
              <w:rPr>
                <w:rFonts w:hint="eastAsia"/>
                <w:sz w:val="24"/>
              </w:rPr>
              <w:t>500</w:t>
            </w:r>
            <w:r>
              <w:rPr>
                <w:rFonts w:hint="eastAsia" w:hAnsi="宋体"/>
                <w:sz w:val="24"/>
              </w:rPr>
              <w:t>万元）</w:t>
            </w:r>
          </w:p>
        </w:tc>
        <w:tc>
          <w:tcPr>
            <w:tcW w:w="2043" w:type="dxa"/>
          </w:tcPr>
          <w:p>
            <w:pPr>
              <w:adjustRightInd w:val="0"/>
              <w:snapToGrid w:val="0"/>
              <w:jc w:val="center"/>
              <w:rPr>
                <w:sz w:val="24"/>
              </w:rPr>
            </w:pPr>
            <w:r>
              <w:rPr>
                <w:rFonts w:hint="eastAsia" w:hAnsi="宋体"/>
                <w:sz w:val="24"/>
              </w:rPr>
              <w:t>每笔交易</w:t>
            </w:r>
            <w:r>
              <w:rPr>
                <w:rFonts w:hint="eastAsia"/>
                <w:sz w:val="24"/>
              </w:rPr>
              <w:t>1000</w:t>
            </w:r>
            <w:r>
              <w:rPr>
                <w:rFonts w:hint="eastAsia" w:hAnsi="宋体"/>
                <w:sz w:val="24"/>
              </w:rPr>
              <w:t>元</w:t>
            </w:r>
          </w:p>
        </w:tc>
      </w:tr>
    </w:tbl>
    <w:p>
      <w:pPr>
        <w:widowControl/>
        <w:adjustRightInd w:val="0"/>
        <w:snapToGrid w:val="0"/>
        <w:spacing w:line="360" w:lineRule="auto"/>
        <w:ind w:firstLine="480" w:firstLineChars="200"/>
        <w:rPr>
          <w:rFonts w:hAnsi="宋体"/>
          <w:kern w:val="0"/>
          <w:sz w:val="24"/>
          <w:szCs w:val="24"/>
        </w:rPr>
      </w:pPr>
      <w:r>
        <w:rPr>
          <w:rFonts w:hAnsi="宋体"/>
          <w:kern w:val="0"/>
          <w:sz w:val="24"/>
          <w:szCs w:val="24"/>
        </w:rPr>
        <w:t>2、赎回费用</w:t>
      </w:r>
    </w:p>
    <w:p>
      <w:pPr>
        <w:widowControl/>
        <w:adjustRightInd w:val="0"/>
        <w:snapToGrid w:val="0"/>
        <w:spacing w:line="360" w:lineRule="auto"/>
        <w:ind w:firstLine="480" w:firstLineChars="200"/>
        <w:rPr>
          <w:rFonts w:hAnsi="宋体"/>
          <w:sz w:val="24"/>
        </w:rPr>
      </w:pPr>
      <w:r>
        <w:rPr>
          <w:rFonts w:hint="eastAsia" w:hAnsi="宋体"/>
          <w:kern w:val="0"/>
          <w:sz w:val="24"/>
          <w:szCs w:val="24"/>
        </w:rPr>
        <w:t>基金份额持有人持有的每份基金份额最短持有期限为一年，最短</w:t>
      </w:r>
      <w:r>
        <w:rPr>
          <w:rFonts w:hAnsi="宋体"/>
          <w:kern w:val="0"/>
          <w:sz w:val="24"/>
          <w:szCs w:val="24"/>
        </w:rPr>
        <w:t>持有期限届满后，</w:t>
      </w:r>
      <w:r>
        <w:rPr>
          <w:rFonts w:hint="eastAsia" w:hAnsi="宋体"/>
          <w:kern w:val="0"/>
          <w:sz w:val="24"/>
          <w:szCs w:val="24"/>
        </w:rPr>
        <w:t>本基金不收取赎回费。其中，对于不受最短持有期限制的红利再投资所得基金份额，对持续持有期少于7日的</w:t>
      </w:r>
      <w:r>
        <w:rPr>
          <w:rFonts w:hAnsi="宋体"/>
          <w:kern w:val="0"/>
          <w:sz w:val="24"/>
          <w:szCs w:val="24"/>
        </w:rPr>
        <w:t>投资者</w:t>
      </w:r>
      <w:r>
        <w:rPr>
          <w:rFonts w:hint="eastAsia" w:hAnsi="宋体"/>
          <w:kern w:val="0"/>
          <w:sz w:val="24"/>
          <w:szCs w:val="24"/>
        </w:rPr>
        <w:t>收取1.5%的赎回费，并全额计入基金财产。</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bCs/>
          <w:sz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outlineLvl w:val="1"/>
        <w:rPr>
          <w:b/>
          <w:kern w:val="0"/>
          <w:sz w:val="24"/>
          <w:szCs w:val="24"/>
        </w:rPr>
      </w:pPr>
      <w:bookmarkStart w:id="27" w:name="_Hlt90458725"/>
      <w:bookmarkEnd w:id="27"/>
      <w:bookmarkStart w:id="28" w:name="_Hlt81024033"/>
      <w:bookmarkEnd w:id="28"/>
      <w:bookmarkStart w:id="29" w:name="_Hlt91144389"/>
      <w:bookmarkEnd w:id="29"/>
      <w:r>
        <w:rPr>
          <w:rFonts w:hAnsi="宋体"/>
          <w:b/>
          <w:kern w:val="0"/>
          <w:sz w:val="24"/>
          <w:szCs w:val="24"/>
        </w:rPr>
        <w:t>（七）申购和赎回的数额和价格</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w:t>
      </w:r>
      <w:r>
        <w:rPr>
          <w:sz w:val="24"/>
        </w:rPr>
        <w:t>A</w:t>
      </w:r>
      <w:r>
        <w:rPr>
          <w:rFonts w:hAnsi="宋体"/>
          <w:sz w:val="24"/>
        </w:rPr>
        <w:t>类基金份额</w:t>
      </w:r>
      <w:r>
        <w:rPr>
          <w:rFonts w:hint="eastAsia" w:hAnsi="宋体"/>
          <w:sz w:val="24"/>
        </w:rPr>
        <w:t>或C类基金份额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int="eastAsia" w:hAnsi="宋体"/>
          <w:kern w:val="0"/>
          <w:sz w:val="24"/>
          <w:szCs w:val="24"/>
        </w:rPr>
        <w:t>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sz w:val="24"/>
        </w:rPr>
        <w:t>A</w:t>
      </w:r>
      <w:r>
        <w:rPr>
          <w:rFonts w:hAnsi="宋体"/>
          <w:sz w:val="24"/>
        </w:rPr>
        <w:t>类</w:t>
      </w:r>
      <w:r>
        <w:rPr>
          <w:rFonts w:hint="eastAsia" w:hAnsi="宋体"/>
          <w:sz w:val="24"/>
        </w:rPr>
        <w:t>基金份额或C类基金份额的</w:t>
      </w:r>
      <w:r>
        <w:rPr>
          <w:rFonts w:hAnsi="宋体"/>
          <w:kern w:val="0"/>
          <w:sz w:val="24"/>
          <w:szCs w:val="24"/>
        </w:rPr>
        <w:t>赎回金额为按实际确认的有效赎回份额乘以当日</w:t>
      </w:r>
      <w:r>
        <w:rPr>
          <w:rFonts w:hint="eastAsia"/>
          <w:bCs/>
          <w:sz w:val="24"/>
        </w:rPr>
        <w:t>该类基金份额的</w:t>
      </w:r>
      <w:r>
        <w:rPr>
          <w:rFonts w:hAnsi="宋体"/>
          <w:kern w:val="0"/>
          <w:sz w:val="24"/>
          <w:szCs w:val="24"/>
        </w:rPr>
        <w:t>基金份额净值并扣除相应的费用（如有），赎回金额单位为元。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A类基金份额的申购</w:t>
      </w:r>
    </w:p>
    <w:p>
      <w:pPr>
        <w:widowControl/>
        <w:adjustRightInd w:val="0"/>
        <w:snapToGrid w:val="0"/>
        <w:spacing w:line="360" w:lineRule="auto"/>
        <w:ind w:firstLine="480" w:firstLineChars="200"/>
        <w:rPr>
          <w:rFonts w:hAnsi="宋体"/>
          <w:kern w:val="0"/>
          <w:sz w:val="24"/>
        </w:rPr>
      </w:pPr>
      <w:r>
        <w:rPr>
          <w:rFonts w:hint="eastAsia" w:hAnsi="宋体"/>
          <w:kern w:val="0"/>
          <w:sz w:val="24"/>
        </w:rPr>
        <w:t>申购总金额</w:t>
      </w:r>
      <w:r>
        <w:rPr>
          <w:rFonts w:hAnsi="宋体"/>
          <w:kern w:val="0"/>
          <w:sz w:val="24"/>
        </w:rPr>
        <w:t>=</w:t>
      </w:r>
      <w:r>
        <w:rPr>
          <w:rFonts w:hint="eastAsia" w:hAnsi="宋体"/>
          <w:kern w:val="0"/>
          <w:sz w:val="24"/>
        </w:rPr>
        <w:t>申请总金额</w:t>
      </w:r>
    </w:p>
    <w:p>
      <w:pPr>
        <w:widowControl/>
        <w:adjustRightInd w:val="0"/>
        <w:snapToGrid w:val="0"/>
        <w:spacing w:line="360" w:lineRule="auto"/>
        <w:ind w:firstLine="480" w:firstLineChars="200"/>
        <w:rPr>
          <w:rFonts w:hAnsi="宋体"/>
          <w:kern w:val="0"/>
          <w:sz w:val="24"/>
        </w:rPr>
      </w:pPr>
      <w:r>
        <w:rPr>
          <w:rFonts w:hint="eastAsia" w:hAnsi="宋体"/>
          <w:kern w:val="0"/>
          <w:sz w:val="24"/>
        </w:rPr>
        <w:t>净申购金额</w:t>
      </w:r>
      <w:r>
        <w:rPr>
          <w:rFonts w:hAnsi="宋体"/>
          <w:kern w:val="0"/>
          <w:sz w:val="24"/>
        </w:rPr>
        <w:t>=</w:t>
      </w:r>
      <w:r>
        <w:rPr>
          <w:rFonts w:hint="eastAsia" w:hAnsi="宋体"/>
          <w:kern w:val="0"/>
          <w:sz w:val="24"/>
        </w:rPr>
        <w:t>申购总金额</w:t>
      </w:r>
      <w:r>
        <w:rPr>
          <w:rFonts w:hAnsi="宋体"/>
          <w:kern w:val="0"/>
          <w:sz w:val="24"/>
        </w:rPr>
        <w:t>/</w:t>
      </w:r>
      <w:r>
        <w:rPr>
          <w:rFonts w:hint="eastAsia" w:hAnsi="宋体"/>
          <w:kern w:val="0"/>
          <w:sz w:val="24"/>
        </w:rPr>
        <w:t>（</w:t>
      </w:r>
      <w:r>
        <w:rPr>
          <w:rFonts w:hAnsi="宋体"/>
          <w:kern w:val="0"/>
          <w:sz w:val="24"/>
        </w:rPr>
        <w:t>1+</w:t>
      </w:r>
      <w:r>
        <w:rPr>
          <w:rFonts w:hint="eastAsia" w:hAnsi="宋体"/>
          <w:kern w:val="0"/>
          <w:sz w:val="24"/>
        </w:rPr>
        <w:t>申购费率）</w:t>
      </w:r>
    </w:p>
    <w:p>
      <w:pPr>
        <w:widowControl/>
        <w:adjustRightInd w:val="0"/>
        <w:snapToGrid w:val="0"/>
        <w:spacing w:line="360" w:lineRule="auto"/>
        <w:ind w:firstLine="480" w:firstLineChars="200"/>
        <w:rPr>
          <w:rFonts w:hAnsi="宋体"/>
          <w:kern w:val="0"/>
          <w:sz w:val="24"/>
        </w:rPr>
      </w:pPr>
      <w:r>
        <w:rPr>
          <w:rFonts w:hint="eastAsia" w:hAnsi="宋体"/>
          <w:kern w:val="0"/>
          <w:sz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rPr>
      </w:pPr>
      <w:r>
        <w:rPr>
          <w:rFonts w:hint="eastAsia" w:hAnsi="宋体"/>
          <w:kern w:val="0"/>
          <w:sz w:val="24"/>
        </w:rPr>
        <w:t>申购费用</w:t>
      </w:r>
      <w:r>
        <w:rPr>
          <w:rFonts w:hAnsi="宋体"/>
          <w:kern w:val="0"/>
          <w:sz w:val="24"/>
        </w:rPr>
        <w:t>=</w:t>
      </w:r>
      <w:r>
        <w:rPr>
          <w:rFonts w:hint="eastAsia" w:hAnsi="宋体"/>
          <w:kern w:val="0"/>
          <w:sz w:val="24"/>
        </w:rPr>
        <w:t>申购总金额</w:t>
      </w:r>
      <w:r>
        <w:rPr>
          <w:rFonts w:hAnsi="宋体"/>
          <w:kern w:val="0"/>
          <w:sz w:val="24"/>
        </w:rPr>
        <w:t>-</w:t>
      </w:r>
      <w:r>
        <w:rPr>
          <w:rFonts w:hint="eastAsia" w:hAnsi="宋体"/>
          <w:kern w:val="0"/>
          <w:sz w:val="24"/>
        </w:rPr>
        <w:t>净申购金额</w:t>
      </w:r>
    </w:p>
    <w:p>
      <w:pPr>
        <w:widowControl/>
        <w:adjustRightInd w:val="0"/>
        <w:snapToGrid w:val="0"/>
        <w:spacing w:line="360" w:lineRule="auto"/>
        <w:ind w:firstLine="480" w:firstLineChars="200"/>
        <w:rPr>
          <w:rFonts w:hAnsi="宋体"/>
          <w:kern w:val="0"/>
          <w:sz w:val="24"/>
        </w:rPr>
      </w:pPr>
      <w:r>
        <w:rPr>
          <w:rFonts w:hint="eastAsia" w:hAnsi="宋体"/>
          <w:kern w:val="0"/>
          <w:sz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rPr>
      </w:pPr>
      <w:r>
        <w:rPr>
          <w:kern w:val="0"/>
          <w:sz w:val="24"/>
        </w:rPr>
        <w:t>申购份额</w:t>
      </w:r>
      <w:r>
        <w:rPr>
          <w:rFonts w:hint="eastAsia"/>
          <w:kern w:val="0"/>
          <w:sz w:val="24"/>
        </w:rPr>
        <w:t>=（申购总金额-申购费用）/T日A类基金份额净值</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例</w:t>
      </w:r>
      <w:r>
        <w:rPr>
          <w:rFonts w:hint="eastAsia" w:hAnsi="宋体"/>
          <w:kern w:val="0"/>
          <w:sz w:val="24"/>
          <w:szCs w:val="24"/>
        </w:rPr>
        <w:t>四</w:t>
      </w:r>
      <w:r>
        <w:rPr>
          <w:rFonts w:hAnsi="宋体"/>
          <w:kern w:val="0"/>
          <w:sz w:val="24"/>
          <w:szCs w:val="24"/>
        </w:rPr>
        <w:t>：某投资者</w:t>
      </w:r>
      <w:r>
        <w:rPr>
          <w:rFonts w:hint="eastAsia" w:ascii="宋体" w:hAnsi="宋体"/>
          <w:sz w:val="24"/>
        </w:rPr>
        <w:t>（非养老金客户）</w:t>
      </w:r>
      <w:r>
        <w:rPr>
          <w:rFonts w:hAnsi="宋体"/>
          <w:kern w:val="0"/>
          <w:sz w:val="24"/>
          <w:szCs w:val="24"/>
        </w:rPr>
        <w:t>投资</w:t>
      </w:r>
      <w:r>
        <w:rPr>
          <w:rFonts w:hint="eastAsia" w:hAnsi="宋体"/>
          <w:kern w:val="0"/>
          <w:sz w:val="24"/>
          <w:szCs w:val="24"/>
        </w:rPr>
        <w:t>10</w:t>
      </w:r>
      <w:r>
        <w:rPr>
          <w:rFonts w:hAnsi="宋体"/>
          <w:kern w:val="0"/>
          <w:sz w:val="24"/>
          <w:szCs w:val="24"/>
        </w:rPr>
        <w:t>0,000元申购本基金</w:t>
      </w:r>
      <w:r>
        <w:rPr>
          <w:rFonts w:hint="eastAsia" w:hAnsi="宋体"/>
          <w:kern w:val="0"/>
          <w:sz w:val="24"/>
          <w:szCs w:val="24"/>
        </w:rPr>
        <w:t>的A类基金份额</w:t>
      </w:r>
      <w:r>
        <w:rPr>
          <w:rFonts w:hAnsi="宋体"/>
          <w:kern w:val="0"/>
          <w:sz w:val="24"/>
          <w:szCs w:val="24"/>
        </w:rPr>
        <w:t>，假设申购当日</w:t>
      </w:r>
      <w:r>
        <w:rPr>
          <w:rFonts w:hint="eastAsia" w:hAnsi="宋体"/>
          <w:kern w:val="0"/>
          <w:sz w:val="24"/>
          <w:szCs w:val="24"/>
        </w:rPr>
        <w:t>A类</w:t>
      </w:r>
      <w:r>
        <w:rPr>
          <w:rFonts w:hAnsi="宋体"/>
          <w:kern w:val="0"/>
          <w:sz w:val="24"/>
          <w:szCs w:val="24"/>
        </w:rPr>
        <w:t>基金份额净值为1.040</w:t>
      </w:r>
      <w:r>
        <w:rPr>
          <w:rFonts w:hint="eastAsia" w:hAnsi="宋体"/>
          <w:kern w:val="0"/>
          <w:sz w:val="24"/>
          <w:szCs w:val="24"/>
        </w:rPr>
        <w:t>0</w:t>
      </w:r>
      <w:r>
        <w:rPr>
          <w:rFonts w:hAnsi="宋体"/>
          <w:kern w:val="0"/>
          <w:sz w:val="24"/>
          <w:szCs w:val="24"/>
        </w:rPr>
        <w:t>元，申购费率为</w:t>
      </w:r>
      <w:r>
        <w:rPr>
          <w:rFonts w:hint="eastAsia" w:hAnsi="宋体"/>
          <w:kern w:val="0"/>
          <w:sz w:val="24"/>
          <w:szCs w:val="24"/>
        </w:rPr>
        <w:t>1.0</w:t>
      </w:r>
      <w:r>
        <w:rPr>
          <w:rFonts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申购总金额＝</w:t>
      </w:r>
      <w:r>
        <w:rPr>
          <w:rFonts w:hint="eastAsia" w:hAnsi="宋体"/>
          <w:kern w:val="0"/>
          <w:sz w:val="24"/>
          <w:szCs w:val="24"/>
        </w:rPr>
        <w:t>100</w:t>
      </w:r>
      <w:r>
        <w:rPr>
          <w:rFonts w:hAnsi="宋体"/>
          <w:kern w:val="0"/>
          <w:sz w:val="24"/>
          <w:szCs w:val="24"/>
        </w:rPr>
        <w:t>,000元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净申购金额=</w:t>
      </w:r>
      <w:r>
        <w:rPr>
          <w:rFonts w:hint="eastAsia" w:hAnsi="宋体"/>
          <w:kern w:val="0"/>
          <w:sz w:val="24"/>
          <w:szCs w:val="24"/>
        </w:rPr>
        <w:t>100</w:t>
      </w:r>
      <w:r>
        <w:rPr>
          <w:rFonts w:hAnsi="宋体"/>
          <w:kern w:val="0"/>
          <w:sz w:val="24"/>
          <w:szCs w:val="24"/>
        </w:rPr>
        <w:t>,000/（1+</w:t>
      </w:r>
      <w:r>
        <w:rPr>
          <w:rFonts w:hint="eastAsia" w:hAnsi="宋体"/>
          <w:kern w:val="0"/>
          <w:sz w:val="24"/>
          <w:szCs w:val="24"/>
        </w:rPr>
        <w:t>1.0</w:t>
      </w:r>
      <w:r>
        <w:rPr>
          <w:rFonts w:hAnsi="宋体"/>
          <w:kern w:val="0"/>
          <w:sz w:val="24"/>
          <w:szCs w:val="24"/>
        </w:rPr>
        <w:t>%）=</w:t>
      </w:r>
      <w:r>
        <w:rPr>
          <w:rFonts w:hint="eastAsia" w:hAnsi="宋体"/>
          <w:kern w:val="0"/>
          <w:sz w:val="24"/>
          <w:szCs w:val="24"/>
        </w:rPr>
        <w:t>99,009.90</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申购费用=</w:t>
      </w:r>
      <w:r>
        <w:rPr>
          <w:rFonts w:hint="eastAsia" w:hAnsi="宋体"/>
          <w:kern w:val="0"/>
          <w:sz w:val="24"/>
          <w:szCs w:val="24"/>
        </w:rPr>
        <w:t>100</w:t>
      </w:r>
      <w:r>
        <w:rPr>
          <w:rFonts w:hAnsi="宋体"/>
          <w:kern w:val="0"/>
          <w:sz w:val="24"/>
          <w:szCs w:val="24"/>
        </w:rPr>
        <w:t>,000-</w:t>
      </w:r>
      <w:r>
        <w:rPr>
          <w:rFonts w:hint="eastAsia" w:hAnsi="宋体"/>
          <w:kern w:val="0"/>
          <w:sz w:val="24"/>
          <w:szCs w:val="24"/>
        </w:rPr>
        <w:t>99,009.90</w:t>
      </w:r>
      <w:r>
        <w:rPr>
          <w:rFonts w:hAnsi="宋体"/>
          <w:kern w:val="0"/>
          <w:sz w:val="24"/>
          <w:szCs w:val="24"/>
        </w:rPr>
        <w:t>=</w:t>
      </w:r>
      <w:r>
        <w:rPr>
          <w:rFonts w:hint="eastAsia" w:hAnsi="宋体"/>
          <w:kern w:val="0"/>
          <w:sz w:val="24"/>
          <w:szCs w:val="24"/>
        </w:rPr>
        <w:t>990.10</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申购份额=</w:t>
      </w:r>
      <w:r>
        <w:rPr>
          <w:rFonts w:hint="eastAsia" w:hAnsi="宋体"/>
          <w:kern w:val="0"/>
          <w:sz w:val="24"/>
          <w:szCs w:val="24"/>
        </w:rPr>
        <w:t>（100</w:t>
      </w:r>
      <w:r>
        <w:rPr>
          <w:rFonts w:hAnsi="宋体"/>
          <w:kern w:val="0"/>
          <w:sz w:val="24"/>
          <w:szCs w:val="24"/>
        </w:rPr>
        <w:t>,000</w:t>
      </w:r>
      <w:r>
        <w:rPr>
          <w:rFonts w:hint="eastAsia" w:hAnsi="宋体"/>
          <w:kern w:val="0"/>
          <w:sz w:val="24"/>
          <w:szCs w:val="24"/>
        </w:rPr>
        <w:t>-990.10）</w:t>
      </w:r>
      <w:r>
        <w:rPr>
          <w:rFonts w:hAnsi="宋体"/>
          <w:kern w:val="0"/>
          <w:sz w:val="24"/>
          <w:szCs w:val="24"/>
        </w:rPr>
        <w:t>/1.040</w:t>
      </w:r>
      <w:r>
        <w:rPr>
          <w:rFonts w:hint="eastAsia" w:hAnsi="宋体"/>
          <w:kern w:val="0"/>
          <w:sz w:val="24"/>
          <w:szCs w:val="24"/>
        </w:rPr>
        <w:t>0</w:t>
      </w:r>
      <w:r>
        <w:rPr>
          <w:rFonts w:hAnsi="宋体"/>
          <w:kern w:val="0"/>
          <w:sz w:val="24"/>
          <w:szCs w:val="24"/>
        </w:rPr>
        <w:t>=</w:t>
      </w:r>
      <w:r>
        <w:rPr>
          <w:rFonts w:hint="eastAsia" w:hAnsi="宋体"/>
          <w:kern w:val="0"/>
          <w:sz w:val="24"/>
          <w:szCs w:val="24"/>
        </w:rPr>
        <w:t>95</w:t>
      </w:r>
      <w:r>
        <w:rPr>
          <w:rFonts w:hAnsi="宋体"/>
          <w:kern w:val="0"/>
          <w:sz w:val="24"/>
          <w:szCs w:val="24"/>
        </w:rPr>
        <w:t>,</w:t>
      </w:r>
      <w:r>
        <w:rPr>
          <w:rFonts w:hint="eastAsia" w:hAnsi="宋体"/>
          <w:kern w:val="0"/>
          <w:sz w:val="24"/>
          <w:szCs w:val="24"/>
        </w:rPr>
        <w:t>201</w:t>
      </w:r>
      <w:r>
        <w:rPr>
          <w:rFonts w:hAnsi="宋体"/>
          <w:kern w:val="0"/>
          <w:sz w:val="24"/>
          <w:szCs w:val="24"/>
        </w:rPr>
        <w:t>.</w:t>
      </w:r>
      <w:r>
        <w:rPr>
          <w:rFonts w:hint="eastAsia" w:hAnsi="宋体"/>
          <w:kern w:val="0"/>
          <w:sz w:val="24"/>
          <w:szCs w:val="24"/>
        </w:rPr>
        <w:t>83</w:t>
      </w:r>
      <w:r>
        <w:rPr>
          <w:rFonts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即：某投资者</w:t>
      </w:r>
      <w:r>
        <w:rPr>
          <w:rFonts w:hint="eastAsia" w:ascii="宋体" w:hAnsi="宋体"/>
          <w:sz w:val="24"/>
        </w:rPr>
        <w:t>（非养老金客户）投资</w:t>
      </w:r>
      <w:r>
        <w:rPr>
          <w:rFonts w:hint="eastAsia" w:hAnsi="宋体"/>
          <w:kern w:val="0"/>
          <w:sz w:val="24"/>
          <w:szCs w:val="24"/>
        </w:rPr>
        <w:t>10</w:t>
      </w:r>
      <w:r>
        <w:rPr>
          <w:rFonts w:hAnsi="宋体"/>
          <w:kern w:val="0"/>
          <w:sz w:val="24"/>
          <w:szCs w:val="24"/>
        </w:rPr>
        <w:t>0,000</w:t>
      </w:r>
      <w:r>
        <w:rPr>
          <w:rFonts w:hint="eastAsia" w:hAnsi="宋体"/>
          <w:kern w:val="0"/>
          <w:sz w:val="24"/>
          <w:szCs w:val="24"/>
        </w:rPr>
        <w:t>元申购本基金的A类基金份额，假设申购当日A类基金份额净值为1.0400元，则其可得到95</w:t>
      </w:r>
      <w:r>
        <w:rPr>
          <w:rFonts w:hAnsi="宋体"/>
          <w:kern w:val="0"/>
          <w:sz w:val="24"/>
          <w:szCs w:val="24"/>
        </w:rPr>
        <w:t>,</w:t>
      </w:r>
      <w:r>
        <w:rPr>
          <w:rFonts w:hint="eastAsia" w:hAnsi="宋体"/>
          <w:kern w:val="0"/>
          <w:sz w:val="24"/>
          <w:szCs w:val="24"/>
        </w:rPr>
        <w:t>201</w:t>
      </w:r>
      <w:r>
        <w:rPr>
          <w:rFonts w:hAnsi="宋体"/>
          <w:kern w:val="0"/>
          <w:sz w:val="24"/>
          <w:szCs w:val="24"/>
        </w:rPr>
        <w:t>.</w:t>
      </w:r>
      <w:r>
        <w:rPr>
          <w:rFonts w:hint="eastAsia" w:hAnsi="宋体"/>
          <w:kern w:val="0"/>
          <w:sz w:val="24"/>
          <w:szCs w:val="24"/>
        </w:rPr>
        <w:t>83</w:t>
      </w:r>
      <w:r>
        <w:rPr>
          <w:rFonts w:hAnsi="宋体"/>
          <w:kern w:val="0"/>
          <w:sz w:val="24"/>
          <w:szCs w:val="24"/>
        </w:rPr>
        <w:t>份</w:t>
      </w:r>
      <w:r>
        <w:rPr>
          <w:rFonts w:hint="eastAsia" w:hAnsi="宋体"/>
          <w:kern w:val="0"/>
          <w:sz w:val="24"/>
          <w:szCs w:val="24"/>
        </w:rPr>
        <w:t>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例</w:t>
      </w:r>
      <w:r>
        <w:rPr>
          <w:rFonts w:hint="eastAsia" w:hAnsi="宋体"/>
          <w:kern w:val="0"/>
          <w:sz w:val="24"/>
          <w:szCs w:val="24"/>
        </w:rPr>
        <w:t>五</w:t>
      </w:r>
      <w:r>
        <w:rPr>
          <w:rFonts w:hAnsi="宋体"/>
          <w:kern w:val="0"/>
          <w:sz w:val="24"/>
          <w:szCs w:val="24"/>
        </w:rPr>
        <w:t>：某</w:t>
      </w:r>
      <w:r>
        <w:rPr>
          <w:rFonts w:hint="eastAsia" w:ascii="宋体" w:hAnsi="宋体"/>
          <w:sz w:val="24"/>
        </w:rPr>
        <w:t>养老金客户</w:t>
      </w:r>
      <w:r>
        <w:rPr>
          <w:rFonts w:hAnsi="宋体"/>
          <w:kern w:val="0"/>
          <w:sz w:val="24"/>
          <w:szCs w:val="24"/>
        </w:rPr>
        <w:t>投资</w:t>
      </w:r>
      <w:r>
        <w:rPr>
          <w:rFonts w:hint="eastAsia" w:hAnsi="宋体"/>
          <w:kern w:val="0"/>
          <w:sz w:val="24"/>
          <w:szCs w:val="24"/>
        </w:rPr>
        <w:t>10</w:t>
      </w:r>
      <w:r>
        <w:rPr>
          <w:rFonts w:hAnsi="宋体"/>
          <w:kern w:val="0"/>
          <w:sz w:val="24"/>
          <w:szCs w:val="24"/>
        </w:rPr>
        <w:t>0,000元</w:t>
      </w:r>
      <w:r>
        <w:rPr>
          <w:rFonts w:hint="eastAsia"/>
          <w:sz w:val="24"/>
          <w:szCs w:val="24"/>
        </w:rPr>
        <w:t>通过基金管理人的直销柜台</w:t>
      </w:r>
      <w:r>
        <w:rPr>
          <w:rFonts w:hAnsi="宋体"/>
          <w:kern w:val="0"/>
          <w:sz w:val="24"/>
          <w:szCs w:val="24"/>
        </w:rPr>
        <w:t>申购本基金</w:t>
      </w:r>
      <w:r>
        <w:rPr>
          <w:rFonts w:hint="eastAsia" w:hAnsi="宋体"/>
          <w:kern w:val="0"/>
          <w:sz w:val="24"/>
          <w:szCs w:val="24"/>
        </w:rPr>
        <w:t>的A类基金份额</w:t>
      </w:r>
      <w:r>
        <w:rPr>
          <w:rFonts w:hAnsi="宋体"/>
          <w:kern w:val="0"/>
          <w:sz w:val="24"/>
          <w:szCs w:val="24"/>
        </w:rPr>
        <w:t>，假设申购当日</w:t>
      </w:r>
      <w:r>
        <w:rPr>
          <w:rFonts w:hint="eastAsia" w:hAnsi="宋体"/>
          <w:kern w:val="0"/>
          <w:sz w:val="24"/>
          <w:szCs w:val="24"/>
        </w:rPr>
        <w:t>A类</w:t>
      </w:r>
      <w:r>
        <w:rPr>
          <w:rFonts w:hAnsi="宋体"/>
          <w:kern w:val="0"/>
          <w:sz w:val="24"/>
          <w:szCs w:val="24"/>
        </w:rPr>
        <w:t>基金份额净值为1.040</w:t>
      </w:r>
      <w:r>
        <w:rPr>
          <w:rFonts w:hint="eastAsia" w:hAnsi="宋体"/>
          <w:kern w:val="0"/>
          <w:sz w:val="24"/>
          <w:szCs w:val="24"/>
        </w:rPr>
        <w:t>0</w:t>
      </w:r>
      <w:r>
        <w:rPr>
          <w:rFonts w:hAnsi="宋体"/>
          <w:kern w:val="0"/>
          <w:sz w:val="24"/>
          <w:szCs w:val="24"/>
        </w:rPr>
        <w:t>元，申购费率为</w:t>
      </w:r>
      <w:r>
        <w:rPr>
          <w:rFonts w:hint="eastAsia" w:hAnsi="宋体"/>
          <w:kern w:val="0"/>
          <w:sz w:val="24"/>
          <w:szCs w:val="24"/>
        </w:rPr>
        <w:t>0.40</w:t>
      </w:r>
      <w:r>
        <w:rPr>
          <w:rFonts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申购总金额＝</w:t>
      </w:r>
      <w:r>
        <w:rPr>
          <w:rFonts w:hint="eastAsia" w:hAnsi="宋体"/>
          <w:kern w:val="0"/>
          <w:sz w:val="24"/>
          <w:szCs w:val="24"/>
        </w:rPr>
        <w:t>100</w:t>
      </w:r>
      <w:r>
        <w:rPr>
          <w:rFonts w:hAnsi="宋体"/>
          <w:kern w:val="0"/>
          <w:sz w:val="24"/>
          <w:szCs w:val="24"/>
        </w:rPr>
        <w:t>,000元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净申购金额=</w:t>
      </w:r>
      <w:r>
        <w:rPr>
          <w:rFonts w:hint="eastAsia" w:hAnsi="宋体"/>
          <w:kern w:val="0"/>
          <w:sz w:val="24"/>
          <w:szCs w:val="24"/>
        </w:rPr>
        <w:t>100</w:t>
      </w:r>
      <w:r>
        <w:rPr>
          <w:rFonts w:hAnsi="宋体"/>
          <w:kern w:val="0"/>
          <w:sz w:val="24"/>
          <w:szCs w:val="24"/>
        </w:rPr>
        <w:t>,000/（1+</w:t>
      </w:r>
      <w:r>
        <w:rPr>
          <w:rFonts w:hint="eastAsia" w:hAnsi="宋体"/>
          <w:kern w:val="0"/>
          <w:sz w:val="24"/>
          <w:szCs w:val="24"/>
        </w:rPr>
        <w:t>0.40</w:t>
      </w:r>
      <w:r>
        <w:rPr>
          <w:rFonts w:hAnsi="宋体"/>
          <w:kern w:val="0"/>
          <w:sz w:val="24"/>
          <w:szCs w:val="24"/>
        </w:rPr>
        <w:t>%）=</w:t>
      </w:r>
      <w:r>
        <w:rPr>
          <w:rFonts w:hint="eastAsia" w:hAnsi="宋体"/>
          <w:kern w:val="0"/>
          <w:sz w:val="24"/>
          <w:szCs w:val="24"/>
        </w:rPr>
        <w:t>99,601.59</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申购费用=</w:t>
      </w:r>
      <w:r>
        <w:rPr>
          <w:rFonts w:hint="eastAsia" w:hAnsi="宋体"/>
          <w:kern w:val="0"/>
          <w:sz w:val="24"/>
          <w:szCs w:val="24"/>
        </w:rPr>
        <w:t>100</w:t>
      </w:r>
      <w:r>
        <w:rPr>
          <w:rFonts w:hAnsi="宋体"/>
          <w:kern w:val="0"/>
          <w:sz w:val="24"/>
          <w:szCs w:val="24"/>
        </w:rPr>
        <w:t>,000-</w:t>
      </w:r>
      <w:r>
        <w:rPr>
          <w:rFonts w:hint="eastAsia" w:hAnsi="宋体"/>
          <w:kern w:val="0"/>
          <w:sz w:val="24"/>
          <w:szCs w:val="24"/>
        </w:rPr>
        <w:t>99,601.59</w:t>
      </w:r>
      <w:r>
        <w:rPr>
          <w:rFonts w:hAnsi="宋体"/>
          <w:kern w:val="0"/>
          <w:sz w:val="24"/>
          <w:szCs w:val="24"/>
        </w:rPr>
        <w:t>=</w:t>
      </w:r>
      <w:r>
        <w:rPr>
          <w:rFonts w:hint="eastAsia" w:hAnsi="宋体"/>
          <w:kern w:val="0"/>
          <w:sz w:val="24"/>
          <w:szCs w:val="24"/>
        </w:rPr>
        <w:t>398.41</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申购份额=</w:t>
      </w:r>
      <w:r>
        <w:rPr>
          <w:rFonts w:hint="eastAsia" w:hAnsi="宋体"/>
          <w:kern w:val="0"/>
          <w:sz w:val="24"/>
          <w:szCs w:val="24"/>
        </w:rPr>
        <w:t>（100</w:t>
      </w:r>
      <w:r>
        <w:rPr>
          <w:rFonts w:hAnsi="宋体"/>
          <w:kern w:val="0"/>
          <w:sz w:val="24"/>
          <w:szCs w:val="24"/>
        </w:rPr>
        <w:t>,000</w:t>
      </w:r>
      <w:r>
        <w:rPr>
          <w:rFonts w:hint="eastAsia" w:hAnsi="宋体"/>
          <w:kern w:val="0"/>
          <w:sz w:val="24"/>
          <w:szCs w:val="24"/>
        </w:rPr>
        <w:t>-398.41）</w:t>
      </w:r>
      <w:r>
        <w:rPr>
          <w:rFonts w:hAnsi="宋体"/>
          <w:kern w:val="0"/>
          <w:sz w:val="24"/>
          <w:szCs w:val="24"/>
        </w:rPr>
        <w:t>/1.040</w:t>
      </w:r>
      <w:r>
        <w:rPr>
          <w:rFonts w:hint="eastAsia" w:hAnsi="宋体"/>
          <w:kern w:val="0"/>
          <w:sz w:val="24"/>
          <w:szCs w:val="24"/>
        </w:rPr>
        <w:t>0</w:t>
      </w:r>
      <w:r>
        <w:rPr>
          <w:rFonts w:hAnsi="宋体"/>
          <w:kern w:val="0"/>
          <w:sz w:val="24"/>
          <w:szCs w:val="24"/>
        </w:rPr>
        <w:t>=</w:t>
      </w:r>
      <w:r>
        <w:rPr>
          <w:rFonts w:hint="eastAsia" w:hAnsi="宋体"/>
          <w:kern w:val="0"/>
          <w:sz w:val="24"/>
          <w:szCs w:val="24"/>
        </w:rPr>
        <w:t>95,770.76</w:t>
      </w:r>
      <w:r>
        <w:rPr>
          <w:rFonts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即：该养老金客户投资100,000元</w:t>
      </w:r>
      <w:r>
        <w:rPr>
          <w:rFonts w:hint="eastAsia"/>
          <w:sz w:val="24"/>
          <w:szCs w:val="24"/>
        </w:rPr>
        <w:t>通过基金管理人的直销柜台</w:t>
      </w:r>
      <w:r>
        <w:rPr>
          <w:rFonts w:hAnsi="宋体"/>
          <w:kern w:val="0"/>
          <w:sz w:val="24"/>
          <w:szCs w:val="24"/>
        </w:rPr>
        <w:t>申购本基金</w:t>
      </w:r>
      <w:r>
        <w:rPr>
          <w:rFonts w:hint="eastAsia" w:hAnsi="宋体"/>
          <w:kern w:val="0"/>
          <w:sz w:val="24"/>
          <w:szCs w:val="24"/>
        </w:rPr>
        <w:t>的A类基金份额，</w:t>
      </w:r>
      <w:r>
        <w:rPr>
          <w:rFonts w:hAnsi="宋体"/>
          <w:kern w:val="0"/>
          <w:sz w:val="24"/>
          <w:szCs w:val="24"/>
        </w:rPr>
        <w:t>假设申购当日</w:t>
      </w:r>
      <w:r>
        <w:rPr>
          <w:rFonts w:hint="eastAsia" w:hAnsi="宋体"/>
          <w:kern w:val="0"/>
          <w:sz w:val="24"/>
          <w:szCs w:val="24"/>
        </w:rPr>
        <w:t>A类</w:t>
      </w:r>
      <w:r>
        <w:rPr>
          <w:rFonts w:hAnsi="宋体"/>
          <w:kern w:val="0"/>
          <w:sz w:val="24"/>
          <w:szCs w:val="24"/>
        </w:rPr>
        <w:t>基金份额净值为1.040</w:t>
      </w:r>
      <w:r>
        <w:rPr>
          <w:rFonts w:hint="eastAsia" w:hAnsi="宋体"/>
          <w:kern w:val="0"/>
          <w:sz w:val="24"/>
          <w:szCs w:val="24"/>
        </w:rPr>
        <w:t>0</w:t>
      </w:r>
      <w:r>
        <w:rPr>
          <w:rFonts w:hAnsi="宋体"/>
          <w:kern w:val="0"/>
          <w:sz w:val="24"/>
          <w:szCs w:val="24"/>
        </w:rPr>
        <w:t>元</w:t>
      </w:r>
      <w:r>
        <w:rPr>
          <w:rFonts w:hint="eastAsia" w:hAnsi="宋体"/>
          <w:kern w:val="0"/>
          <w:sz w:val="24"/>
          <w:szCs w:val="24"/>
        </w:rPr>
        <w:t>，则其可得到95,770.76份A类基金份额。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C类基金份额的申购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如果投资者选择申购C类基金份额，则申购份额的计算方法如下：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申购份额=申购总金额/T日C类基金份额净值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例六：某投资者投资100,000元申购本基金的C类基金份额，假设申购当日C类基金份额净值为1.0400元，则其可得到的申购份额为：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申购份额＝100,000/1.0400＝96,153.85份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即：投资者投资100,000元申购本基金的C类基金份额，假设申购当日C类基金份额净值为1.0400元，则其可得到96,153.85份C类基金份额。</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赎回费用=赎回份额×T日该类基金份额净值×赎回费率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赎回金额=赎回份额×T日该类基金份额净值-赎回费用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例七：某投资者赎回持有的10,000份A类基金份额，持有期限为两年，对应的赎回费率为</w:t>
      </w:r>
      <w:r>
        <w:rPr>
          <w:rFonts w:hAnsi="宋体"/>
          <w:kern w:val="0"/>
          <w:sz w:val="24"/>
          <w:szCs w:val="24"/>
        </w:rPr>
        <w:t>0</w:t>
      </w:r>
      <w:r>
        <w:rPr>
          <w:rFonts w:hint="eastAsia" w:hAnsi="宋体"/>
          <w:kern w:val="0"/>
          <w:sz w:val="24"/>
          <w:szCs w:val="24"/>
        </w:rPr>
        <w:t>，假设赎回当日A类基金份额净值是1.016</w:t>
      </w:r>
      <w:r>
        <w:rPr>
          <w:rFonts w:hAnsi="宋体"/>
          <w:kern w:val="0"/>
          <w:sz w:val="24"/>
          <w:szCs w:val="24"/>
        </w:rPr>
        <w:t>0</w:t>
      </w:r>
      <w:r>
        <w:rPr>
          <w:rFonts w:hint="eastAsia" w:hAnsi="宋体"/>
          <w:kern w:val="0"/>
          <w:sz w:val="24"/>
          <w:szCs w:val="24"/>
        </w:rPr>
        <w:t>元，则其可得到的赎回金额为：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赎回费用=10,000×1.016</w:t>
      </w:r>
      <w:r>
        <w:rPr>
          <w:rFonts w:hAnsi="宋体"/>
          <w:kern w:val="0"/>
          <w:sz w:val="24"/>
          <w:szCs w:val="24"/>
        </w:rPr>
        <w:t>0</w:t>
      </w:r>
      <w:r>
        <w:rPr>
          <w:rFonts w:hint="eastAsia" w:hAnsi="宋体"/>
          <w:kern w:val="0"/>
          <w:sz w:val="24"/>
          <w:szCs w:val="24"/>
        </w:rPr>
        <w:t>×</w:t>
      </w:r>
      <w:r>
        <w:rPr>
          <w:rFonts w:hAnsi="宋体"/>
          <w:kern w:val="0"/>
          <w:sz w:val="24"/>
          <w:szCs w:val="24"/>
        </w:rPr>
        <w:t>0</w:t>
      </w:r>
      <w:r>
        <w:rPr>
          <w:rFonts w:hint="eastAsia" w:hAnsi="宋体"/>
          <w:kern w:val="0"/>
          <w:sz w:val="24"/>
          <w:szCs w:val="24"/>
        </w:rPr>
        <w:t>＝</w:t>
      </w:r>
      <w:r>
        <w:rPr>
          <w:rFonts w:hAnsi="宋体"/>
          <w:kern w:val="0"/>
          <w:sz w:val="24"/>
          <w:szCs w:val="24"/>
        </w:rPr>
        <w:t>0.00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赎回金额=10,000×1.016</w:t>
      </w:r>
      <w:r>
        <w:rPr>
          <w:rFonts w:hAnsi="宋体"/>
          <w:kern w:val="0"/>
          <w:sz w:val="24"/>
          <w:szCs w:val="24"/>
        </w:rPr>
        <w:t>0-0.00</w:t>
      </w:r>
      <w:r>
        <w:rPr>
          <w:rFonts w:hint="eastAsia" w:hAnsi="宋体"/>
          <w:kern w:val="0"/>
          <w:sz w:val="24"/>
          <w:szCs w:val="24"/>
        </w:rPr>
        <w:t>＝10,1</w:t>
      </w:r>
      <w:r>
        <w:rPr>
          <w:rFonts w:hAnsi="宋体"/>
          <w:kern w:val="0"/>
          <w:sz w:val="24"/>
          <w:szCs w:val="24"/>
        </w:rPr>
        <w:t>60.00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即：投资者赎回本基金10,000份A类基金份额，持有期限为两年，对应的赎回费率为</w:t>
      </w:r>
      <w:r>
        <w:rPr>
          <w:rFonts w:hAnsi="宋体"/>
          <w:kern w:val="0"/>
          <w:sz w:val="24"/>
          <w:szCs w:val="24"/>
        </w:rPr>
        <w:t>0</w:t>
      </w:r>
      <w:r>
        <w:rPr>
          <w:rFonts w:hint="eastAsia" w:hAnsi="宋体"/>
          <w:kern w:val="0"/>
          <w:sz w:val="24"/>
          <w:szCs w:val="24"/>
        </w:rPr>
        <w:t>，假设赎回当日A类基金份额净值是1.016</w:t>
      </w:r>
      <w:r>
        <w:rPr>
          <w:rFonts w:hAnsi="宋体"/>
          <w:kern w:val="0"/>
          <w:sz w:val="24"/>
          <w:szCs w:val="24"/>
        </w:rPr>
        <w:t>0</w:t>
      </w:r>
      <w:r>
        <w:rPr>
          <w:rFonts w:hint="eastAsia" w:hAnsi="宋体"/>
          <w:kern w:val="0"/>
          <w:sz w:val="24"/>
          <w:szCs w:val="24"/>
        </w:rPr>
        <w:t>元，则其可得到的赎回金额为10,1</w:t>
      </w:r>
      <w:r>
        <w:rPr>
          <w:rFonts w:hAnsi="宋体"/>
          <w:kern w:val="0"/>
          <w:sz w:val="24"/>
          <w:szCs w:val="24"/>
        </w:rPr>
        <w:t>60.00</w:t>
      </w:r>
      <w:r>
        <w:rPr>
          <w:rFonts w:hint="eastAsia" w:hAnsi="宋体"/>
          <w:kern w:val="0"/>
          <w:sz w:val="24"/>
          <w:szCs w:val="24"/>
        </w:rPr>
        <w:t>元。</w:t>
      </w:r>
    </w:p>
    <w:p>
      <w:pPr>
        <w:widowControl/>
        <w:adjustRightInd w:val="0"/>
        <w:snapToGrid w:val="0"/>
        <w:spacing w:line="360" w:lineRule="auto"/>
        <w:ind w:firstLine="480" w:firstLineChars="200"/>
        <w:outlineLvl w:val="2"/>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A类基金份额净值＝A类基金份额的基金资产净值总额/发行在外的A类基金份额总数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C类基金份额净值＝C类基金份额的基金资产净值总额/发行在外的C类基金份额总数</w:t>
      </w:r>
    </w:p>
    <w:p>
      <w:pPr>
        <w:widowControl/>
        <w:adjustRightInd w:val="0"/>
        <w:snapToGrid w:val="0"/>
        <w:spacing w:line="360" w:lineRule="auto"/>
        <w:ind w:firstLine="480" w:firstLineChars="20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（包括该日）内</w:t>
      </w:r>
      <w:r>
        <w:rPr>
          <w:rFonts w:hAnsi="宋体"/>
          <w:kern w:val="0"/>
          <w:sz w:val="24"/>
          <w:szCs w:val="24"/>
        </w:rPr>
        <w:t>公告。遇特殊情况，经</w:t>
      </w:r>
      <w:r>
        <w:rPr>
          <w:rFonts w:hint="eastAsia" w:hAnsi="宋体"/>
          <w:kern w:val="0"/>
          <w:sz w:val="24"/>
          <w:szCs w:val="24"/>
        </w:rPr>
        <w:t>履行适当程序</w:t>
      </w:r>
      <w:r>
        <w:rPr>
          <w:rFonts w:hAnsi="宋体"/>
          <w:kern w:val="0"/>
          <w:sz w:val="24"/>
          <w:szCs w:val="24"/>
        </w:rPr>
        <w:t>，可以适当延迟计算或公告。</w:t>
      </w:r>
      <w:r>
        <w:rPr>
          <w:rFonts w:hAnsi="宋体"/>
          <w:sz w:val="24"/>
          <w:szCs w:val="24"/>
        </w:rPr>
        <w:t>本基金</w:t>
      </w:r>
      <w:r>
        <w:rPr>
          <w:sz w:val="24"/>
        </w:rPr>
        <w:t>A</w:t>
      </w:r>
      <w:r>
        <w:rPr>
          <w:rFonts w:hAnsi="宋体"/>
          <w:sz w:val="24"/>
        </w:rPr>
        <w:t>类基金份额和</w:t>
      </w:r>
      <w:r>
        <w:rPr>
          <w:sz w:val="24"/>
        </w:rPr>
        <w:t>C</w:t>
      </w:r>
      <w:r>
        <w:rPr>
          <w:rFonts w:hAnsi="宋体"/>
          <w:sz w:val="24"/>
        </w:rPr>
        <w:t>类基金份额的</w:t>
      </w:r>
      <w:r>
        <w:rPr>
          <w:rFonts w:hAnsi="宋体"/>
          <w:sz w:val="24"/>
          <w:szCs w:val="24"/>
        </w:rPr>
        <w:t>基金份额净值的计算，保留到小数点后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pPr>
        <w:adjustRightInd w:val="0"/>
        <w:snapToGrid w:val="0"/>
        <w:spacing w:line="360" w:lineRule="auto"/>
        <w:ind w:firstLine="482" w:firstLineChars="200"/>
        <w:outlineLvl w:val="1"/>
        <w:rPr>
          <w:rFonts w:hAnsi="宋体"/>
          <w:kern w:val="0"/>
          <w:sz w:val="24"/>
          <w:szCs w:val="24"/>
        </w:rPr>
      </w:pPr>
      <w:bookmarkStart w:id="30" w:name="_Toc79392615"/>
      <w:r>
        <w:rPr>
          <w:rFonts w:hAnsi="宋体"/>
          <w:b/>
          <w:kern w:val="0"/>
          <w:sz w:val="24"/>
          <w:szCs w:val="24"/>
        </w:rPr>
        <w:t>（八）拒绝或暂停申购的情形</w:t>
      </w:r>
      <w:bookmarkEnd w:id="30"/>
    </w:p>
    <w:p>
      <w:pPr>
        <w:widowControl/>
        <w:adjustRightInd w:val="0"/>
        <w:snapToGrid w:val="0"/>
        <w:spacing w:line="360" w:lineRule="auto"/>
        <w:ind w:firstLine="480" w:firstLineChars="200"/>
        <w:rPr>
          <w:rFonts w:hAnsi="宋体"/>
          <w:kern w:val="0"/>
          <w:sz w:val="24"/>
          <w:szCs w:val="24"/>
        </w:rPr>
      </w:pPr>
      <w:bookmarkStart w:id="31" w:name="_Hlt70481650"/>
      <w:bookmarkEnd w:id="31"/>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1、因不可抗力导致基金无法正常运作。</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7、港股通交易每日额度不足。</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8</w:t>
      </w:r>
      <w:r>
        <w:rPr>
          <w:rFonts w:hint="eastAsia" w:hAnsi="宋体"/>
          <w:kern w:val="0"/>
          <w:sz w:val="24"/>
          <w:szCs w:val="24"/>
        </w:rPr>
        <w:t>、基金管理人接受某笔或者某些申购申请有可能导致单一投资者持有基金份额的比例超过50%，或者变相规避50%集中度的。出现上述情形时，基金管理人有权将上述申购申请全部或部分确认失败。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9</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发生上述第1、2、3、5、6、</w:t>
      </w:r>
      <w:r>
        <w:rPr>
          <w:rFonts w:hAnsi="宋体"/>
          <w:kern w:val="0"/>
          <w:sz w:val="24"/>
          <w:szCs w:val="24"/>
        </w:rPr>
        <w:t>7</w:t>
      </w:r>
      <w:r>
        <w:rPr>
          <w:rFonts w:hint="eastAsia" w:hAnsi="宋体"/>
          <w:kern w:val="0"/>
          <w:sz w:val="24"/>
          <w:szCs w:val="24"/>
        </w:rPr>
        <w:t>、</w:t>
      </w:r>
      <w:r>
        <w:rPr>
          <w:rFonts w:hAnsi="宋体"/>
          <w:kern w:val="0"/>
          <w:sz w:val="24"/>
          <w:szCs w:val="24"/>
        </w:rPr>
        <w:t>9</w:t>
      </w:r>
      <w:r>
        <w:rPr>
          <w:rFonts w:hint="eastAsia" w:hAnsi="宋体"/>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32"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（十）巨额赎回的情形及处理方式</w:t>
      </w:r>
      <w:bookmarkEnd w:id="32"/>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w:t>
      </w:r>
      <w:r>
        <w:rPr>
          <w:rFonts w:hint="eastAsia" w:hAnsi="宋体"/>
          <w:kern w:val="0"/>
          <w:sz w:val="24"/>
          <w:szCs w:val="24"/>
        </w:rPr>
        <w:t>、</w:t>
      </w:r>
      <w:r>
        <w:rPr>
          <w:rFonts w:hAnsi="宋体"/>
          <w:kern w:val="0"/>
          <w:sz w:val="24"/>
          <w:szCs w:val="24"/>
        </w:rPr>
        <w:t>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巨额赎回的处理方式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当基金出现巨额赎回时，基金管理人可以根据基金当时的资产组合状况决定全额赎回、部分延期赎回或暂停赎回。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i/>
          <w:kern w:val="0"/>
          <w:sz w:val="24"/>
          <w:u w:val="single"/>
        </w:rPr>
      </w:pPr>
      <w:r>
        <w:rPr>
          <w:rFonts w:hAnsi="宋体"/>
          <w:kern w:val="0"/>
          <w:sz w:val="24"/>
          <w:szCs w:val="24"/>
        </w:rPr>
        <w:t>3</w:t>
      </w:r>
      <w:r>
        <w:rPr>
          <w:rFonts w:hint="eastAsia" w:hAnsi="宋体"/>
          <w:kern w:val="0"/>
          <w:sz w:val="24"/>
          <w:szCs w:val="24"/>
        </w:rPr>
        <w:t>、</w:t>
      </w:r>
      <w:r>
        <w:rPr>
          <w:rFonts w:hAnsi="宋体"/>
          <w:kern w:val="0"/>
          <w:sz w:val="24"/>
          <w:szCs w:val="24"/>
        </w:rPr>
        <w:t>巨额赎回的公告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当发生上述</w:t>
      </w:r>
      <w:r>
        <w:rPr>
          <w:rFonts w:hint="eastAsia" w:hAnsi="宋体"/>
          <w:bCs/>
          <w:kern w:val="0"/>
          <w:sz w:val="24"/>
          <w:szCs w:val="24"/>
        </w:rPr>
        <w:t>巨额</w:t>
      </w:r>
      <w:r>
        <w:rPr>
          <w:rFonts w:hAnsi="宋体"/>
          <w:kern w:val="0"/>
          <w:sz w:val="24"/>
          <w:szCs w:val="24"/>
        </w:rPr>
        <w:t>赎回并延期办理时，基金管理人应当通过邮寄、传真</w:t>
      </w:r>
      <w:r>
        <w:rPr>
          <w:rFonts w:hint="eastAsia" w:hAnsi="宋体"/>
          <w:kern w:val="0"/>
          <w:sz w:val="24"/>
          <w:szCs w:val="24"/>
        </w:rPr>
        <w:t>、刊登公告或者通知销售机构代为告知等</w:t>
      </w:r>
      <w:r>
        <w:rPr>
          <w:rFonts w:hAnsi="宋体"/>
          <w:kern w:val="0"/>
          <w:sz w:val="24"/>
          <w:szCs w:val="24"/>
        </w:rPr>
        <w:t>方式在</w:t>
      </w:r>
      <w:r>
        <w:rPr>
          <w:rFonts w:hint="eastAsia" w:hAnsi="宋体"/>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pPr>
        <w:widowControl/>
        <w:adjustRightInd w:val="0"/>
        <w:snapToGrid w:val="0"/>
        <w:spacing w:line="360" w:lineRule="auto"/>
        <w:ind w:firstLine="482" w:firstLineChars="200"/>
        <w:outlineLvl w:val="1"/>
        <w:rPr>
          <w:b/>
          <w:kern w:val="0"/>
          <w:sz w:val="24"/>
          <w:szCs w:val="24"/>
        </w:rPr>
      </w:pPr>
      <w:bookmarkStart w:id="33" w:name="_Toc79392617"/>
      <w:r>
        <w:rPr>
          <w:rFonts w:hAnsi="宋体"/>
          <w:b/>
          <w:kern w:val="0"/>
          <w:sz w:val="24"/>
          <w:szCs w:val="24"/>
        </w:rPr>
        <w:t>（十一）暂停申购或赎回的公告和重新开放申购或赎回的公告</w:t>
      </w:r>
      <w:bookmarkEnd w:id="33"/>
    </w:p>
    <w:p>
      <w:pPr>
        <w:widowControl/>
        <w:adjustRightInd w:val="0"/>
        <w:snapToGrid w:val="0"/>
        <w:spacing w:line="360" w:lineRule="auto"/>
        <w:ind w:firstLine="480" w:firstLineChars="200"/>
        <w:rPr>
          <w:rFonts w:hAnsi="宋体"/>
          <w:kern w:val="0"/>
          <w:sz w:val="24"/>
          <w:szCs w:val="24"/>
        </w:rPr>
      </w:pPr>
      <w:bookmarkStart w:id="34" w:name="_Toc15118274"/>
      <w:bookmarkStart w:id="35" w:name="_Toc79392618"/>
      <w:bookmarkStart w:id="36" w:name="_Toc59441259"/>
      <w:r>
        <w:rPr>
          <w:rFonts w:hint="eastAsia" w:hAnsi="宋体"/>
          <w:kern w:val="0"/>
          <w:sz w:val="24"/>
          <w:szCs w:val="24"/>
        </w:rPr>
        <w:t>1、发生上述暂停申购或赎回情况的，基金管理人</w:t>
      </w:r>
      <w:r>
        <w:rPr>
          <w:rFonts w:hint="eastAsia"/>
          <w:bCs/>
          <w:sz w:val="24"/>
        </w:rPr>
        <w:t>应</w:t>
      </w:r>
      <w:r>
        <w:rPr>
          <w:rFonts w:hint="eastAsia" w:hAnsi="宋体"/>
          <w:kern w:val="0"/>
          <w:sz w:val="24"/>
          <w:szCs w:val="24"/>
        </w:rPr>
        <w:t>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2、如发生暂停的时间为1日，基金管理人应于重新开放日，在规定媒介上刊登基金重新开放申购或赎回公告，并公布最近1个开放日的基金份额净值。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34"/>
    <w:bookmarkEnd w:id="35"/>
    <w:bookmarkEnd w:id="36"/>
    <w:p>
      <w:pPr>
        <w:widowControl/>
        <w:adjustRightInd w:val="0"/>
        <w:snapToGrid w:val="0"/>
        <w:spacing w:line="360" w:lineRule="auto"/>
        <w:ind w:firstLine="482" w:firstLineChars="200"/>
        <w:outlineLvl w:val="1"/>
        <w:rPr>
          <w:b/>
          <w:kern w:val="0"/>
          <w:sz w:val="24"/>
          <w:szCs w:val="24"/>
        </w:rPr>
      </w:pPr>
      <w:bookmarkStart w:id="37"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bCs/>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（十四）基金的转托管</w:t>
      </w:r>
      <w:bookmarkEnd w:id="37"/>
    </w:p>
    <w:p>
      <w:pPr>
        <w:widowControl/>
        <w:adjustRightInd w:val="0"/>
        <w:snapToGrid w:val="0"/>
        <w:spacing w:line="360" w:lineRule="auto"/>
        <w:ind w:firstLine="480" w:firstLineChars="200"/>
        <w:rPr>
          <w:rFonts w:hAnsi="宋体"/>
          <w:kern w:val="0"/>
          <w:sz w:val="24"/>
          <w:szCs w:val="24"/>
        </w:rPr>
      </w:pPr>
      <w:bookmarkStart w:id="38"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（十六）</w:t>
      </w:r>
      <w:r>
        <w:rPr>
          <w:rFonts w:hAnsi="宋体"/>
          <w:b/>
          <w:sz w:val="24"/>
          <w:szCs w:val="24"/>
        </w:rPr>
        <w:t>基金份额的冻结和解冻</w:t>
      </w:r>
      <w:bookmarkEnd w:id="38"/>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outlineLvl w:val="1"/>
        <w:rPr>
          <w:rFonts w:hAnsi="宋体"/>
          <w:b/>
          <w:sz w:val="24"/>
          <w:szCs w:val="24"/>
        </w:rPr>
      </w:pPr>
      <w:bookmarkStart w:id="39" w:name="_Toc66719557"/>
      <w:bookmarkStart w:id="40" w:name="_Toc66720082"/>
      <w:bookmarkStart w:id="41" w:name="_Toc109059024"/>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（十八）实施侧袋机制期间本基金的申购与赎回</w:t>
      </w:r>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本基金实施侧袋机制的，本基金的申购和赎回安排详见本招募说明书“侧袋机制”部分的规定或相关公告。</w:t>
      </w:r>
    </w:p>
    <w:p>
      <w:pPr>
        <w:adjustRightInd w:val="0"/>
        <w:snapToGrid w:val="0"/>
        <w:spacing w:line="360" w:lineRule="auto"/>
        <w:ind w:firstLine="482" w:firstLineChars="200"/>
        <w:outlineLvl w:val="1"/>
        <w:rPr>
          <w:rFonts w:hAnsi="宋体"/>
          <w:i/>
          <w:kern w:val="0"/>
          <w:sz w:val="24"/>
          <w:u w:val="single"/>
        </w:rPr>
      </w:pPr>
      <w:r>
        <w:rPr>
          <w:rFonts w:hAnsi="宋体"/>
          <w:b/>
          <w:kern w:val="0"/>
          <w:sz w:val="24"/>
          <w:szCs w:val="24"/>
        </w:rPr>
        <w:t>（十</w:t>
      </w:r>
      <w:r>
        <w:rPr>
          <w:rFonts w:hint="eastAsia" w:hAnsi="宋体"/>
          <w:b/>
          <w:kern w:val="0"/>
          <w:sz w:val="24"/>
          <w:szCs w:val="24"/>
        </w:rPr>
        <w:t>九</w:t>
      </w:r>
      <w:r>
        <w:rPr>
          <w:rFonts w:hAnsi="宋体"/>
          <w:b/>
          <w:kern w:val="0"/>
          <w:sz w:val="24"/>
          <w:szCs w:val="24"/>
        </w:rPr>
        <w:t>）</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w:t>
      </w:r>
      <w:r>
        <w:rPr>
          <w:rFonts w:hint="eastAsia" w:ascii="宋体" w:hAnsi="宋体"/>
          <w:bCs/>
          <w:sz w:val="24"/>
        </w:rPr>
        <w:t>，</w:t>
      </w:r>
      <w:r>
        <w:rPr>
          <w:rFonts w:hint="eastAsia" w:ascii="宋体" w:hAnsi="宋体"/>
          <w:sz w:val="24"/>
        </w:rPr>
        <w:t>办理基金份额的质押业务或其他基金业务，基金管理人可制定相应的业务规则，并依照《信息披露办法》的有关规定进行公告。</w:t>
      </w:r>
    </w:p>
    <w:p>
      <w:pPr>
        <w:adjustRightInd w:val="0"/>
        <w:snapToGrid w:val="0"/>
        <w:spacing w:line="360" w:lineRule="auto"/>
        <w:ind w:firstLine="480" w:firstLineChars="200"/>
        <w:rPr>
          <w:rFonts w:ascii="宋体" w:hAnsi="宋体"/>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42" w:name="_Toc62202547"/>
      <w:r>
        <w:rPr>
          <w:rFonts w:hint="eastAsia" w:ascii="宋体" w:hAnsi="宋体"/>
          <w:b/>
          <w:kern w:val="0"/>
          <w:sz w:val="30"/>
        </w:rPr>
        <w:t>九、基金的投资</w:t>
      </w:r>
      <w:bookmarkEnd w:id="42"/>
    </w:p>
    <w:p>
      <w:pPr>
        <w:adjustRightInd w:val="0"/>
        <w:snapToGrid w:val="0"/>
        <w:spacing w:line="360" w:lineRule="auto"/>
        <w:ind w:firstLine="482" w:firstLineChars="200"/>
        <w:outlineLvl w:val="1"/>
        <w:rPr>
          <w:rFonts w:hAnsi="宋体"/>
          <w:kern w:val="0"/>
          <w:sz w:val="24"/>
          <w:szCs w:val="24"/>
        </w:rPr>
      </w:pPr>
      <w:r>
        <w:rPr>
          <w:rFonts w:hint="eastAsia"/>
          <w:b/>
          <w:bCs/>
          <w:sz w:val="24"/>
        </w:rPr>
        <w:t>（一）投资目标</w:t>
      </w:r>
    </w:p>
    <w:p>
      <w:pPr>
        <w:adjustRightInd w:val="0"/>
        <w:snapToGrid w:val="0"/>
        <w:spacing w:line="360" w:lineRule="auto"/>
        <w:ind w:firstLine="482"/>
        <w:rPr>
          <w:bCs/>
          <w:sz w:val="24"/>
        </w:rPr>
      </w:pPr>
      <w:r>
        <w:rPr>
          <w:rFonts w:hint="eastAsia"/>
          <w:bCs/>
          <w:sz w:val="24"/>
        </w:rPr>
        <w:t>在合理控制风险并保持基金资产良好流动性的前提下，追求超越业绩比较基准的投资回报，力争实现基金资产的长期稳健增值。</w:t>
      </w:r>
    </w:p>
    <w:p>
      <w:pPr>
        <w:adjustRightInd w:val="0"/>
        <w:snapToGrid w:val="0"/>
        <w:spacing w:line="360" w:lineRule="auto"/>
        <w:ind w:firstLine="482"/>
        <w:outlineLvl w:val="1"/>
        <w:rPr>
          <w:b/>
          <w:bCs/>
          <w:sz w:val="24"/>
        </w:rPr>
      </w:pPr>
      <w:r>
        <w:rPr>
          <w:rFonts w:hint="eastAsia"/>
          <w:b/>
          <w:bCs/>
          <w:sz w:val="24"/>
        </w:rPr>
        <w:t>（二）投资范围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bCs/>
          <w:sz w:val="24"/>
          <w:szCs w:val="24"/>
        </w:rPr>
      </w:pPr>
      <w:r>
        <w:rPr>
          <w:rFonts w:hint="eastAsia" w:ascii="宋体" w:hAnsi="宋体"/>
          <w:bCs/>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基金的投资组合比例为：股票投资（含存托凭证）占基金资产的比例为0%-30%（其中投资于港股通标的股票的比例占股票资产的0%-50%），同业存单投资占基金资产的比例不超过20%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djustRightInd w:val="0"/>
        <w:snapToGrid w:val="0"/>
        <w:spacing w:line="360" w:lineRule="auto"/>
        <w:ind w:firstLine="482"/>
        <w:rPr>
          <w:bCs/>
          <w:sz w:val="24"/>
        </w:rPr>
      </w:pPr>
      <w:r>
        <w:rPr>
          <w:rFonts w:hint="eastAsia" w:ascii="宋体" w:hAnsi="宋体"/>
          <w:bCs/>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outlineLvl w:val="1"/>
        <w:rPr>
          <w:rFonts w:hAnsi="宋体"/>
          <w:kern w:val="0"/>
          <w:sz w:val="24"/>
          <w:szCs w:val="24"/>
        </w:rPr>
      </w:pPr>
      <w:r>
        <w:rPr>
          <w:rFonts w:hint="eastAsia"/>
          <w:b/>
          <w:bCs/>
          <w:sz w:val="24"/>
        </w:rPr>
        <w:t>（三）投资策略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Pr>
          <w:rFonts w:hint="eastAsia"/>
          <w:bCs/>
          <w:sz w:val="24"/>
        </w:rPr>
        <w:t>个股和</w:t>
      </w:r>
      <w:r>
        <w:rPr>
          <w:rFonts w:hint="eastAsia" w:ascii="宋体" w:hAnsi="宋体"/>
          <w:bCs/>
          <w:sz w:val="24"/>
          <w:szCs w:val="24"/>
        </w:rPr>
        <w:t>个券；在保持总体风险水平相对稳定的基础上，力争获取投资组合的较高回报。</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1、大类资产配置</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沪深A股、港股</w:t>
      </w:r>
      <w:r>
        <w:rPr>
          <w:rFonts w:hint="eastAsia" w:ascii="宋体" w:hAnsi="宋体"/>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2、股票投资策略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（1）品质筛选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筛选出在公司治理、财务及管理品质上符合基本品质要求的公司，构建备选股票池。主要筛选指标包括：</w:t>
      </w:r>
    </w:p>
    <w:p>
      <w:pPr>
        <w:pStyle w:val="52"/>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盈利能力指标：如市盈率（P/E）、市现率（P/Cash Flow）、股价与每股自由现金流比率（P/FCF）、市销率（P/S）、股价与每股息税前利润比率（P/EBIT）等；</w:t>
      </w:r>
    </w:p>
    <w:p>
      <w:pPr>
        <w:pStyle w:val="52"/>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经营效率指标：如净资产收益率（ROE）、资产收益率（ROA）、经营资产回报率（Return on operating assets）等；</w:t>
      </w:r>
    </w:p>
    <w:p>
      <w:pPr>
        <w:pStyle w:val="52"/>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财务状况指标：如资产负债率（D/A）、流动比率等；</w:t>
      </w:r>
    </w:p>
    <w:p>
      <w:pPr>
        <w:pStyle w:val="52"/>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研发投入指标：如研发投入与营业收入比率、科研人员数量及占比、专利数量及在同行业的占比等。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（2）价值评估</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（3）港股通标的股票投资策略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本基金可通过内地与香港股票市场交易互联互通机制投资于香港股票市场。本基金优先将基本面健康、业绩向上弹性较大、具有估值优势的港股纳入本基金的股票投资组合。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本基金可根据投资策略需要或不同配置地市场环境的变化，选择将部分基金资产投资于港股或选择不将基金资产投资于港股，基金资产并非必然投资港股。</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（4）存托凭证的投资策略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本基金投资存托凭证的策略依照境内上市交易的股票投资策略执行。</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3</w:t>
      </w:r>
      <w:r>
        <w:rPr>
          <w:rFonts w:hint="eastAsia" w:ascii="宋体" w:hAnsi="宋体"/>
          <w:bCs/>
          <w:sz w:val="24"/>
          <w:szCs w:val="24"/>
        </w:rPr>
        <w:t>、债券投资策略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（1）久期调整策略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本基金根据中长期宏观经济走势和经济周期波动趋势，判断债券市场未来的走势，并形成对未来市场利率变动方向的预期，动态调整组合久期。</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（2）债券的类属配置策略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（3）期限结构配置策略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（4）回购策略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当回购利率低于债券收益率时，本基金将实施正回购融入资金并投资于信用债券等可投资标的，从而获取收益率超出回购资金成本（即回购利率）的套利价值。</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（5）信用债券投资策略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主动投资的信用债为信用评级在AA级（含）以上的信用债，对信用评级的认定参照基金管理人选定的评级机构出具的信用评级，其中，信用债的信用评级依照评级机构出具的债项信用评级，若无债项信用评级的或债项信用评级为A-1的，依照其主体信用评级。本基金投资于评级AA的信用债比例不高于信用债资产的20%，投资于评级AA+的信用债比例不高于信用债资产的70%，投资于评级AAA的信用债比例不低于信用债资产的30%。本基金所指的信用债包括金融债（不包含政策性金融债）、政府支持债、政府支持机构债、企业债、公司债、</w:t>
      </w:r>
      <w:r>
        <w:rPr>
          <w:rFonts w:hint="eastAsia"/>
          <w:bCs/>
          <w:sz w:val="24"/>
        </w:rPr>
        <w:t>可转换债券（含可分离交易可转换债券）、可交换公司债券</w:t>
      </w:r>
      <w:r>
        <w:rPr>
          <w:rFonts w:hint="eastAsia" w:ascii="宋体" w:hAnsi="宋体"/>
          <w:bCs/>
          <w:sz w:val="24"/>
          <w:szCs w:val="24"/>
        </w:rPr>
        <w:t>、次级债、短期融资券、超短期融资券、中期票据等非国家信用的债券资产。</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（6）可转换债券与可交换公司债券投资策略</w:t>
      </w:r>
    </w:p>
    <w:p>
      <w:pPr>
        <w:adjustRightInd w:val="0"/>
        <w:snapToGrid w:val="0"/>
        <w:spacing w:line="360" w:lineRule="auto"/>
        <w:ind w:firstLine="480" w:firstLineChars="200"/>
        <w:rPr>
          <w:rFonts w:ascii="宋体" w:hAnsi="宋体"/>
          <w:bCs/>
          <w:sz w:val="24"/>
          <w:szCs w:val="24"/>
        </w:rPr>
      </w:pPr>
      <w:r>
        <w:rPr>
          <w:rFonts w:hint="eastAsia"/>
          <w:bCs/>
          <w:sz w:val="24"/>
        </w:rPr>
        <w:t>本基金投资可转换债券、可交换公司债券的比例合计不超过基金资产净值的20%，因证券市场波动、基金规模变动等基金管理人之外的因素致使基金投资比例不符合上述规定的，基金管理人应当在不符合上述规定之日起3个月内进行调整。</w:t>
      </w:r>
      <w:r>
        <w:rPr>
          <w:rFonts w:hint="eastAsia" w:ascii="宋体" w:hAnsi="宋体"/>
          <w:bCs/>
          <w:sz w:val="24"/>
          <w:szCs w:val="24"/>
        </w:rPr>
        <w:t>本基金对于可转换债券</w:t>
      </w:r>
      <w:r>
        <w:rPr>
          <w:rFonts w:hint="eastAsia"/>
          <w:bCs/>
          <w:sz w:val="24"/>
        </w:rPr>
        <w:t>与可交换公司债券</w:t>
      </w:r>
      <w:r>
        <w:rPr>
          <w:rFonts w:hint="eastAsia" w:ascii="宋体" w:hAnsi="宋体"/>
          <w:bCs/>
          <w:sz w:val="24"/>
          <w:szCs w:val="24"/>
        </w:rPr>
        <w:t>股性的研究将完全依托于公司投研团队对标的股票的研究，在此基础上利用可转换债券</w:t>
      </w:r>
      <w:r>
        <w:rPr>
          <w:rFonts w:hint="eastAsia"/>
          <w:bCs/>
          <w:sz w:val="24"/>
        </w:rPr>
        <w:t>与可交换公司债券</w:t>
      </w:r>
      <w:r>
        <w:rPr>
          <w:rFonts w:hint="eastAsia" w:ascii="宋体" w:hAnsi="宋体"/>
          <w:bCs/>
          <w:sz w:val="24"/>
          <w:szCs w:val="24"/>
        </w:rPr>
        <w:t>定价模型，充分考虑转债发行后目标转债标的股票股价波动率可能出现的变化，对目标转债的股性进行合理定价。通过对标的转债股性与债性的合理定价，力求寻找出被市场低估的品种，构建本基金可转换债券</w:t>
      </w:r>
      <w:r>
        <w:rPr>
          <w:rFonts w:hint="eastAsia"/>
          <w:bCs/>
          <w:sz w:val="24"/>
        </w:rPr>
        <w:t>与可交换公司债券</w:t>
      </w:r>
      <w:r>
        <w:rPr>
          <w:rFonts w:hint="eastAsia" w:ascii="宋体" w:hAnsi="宋体"/>
          <w:bCs/>
          <w:sz w:val="24"/>
          <w:szCs w:val="24"/>
        </w:rPr>
        <w:t>的投资组合。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1）行业配置策略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w:t>
      </w:r>
      <w:r>
        <w:rPr>
          <w:rFonts w:hint="eastAsia"/>
          <w:bCs/>
          <w:sz w:val="24"/>
        </w:rPr>
        <w:t>与可交换公司债券</w:t>
      </w:r>
      <w:r>
        <w:rPr>
          <w:rFonts w:hint="eastAsia" w:ascii="宋体" w:hAnsi="宋体"/>
          <w:bCs/>
          <w:sz w:val="24"/>
          <w:szCs w:val="24"/>
        </w:rPr>
        <w:t>进行投资。</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2）个券精选策略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w:t>
      </w:r>
      <w:r>
        <w:rPr>
          <w:rFonts w:hint="eastAsia"/>
          <w:bCs/>
          <w:sz w:val="24"/>
        </w:rPr>
        <w:t>可转换债券与</w:t>
      </w:r>
      <w:r>
        <w:rPr>
          <w:bCs/>
          <w:sz w:val="24"/>
        </w:rPr>
        <w:t>可交换</w:t>
      </w:r>
      <w:r>
        <w:rPr>
          <w:rFonts w:hint="eastAsia"/>
          <w:bCs/>
          <w:sz w:val="24"/>
        </w:rPr>
        <w:t>公司</w:t>
      </w:r>
      <w:r>
        <w:rPr>
          <w:bCs/>
          <w:sz w:val="24"/>
        </w:rPr>
        <w:t>债券</w:t>
      </w:r>
      <w:r>
        <w:rPr>
          <w:rFonts w:hint="eastAsia" w:ascii="宋体" w:hAnsi="宋体"/>
          <w:bCs/>
          <w:sz w:val="24"/>
          <w:szCs w:val="24"/>
        </w:rPr>
        <w:t>自身的信用评估和其正股的价值分析来进行个券的筛选。</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4</w:t>
      </w:r>
      <w:r>
        <w:rPr>
          <w:rFonts w:hint="eastAsia" w:ascii="宋体" w:hAnsi="宋体"/>
          <w:bCs/>
          <w:sz w:val="24"/>
          <w:szCs w:val="24"/>
        </w:rPr>
        <w:t>、资产支持证券投资策略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5</w:t>
      </w:r>
      <w:r>
        <w:rPr>
          <w:rFonts w:hint="eastAsia" w:ascii="宋体" w:hAnsi="宋体"/>
          <w:bCs/>
          <w:sz w:val="24"/>
          <w:szCs w:val="24"/>
        </w:rPr>
        <w:t>、股指期货投资策略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2" w:firstLineChars="200"/>
        <w:outlineLvl w:val="1"/>
        <w:rPr>
          <w:rFonts w:hAnsi="宋体"/>
          <w:kern w:val="0"/>
          <w:sz w:val="24"/>
        </w:rPr>
      </w:pPr>
      <w:r>
        <w:rPr>
          <w:rFonts w:hint="eastAsia"/>
          <w:b/>
          <w:bCs/>
          <w:sz w:val="24"/>
        </w:rPr>
        <w:t>（四）投资限制</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（1）股票投资（含存托凭证）占基金资产的比例为0%-30%（其中投资于港股通标的股票的比例占股票资产的0%-50%），同业存单投资占基金资产的比例不超过20%；</w:t>
      </w:r>
    </w:p>
    <w:p>
      <w:pPr>
        <w:adjustRightInd w:val="0"/>
        <w:snapToGrid w:val="0"/>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投资比例合计不低于基金资产净值的5%，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adjustRightInd w:val="0"/>
        <w:snapToGrid w:val="0"/>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（6）本基金持有的全部资产支持证券，其市值不得超过基金资产净值的20％；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（10）基金财产参与股票发行申购，本基金所申报的金额不超过本基金的总资产，本基金所申报的股票数量不超过拟发行股票公司本次发行股票的总量；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（11）本基金进入全国银行间同业市场进行债券回购的最长期限为1年，债券回购到期后不得展期；</w:t>
      </w:r>
    </w:p>
    <w:p>
      <w:pPr>
        <w:adjustRightInd w:val="0"/>
        <w:snapToGrid w:val="0"/>
        <w:spacing w:line="360" w:lineRule="auto"/>
        <w:ind w:firstLine="480" w:firstLineChars="200"/>
        <w:rPr>
          <w:bCs/>
          <w:sz w:val="24"/>
        </w:rPr>
      </w:pPr>
      <w:r>
        <w:rPr>
          <w:rFonts w:hint="eastAsia"/>
          <w:bCs/>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（14）本基金与私募类证券资管产品及中国证监会认定的其他主体为交易对手开展逆回购交易的，可接受质押品的资质要求应当与基金合同约定的投资范围保持一致；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（15）本基金参与股指期货交易，则：</w:t>
      </w:r>
    </w:p>
    <w:p>
      <w:pPr>
        <w:adjustRightInd w:val="0"/>
        <w:snapToGrid w:val="0"/>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adjustRightInd w:val="0"/>
        <w:snapToGrid w:val="0"/>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adjustRightInd w:val="0"/>
        <w:snapToGrid w:val="0"/>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）本基金资产总值不超过基金资产净值的140%；</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除上述（2）、（</w:t>
      </w:r>
      <w:r>
        <w:rPr>
          <w:bCs/>
          <w:sz w:val="24"/>
        </w:rPr>
        <w:t>9</w:t>
      </w:r>
      <w:r>
        <w:rPr>
          <w:rFonts w:hint="eastAsia"/>
          <w:bCs/>
          <w:sz w:val="24"/>
        </w:rPr>
        <w:t>）、（1</w:t>
      </w:r>
      <w:r>
        <w:rPr>
          <w:bCs/>
          <w:sz w:val="24"/>
        </w:rPr>
        <w:t>3</w:t>
      </w:r>
      <w:r>
        <w:rPr>
          <w:rFonts w:hint="eastAsia"/>
          <w:bCs/>
          <w:sz w:val="24"/>
        </w:rPr>
        <w:t>）、（1</w:t>
      </w:r>
      <w:r>
        <w:rPr>
          <w:bCs/>
          <w:sz w:val="24"/>
        </w:rPr>
        <w:t>4</w:t>
      </w:r>
      <w:r>
        <w:rPr>
          <w:rFonts w:hint="eastAsia"/>
          <w:bCs/>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snapToGrid w:val="0"/>
        <w:spacing w:line="360" w:lineRule="auto"/>
        <w:ind w:firstLine="480" w:firstLineChars="200"/>
        <w:outlineLvl w:val="2"/>
        <w:rPr>
          <w:rFonts w:ascii="宋体" w:hAnsi="宋体"/>
          <w:sz w:val="24"/>
          <w:szCs w:val="24"/>
        </w:rPr>
      </w:pPr>
      <w:r>
        <w:rPr>
          <w:rFonts w:hint="eastAsia" w:ascii="宋体" w:hAnsi="宋体"/>
          <w:sz w:val="24"/>
          <w:szCs w:val="24"/>
        </w:rPr>
        <w:t>2、禁止行为</w:t>
      </w:r>
    </w:p>
    <w:p>
      <w:pPr>
        <w:snapToGrid w:val="0"/>
        <w:spacing w:line="360" w:lineRule="auto"/>
        <w:ind w:firstLine="480" w:firstLineChars="200"/>
        <w:rPr>
          <w:rFonts w:ascii="宋体" w:hAnsi="宋体"/>
          <w:sz w:val="24"/>
          <w:szCs w:val="24"/>
        </w:rPr>
      </w:pPr>
      <w:r>
        <w:rPr>
          <w:rFonts w:hint="eastAsia" w:ascii="宋体" w:hAnsi="宋体"/>
          <w:sz w:val="24"/>
          <w:szCs w:val="24"/>
        </w:rPr>
        <w:t>为维护基金份额持有人的合法权益，基金财产不得用于下列投资或者活动：</w:t>
      </w:r>
    </w:p>
    <w:p>
      <w:pPr>
        <w:snapToGrid w:val="0"/>
        <w:spacing w:line="360" w:lineRule="auto"/>
        <w:ind w:firstLine="480" w:firstLineChars="200"/>
        <w:rPr>
          <w:rFonts w:ascii="宋体" w:hAnsi="宋体"/>
          <w:sz w:val="24"/>
          <w:szCs w:val="24"/>
        </w:rPr>
      </w:pPr>
      <w:r>
        <w:rPr>
          <w:rFonts w:hint="eastAsia" w:ascii="宋体" w:hAnsi="宋体"/>
          <w:sz w:val="24"/>
          <w:szCs w:val="24"/>
        </w:rPr>
        <w:t>（1）承销证券；</w:t>
      </w:r>
    </w:p>
    <w:p>
      <w:pPr>
        <w:snapToGrid w:val="0"/>
        <w:spacing w:line="360" w:lineRule="auto"/>
        <w:ind w:firstLine="480" w:firstLineChars="200"/>
        <w:rPr>
          <w:rFonts w:ascii="宋体" w:hAnsi="宋体"/>
          <w:sz w:val="24"/>
          <w:szCs w:val="24"/>
        </w:rPr>
      </w:pPr>
      <w:r>
        <w:rPr>
          <w:rFonts w:hint="eastAsia" w:ascii="宋体" w:hAnsi="宋体"/>
          <w:sz w:val="24"/>
          <w:szCs w:val="24"/>
        </w:rPr>
        <w:t>（2）违反规定向他人贷款或者提供担保；</w:t>
      </w:r>
    </w:p>
    <w:p>
      <w:pPr>
        <w:snapToGrid w:val="0"/>
        <w:spacing w:line="360" w:lineRule="auto"/>
        <w:ind w:firstLine="480" w:firstLineChars="200"/>
        <w:rPr>
          <w:rFonts w:ascii="宋体" w:hAnsi="宋体"/>
          <w:sz w:val="24"/>
          <w:szCs w:val="24"/>
        </w:rPr>
      </w:pPr>
      <w:r>
        <w:rPr>
          <w:rFonts w:hint="eastAsia" w:ascii="宋体" w:hAnsi="宋体"/>
          <w:sz w:val="24"/>
          <w:szCs w:val="24"/>
        </w:rPr>
        <w:t>（3）从事承担无限责任的投资；</w:t>
      </w:r>
    </w:p>
    <w:p>
      <w:pPr>
        <w:snapToGrid w:val="0"/>
        <w:spacing w:line="360" w:lineRule="auto"/>
        <w:ind w:firstLine="480" w:firstLineChars="200"/>
        <w:rPr>
          <w:rFonts w:ascii="宋体" w:hAnsi="宋体"/>
          <w:sz w:val="24"/>
          <w:szCs w:val="24"/>
        </w:rPr>
      </w:pPr>
      <w:r>
        <w:rPr>
          <w:rFonts w:hint="eastAsia" w:ascii="宋体" w:hAnsi="宋体"/>
          <w:sz w:val="24"/>
          <w:szCs w:val="24"/>
        </w:rPr>
        <w:t>（4）买卖其他基金份额，但是中国证监会另有规定的除外；</w:t>
      </w:r>
    </w:p>
    <w:p>
      <w:pPr>
        <w:snapToGrid w:val="0"/>
        <w:spacing w:line="360" w:lineRule="auto"/>
        <w:ind w:firstLine="480" w:firstLineChars="200"/>
        <w:rPr>
          <w:rFonts w:ascii="宋体" w:hAnsi="宋体"/>
          <w:sz w:val="24"/>
          <w:szCs w:val="24"/>
        </w:rPr>
      </w:pPr>
      <w:r>
        <w:rPr>
          <w:rFonts w:hint="eastAsia" w:ascii="宋体" w:hAnsi="宋体"/>
          <w:sz w:val="24"/>
          <w:szCs w:val="24"/>
        </w:rPr>
        <w:t>（5）向其基金管理人、基金托管人出资；</w:t>
      </w:r>
    </w:p>
    <w:p>
      <w:pPr>
        <w:snapToGrid w:val="0"/>
        <w:spacing w:line="360" w:lineRule="auto"/>
        <w:ind w:firstLine="480" w:firstLineChars="200"/>
        <w:rPr>
          <w:rFonts w:ascii="宋体" w:hAnsi="宋体"/>
          <w:sz w:val="24"/>
          <w:szCs w:val="24"/>
        </w:rPr>
      </w:pPr>
      <w:r>
        <w:rPr>
          <w:rFonts w:hint="eastAsia" w:ascii="宋体" w:hAnsi="宋体"/>
          <w:sz w:val="24"/>
          <w:szCs w:val="24"/>
        </w:rPr>
        <w:t>（6）从事内幕交易、操纵证券交易价格及其他不正当的证券交易活动；</w:t>
      </w:r>
    </w:p>
    <w:p>
      <w:pPr>
        <w:snapToGrid w:val="0"/>
        <w:spacing w:line="360" w:lineRule="auto"/>
        <w:ind w:firstLine="480" w:firstLineChars="200"/>
        <w:rPr>
          <w:rFonts w:ascii="宋体" w:hAnsi="宋体"/>
          <w:sz w:val="24"/>
          <w:szCs w:val="24"/>
        </w:rPr>
      </w:pPr>
      <w:r>
        <w:rPr>
          <w:rFonts w:hint="eastAsia" w:ascii="宋体" w:hAnsi="宋体"/>
          <w:sz w:val="24"/>
          <w:szCs w:val="24"/>
        </w:rPr>
        <w:t>（7）法律、行政法规和中国证监会规定禁止的其他活动。</w:t>
      </w:r>
    </w:p>
    <w:p>
      <w:pPr>
        <w:snapToGrid w:val="0"/>
        <w:spacing w:line="360" w:lineRule="auto"/>
        <w:ind w:firstLine="480" w:firstLineChars="20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napToGrid w:val="0"/>
        <w:spacing w:line="360" w:lineRule="auto"/>
        <w:ind w:firstLine="480" w:firstLineChars="200"/>
        <w:rPr>
          <w:rFonts w:ascii="宋体" w:hAnsi="宋体"/>
          <w:sz w:val="24"/>
          <w:szCs w:val="24"/>
        </w:rPr>
      </w:pPr>
      <w:r>
        <w:rPr>
          <w:rFonts w:hint="eastAsia" w:ascii="宋体" w:hAnsi="宋体"/>
          <w:sz w:val="24"/>
          <w:szCs w:val="24"/>
        </w:rPr>
        <w:t>如法律、行政法规或监管部门取消上述规定，如适用于本基金，基金管理人在履行适当程序后，本基金可不受上述规定的限制。</w:t>
      </w:r>
    </w:p>
    <w:p>
      <w:pPr>
        <w:adjustRightInd w:val="0"/>
        <w:snapToGrid w:val="0"/>
        <w:spacing w:line="360" w:lineRule="auto"/>
        <w:ind w:firstLine="482" w:firstLineChars="200"/>
        <w:outlineLvl w:val="1"/>
        <w:rPr>
          <w:rFonts w:hAnsi="宋体"/>
          <w:kern w:val="0"/>
          <w:sz w:val="24"/>
        </w:rPr>
      </w:pPr>
      <w:r>
        <w:rPr>
          <w:rFonts w:hint="eastAsia"/>
          <w:b/>
          <w:bCs/>
          <w:sz w:val="24"/>
        </w:rPr>
        <w:t>（五）业绩比较基准</w:t>
      </w:r>
    </w:p>
    <w:p>
      <w:pPr>
        <w:adjustRightInd w:val="0"/>
        <w:snapToGrid w:val="0"/>
        <w:spacing w:line="360" w:lineRule="auto"/>
        <w:ind w:firstLine="480" w:firstLineChars="200"/>
        <w:rPr>
          <w:bCs/>
          <w:sz w:val="24"/>
        </w:rPr>
      </w:pPr>
      <w:r>
        <w:rPr>
          <w:rFonts w:hint="eastAsia"/>
          <w:bCs/>
          <w:sz w:val="24"/>
        </w:rPr>
        <w:t>沪深300指数收益率×10%+恒生指数收益率×5%+中证综合债券指数收益率×85%</w:t>
      </w:r>
    </w:p>
    <w:p>
      <w:pPr>
        <w:adjustRightInd w:val="0"/>
        <w:snapToGrid w:val="0"/>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adjustRightInd w:val="0"/>
        <w:snapToGrid w:val="0"/>
        <w:spacing w:line="360" w:lineRule="auto"/>
        <w:ind w:firstLine="480" w:firstLineChars="200"/>
        <w:rPr>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adjustRightInd w:val="0"/>
        <w:snapToGrid w:val="0"/>
        <w:spacing w:line="360" w:lineRule="auto"/>
        <w:ind w:firstLine="480" w:firstLineChars="20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adjustRightInd w:val="0"/>
        <w:snapToGrid w:val="0"/>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napToGrid w:val="0"/>
        <w:spacing w:line="360" w:lineRule="auto"/>
        <w:ind w:firstLine="480" w:firstLineChars="20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djustRightInd w:val="0"/>
        <w:snapToGrid w:val="0"/>
        <w:spacing w:line="360" w:lineRule="auto"/>
        <w:ind w:firstLine="482" w:firstLineChars="200"/>
        <w:outlineLvl w:val="1"/>
        <w:rPr>
          <w:rFonts w:hAnsi="宋体"/>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本基金是一只混合型基金，其预期风险和预期收益</w:t>
      </w:r>
      <w:r>
        <w:rPr>
          <w:rFonts w:hint="eastAsia" w:ascii="宋体" w:hAnsi="宋体"/>
          <w:bCs/>
          <w:sz w:val="24"/>
        </w:rPr>
        <w:t>理论上</w:t>
      </w:r>
      <w:r>
        <w:rPr>
          <w:rFonts w:hint="eastAsia" w:ascii="宋体" w:hAnsi="宋体"/>
          <w:sz w:val="24"/>
        </w:rPr>
        <w:t>高于债券型基金和货币市场基金，低于股票型基金。</w:t>
      </w:r>
    </w:p>
    <w:p>
      <w:pPr>
        <w:adjustRightInd w:val="0"/>
        <w:snapToGrid w:val="0"/>
        <w:spacing w:line="360" w:lineRule="auto"/>
        <w:ind w:firstLine="480" w:firstLineChars="200"/>
        <w:rPr>
          <w:rFonts w:ascii="宋体" w:hAnsi="宋体"/>
          <w:sz w:val="24"/>
        </w:rPr>
      </w:pPr>
      <w:r>
        <w:rPr>
          <w:rFonts w:hint="eastAsia" w:ascii="宋体" w:hAnsi="宋体"/>
          <w:sz w:val="24"/>
        </w:rPr>
        <w:t>本基金可投资港股通标的股票，会面临港股通机制下因投资环境、投资标的、市场制度以及交易规则等差异带来的特有风险。</w:t>
      </w:r>
    </w:p>
    <w:p>
      <w:pPr>
        <w:adjustRightInd w:val="0"/>
        <w:snapToGrid w:val="0"/>
        <w:spacing w:line="360" w:lineRule="auto"/>
        <w:ind w:firstLine="482" w:firstLineChars="200"/>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ascii="宋体" w:hAnsi="宋体"/>
          <w:sz w:val="24"/>
        </w:rPr>
      </w:pPr>
      <w:r>
        <w:rPr>
          <w:rFonts w:hint="eastAsia" w:ascii="宋体" w:hAnsi="宋体"/>
          <w:sz w:val="24"/>
        </w:rPr>
        <w:t>4、不通过关联交易为自身、雇员、授权代理人或任何存在利害关系的第三人牟取任何不当利益。</w:t>
      </w:r>
    </w:p>
    <w:bookmarkEnd w:id="39"/>
    <w:bookmarkEnd w:id="40"/>
    <w:bookmarkEnd w:id="41"/>
    <w:p>
      <w:pPr>
        <w:adjustRightInd w:val="0"/>
        <w:snapToGrid w:val="0"/>
        <w:spacing w:line="360" w:lineRule="auto"/>
        <w:ind w:firstLine="482" w:firstLineChars="200"/>
        <w:outlineLvl w:val="1"/>
        <w:rPr>
          <w:rFonts w:hAnsi="宋体"/>
          <w:b/>
          <w:sz w:val="24"/>
          <w:szCs w:val="24"/>
        </w:rPr>
      </w:pPr>
      <w:bookmarkStart w:id="43" w:name="_Toc109059037"/>
      <w:bookmarkEnd w:id="43"/>
      <w:bookmarkStart w:id="44" w:name="_Hlt88281392"/>
      <w:bookmarkEnd w:id="44"/>
      <w:bookmarkStart w:id="45" w:name="_Hlt81033424"/>
      <w:bookmarkEnd w:id="45"/>
      <w:bookmarkStart w:id="46" w:name="_Hlt5604240"/>
      <w:bookmarkEnd w:id="46"/>
      <w:bookmarkStart w:id="47" w:name="_Hlt81033092"/>
      <w:bookmarkEnd w:id="47"/>
      <w:bookmarkStart w:id="48" w:name="_Toc109059025"/>
      <w:bookmarkEnd w:id="48"/>
      <w:bookmarkStart w:id="49" w:name="_Toc109059036"/>
      <w:bookmarkEnd w:id="49"/>
      <w:bookmarkStart w:id="50" w:name="_Hlt5528681"/>
      <w:bookmarkEnd w:id="50"/>
      <w:bookmarkStart w:id="51" w:name="_Toc155690783"/>
      <w:bookmarkStart w:id="52" w:name="_Toc154909614"/>
      <w:r>
        <w:rPr>
          <w:rFonts w:hAnsi="宋体"/>
          <w:b/>
          <w:sz w:val="24"/>
          <w:szCs w:val="24"/>
        </w:rPr>
        <w:t>（</w:t>
      </w:r>
      <w:r>
        <w:rPr>
          <w:rFonts w:hint="eastAsia" w:hAnsi="宋体"/>
          <w:b/>
          <w:sz w:val="24"/>
          <w:szCs w:val="24"/>
        </w:rPr>
        <w:t>八</w:t>
      </w:r>
      <w:r>
        <w:rPr>
          <w:rFonts w:hAnsi="宋体"/>
          <w:b/>
          <w:sz w:val="24"/>
          <w:szCs w:val="24"/>
        </w:rPr>
        <w:t>）</w:t>
      </w:r>
      <w:r>
        <w:rPr>
          <w:rFonts w:hint="eastAsia" w:hAnsi="宋体"/>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九</w:t>
      </w:r>
      <w:r>
        <w:rPr>
          <w:rFonts w:hAnsi="宋体"/>
          <w:b/>
          <w:sz w:val="24"/>
          <w:szCs w:val="24"/>
        </w:rPr>
        <w:t>）投资决策依据和投资流程</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、投资决策依据</w:t>
      </w:r>
    </w:p>
    <w:p>
      <w:pPr>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pPr>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）公司投资及风险控制政策；</w:t>
      </w:r>
    </w:p>
    <w:p>
      <w:pPr>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pPr>
        <w:adjustRightInd w:val="0"/>
        <w:snapToGrid w:val="0"/>
        <w:spacing w:line="360" w:lineRule="auto"/>
        <w:ind w:firstLine="480" w:firstLineChars="20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pPr>
        <w:adjustRightInd w:val="0"/>
        <w:snapToGrid w:val="0"/>
        <w:spacing w:line="360" w:lineRule="auto"/>
        <w:ind w:firstLine="480" w:firstLineChars="200"/>
        <w:outlineLvl w:val="2"/>
        <w:rPr>
          <w:sz w:val="24"/>
          <w:szCs w:val="24"/>
        </w:rPr>
      </w:pPr>
      <w:r>
        <w:rPr>
          <w:sz w:val="24"/>
          <w:szCs w:val="24"/>
        </w:rPr>
        <w:t>2</w:t>
      </w:r>
      <w:r>
        <w:rPr>
          <w:rFonts w:hAnsi="宋体"/>
          <w:sz w:val="24"/>
          <w:szCs w:val="24"/>
        </w:rPr>
        <w:t>、投资决策机制</w:t>
      </w:r>
    </w:p>
    <w:p>
      <w:pPr>
        <w:adjustRightInd w:val="0"/>
        <w:snapToGrid w:val="0"/>
        <w:spacing w:line="360" w:lineRule="auto"/>
        <w:ind w:firstLine="480" w:firstLineChars="20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pPr>
        <w:adjustRightInd w:val="0"/>
        <w:snapToGrid w:val="0"/>
        <w:spacing w:line="360" w:lineRule="auto"/>
        <w:ind w:firstLine="480" w:firstLineChars="200"/>
        <w:rPr>
          <w:sz w:val="24"/>
          <w:szCs w:val="24"/>
        </w:rPr>
      </w:pPr>
      <w:r>
        <w:rPr>
          <w:rFonts w:hAnsi="宋体"/>
          <w:sz w:val="24"/>
          <w:szCs w:val="24"/>
        </w:rPr>
        <w:t>基金经理的主要职责是在投资决策委员会确定的资产配置范围内构建和调整投资组合，并向中央交易室下达投资指令。</w:t>
      </w:r>
    </w:p>
    <w:p>
      <w:pPr>
        <w:adjustRightInd w:val="0"/>
        <w:snapToGrid w:val="0"/>
        <w:spacing w:line="360" w:lineRule="auto"/>
        <w:ind w:firstLine="480" w:firstLineChars="20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pPr>
        <w:adjustRightInd w:val="0"/>
        <w:snapToGrid w:val="0"/>
        <w:spacing w:line="360" w:lineRule="auto"/>
        <w:ind w:firstLine="480" w:firstLineChars="200"/>
        <w:outlineLvl w:val="2"/>
        <w:rPr>
          <w:sz w:val="24"/>
          <w:szCs w:val="24"/>
        </w:rPr>
      </w:pPr>
      <w:r>
        <w:rPr>
          <w:sz w:val="24"/>
          <w:szCs w:val="24"/>
        </w:rPr>
        <w:t>3</w:t>
      </w:r>
      <w:r>
        <w:rPr>
          <w:rFonts w:hAnsi="宋体"/>
          <w:sz w:val="24"/>
          <w:szCs w:val="24"/>
        </w:rPr>
        <w:t>、投资管理流程</w:t>
      </w:r>
    </w:p>
    <w:p>
      <w:pPr>
        <w:adjustRightInd w:val="0"/>
        <w:snapToGrid w:val="0"/>
        <w:spacing w:line="360" w:lineRule="auto"/>
        <w:ind w:firstLine="480" w:firstLineChars="200"/>
        <w:rPr>
          <w:rFonts w:hAnsi="宋体"/>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pPr>
        <w:adjustRightInd w:val="0"/>
        <w:snapToGrid w:val="0"/>
        <w:spacing w:line="360" w:lineRule="auto"/>
        <w:ind w:firstLine="480" w:firstLineChars="200"/>
        <w:rPr>
          <w:rFonts w:hAnsi="宋体"/>
          <w:sz w:val="24"/>
          <w:szCs w:val="24"/>
        </w:rPr>
      </w:pPr>
      <w:r>
        <w:rPr>
          <w:rFonts w:hAnsi="宋体"/>
          <w:sz w:val="24"/>
          <w:szCs w:val="24"/>
        </w:rPr>
        <w:t>（1）研究部宏观分析师、策略分析师、行业分析师、信用分析师、数量分析师各自独立完成相应的研究报告，为投资决策提供依据；</w:t>
      </w:r>
    </w:p>
    <w:p>
      <w:pPr>
        <w:adjustRightInd w:val="0"/>
        <w:snapToGrid w:val="0"/>
        <w:spacing w:line="360" w:lineRule="auto"/>
        <w:ind w:firstLine="480" w:firstLineChars="200"/>
        <w:rPr>
          <w:rFonts w:hAnsi="宋体"/>
          <w:sz w:val="24"/>
          <w:szCs w:val="24"/>
        </w:rPr>
      </w:pPr>
      <w:r>
        <w:rPr>
          <w:rFonts w:hAnsi="宋体"/>
          <w:sz w:val="24"/>
          <w:szCs w:val="24"/>
        </w:rPr>
        <w:t>（2）投资决策委员会每月召开投资决策会议，对资产配置比例提出指导性意见，并讨论股票、债券的投资重点等；</w:t>
      </w:r>
    </w:p>
    <w:p>
      <w:pPr>
        <w:adjustRightInd w:val="0"/>
        <w:snapToGrid w:val="0"/>
        <w:spacing w:line="360" w:lineRule="auto"/>
        <w:ind w:firstLine="480" w:firstLineChars="200"/>
        <w:rPr>
          <w:rFonts w:hAnsi="宋体"/>
          <w:sz w:val="24"/>
          <w:szCs w:val="24"/>
        </w:rPr>
      </w:pPr>
      <w:r>
        <w:rPr>
          <w:rFonts w:hAnsi="宋体"/>
          <w:sz w:val="24"/>
          <w:szCs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pPr>
        <w:adjustRightInd w:val="0"/>
        <w:snapToGrid w:val="0"/>
        <w:spacing w:line="360" w:lineRule="auto"/>
        <w:ind w:firstLine="480" w:firstLineChars="200"/>
        <w:rPr>
          <w:rFonts w:hAnsi="宋体"/>
          <w:sz w:val="24"/>
          <w:szCs w:val="24"/>
        </w:rPr>
      </w:pPr>
      <w:r>
        <w:rPr>
          <w:rFonts w:hAnsi="宋体"/>
          <w:sz w:val="24"/>
          <w:szCs w:val="24"/>
        </w:rPr>
        <w:t>（4）基金经理根据基金投资组合方案，向中央交易室下达交易指令；</w:t>
      </w:r>
    </w:p>
    <w:p>
      <w:pPr>
        <w:adjustRightInd w:val="0"/>
        <w:snapToGrid w:val="0"/>
        <w:spacing w:line="360" w:lineRule="auto"/>
        <w:ind w:firstLine="480" w:firstLineChars="200"/>
        <w:rPr>
          <w:rFonts w:hAnsi="宋体"/>
          <w:sz w:val="24"/>
          <w:szCs w:val="24"/>
        </w:rPr>
      </w:pPr>
      <w:r>
        <w:rPr>
          <w:rFonts w:hAnsi="宋体"/>
          <w:sz w:val="24"/>
          <w:szCs w:val="24"/>
        </w:rPr>
        <w:t>（5）交易指令通过风控系统的自动合规核查后，由中央交易室执行，中央交易室对交易情况及时反馈；</w:t>
      </w:r>
    </w:p>
    <w:p>
      <w:pPr>
        <w:adjustRightInd w:val="0"/>
        <w:snapToGrid w:val="0"/>
        <w:spacing w:line="360" w:lineRule="auto"/>
        <w:ind w:firstLine="480" w:firstLineChars="200"/>
        <w:rPr>
          <w:rFonts w:hAnsi="宋体"/>
          <w:sz w:val="24"/>
          <w:szCs w:val="24"/>
        </w:rPr>
      </w:pPr>
      <w:r>
        <w:rPr>
          <w:rFonts w:hAnsi="宋体"/>
          <w:sz w:val="24"/>
          <w:szCs w:val="24"/>
        </w:rPr>
        <w:t>（6）基金经理对每日交易执行情况进行回顾，并审视基金投资组合的变动情况；</w:t>
      </w:r>
    </w:p>
    <w:p>
      <w:pPr>
        <w:adjustRightInd w:val="0"/>
        <w:snapToGrid w:val="0"/>
        <w:spacing w:line="360" w:lineRule="auto"/>
        <w:ind w:firstLine="480" w:firstLineChars="200"/>
        <w:rPr>
          <w:rFonts w:hAnsi="宋体"/>
          <w:sz w:val="24"/>
          <w:szCs w:val="24"/>
        </w:rPr>
      </w:pPr>
      <w:r>
        <w:rPr>
          <w:rFonts w:hAnsi="宋体"/>
          <w:sz w:val="24"/>
          <w:szCs w:val="24"/>
        </w:rPr>
        <w:t>（7）风险管理部定期完成有关投资风险监控报告，量化投资部定期完成基金业绩评估报告。</w:t>
      </w:r>
    </w:p>
    <w:p>
      <w:pPr>
        <w:adjustRightInd w:val="0"/>
        <w:snapToGrid w:val="0"/>
        <w:spacing w:line="360" w:lineRule="auto"/>
        <w:ind w:firstLine="480" w:firstLineChars="200"/>
        <w:rPr>
          <w:rFonts w:hAnsi="宋体"/>
          <w:sz w:val="24"/>
          <w:szCs w:val="24"/>
        </w:rPr>
      </w:pPr>
      <w:r>
        <w:rPr>
          <w:rFonts w:hAnsi="宋体"/>
          <w:sz w:val="24"/>
          <w:szCs w:val="24"/>
        </w:rPr>
        <w:t>投资决策委员会有权根据市场变化和实际情况的需要，对上述投资管理程序作出调整。</w:t>
      </w:r>
      <w:bookmarkStart w:id="53" w:name="_Toc78208364"/>
    </w:p>
    <w:p>
      <w:pPr>
        <w:adjustRightInd w:val="0"/>
        <w:snapToGrid w:val="0"/>
        <w:spacing w:line="360" w:lineRule="auto"/>
        <w:ind w:firstLine="480" w:firstLineChars="200"/>
        <w:rPr>
          <w:rFonts w:hAnsi="宋体"/>
          <w:sz w:val="24"/>
          <w:szCs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hAnsi="宋体"/>
          <w:sz w:val="24"/>
          <w:szCs w:val="24"/>
        </w:rPr>
        <w:br w:type="page"/>
      </w:r>
      <w:bookmarkStart w:id="54" w:name="_Toc62202548"/>
      <w:r>
        <w:rPr>
          <w:rFonts w:hint="eastAsia" w:ascii="宋体" w:hAnsi="宋体"/>
          <w:b/>
          <w:kern w:val="0"/>
          <w:sz w:val="30"/>
        </w:rPr>
        <w:t>十、基金的财产</w:t>
      </w:r>
      <w:bookmarkEnd w:id="54"/>
    </w:p>
    <w:p>
      <w:pPr>
        <w:adjustRightInd w:val="0"/>
        <w:snapToGrid w:val="0"/>
        <w:spacing w:line="360" w:lineRule="auto"/>
        <w:ind w:firstLine="482" w:firstLineChars="200"/>
        <w:outlineLvl w:val="1"/>
        <w:rPr>
          <w:rFonts w:hAnsi="宋体"/>
          <w:b/>
          <w:sz w:val="24"/>
          <w:szCs w:val="24"/>
        </w:rPr>
      </w:pPr>
      <w:r>
        <w:rPr>
          <w:rFonts w:hAnsi="宋体"/>
          <w:b/>
          <w:sz w:val="24"/>
          <w:szCs w:val="24"/>
        </w:rPr>
        <w:t>（一）基金资产总值</w:t>
      </w:r>
    </w:p>
    <w:p>
      <w:pPr>
        <w:widowControl/>
        <w:adjustRightInd w:val="0"/>
        <w:snapToGrid w:val="0"/>
        <w:spacing w:line="360" w:lineRule="auto"/>
        <w:ind w:firstLine="480" w:firstLineChars="200"/>
        <w:rPr>
          <w:kern w:val="0"/>
          <w:sz w:val="24"/>
        </w:rPr>
      </w:pPr>
      <w:r>
        <w:rPr>
          <w:rFonts w:hint="eastAsia" w:hAnsi="宋体"/>
          <w:sz w:val="24"/>
          <w:szCs w:val="21"/>
        </w:rPr>
        <w:t>基金资产总值是指基金拥有的各类有价证券、股指期货合约、银行存款本息、基金应收</w:t>
      </w:r>
      <w:r>
        <w:rPr>
          <w:rFonts w:hint="eastAsia"/>
          <w:bCs/>
          <w:sz w:val="24"/>
        </w:rPr>
        <w:t>款项</w:t>
      </w:r>
      <w:r>
        <w:rPr>
          <w:rFonts w:hint="eastAsia" w:hAnsi="宋体"/>
          <w:sz w:val="24"/>
          <w:szCs w:val="21"/>
        </w:rPr>
        <w:t>及其他资产的价值总和。</w:t>
      </w:r>
      <w:bookmarkEnd w:id="53"/>
      <w:bookmarkStart w:id="55" w:name="_Toc311810245"/>
    </w:p>
    <w:p>
      <w:pPr>
        <w:adjustRightInd w:val="0"/>
        <w:snapToGrid w:val="0"/>
        <w:spacing w:line="360" w:lineRule="auto"/>
        <w:ind w:firstLine="482" w:firstLineChars="200"/>
        <w:outlineLvl w:val="1"/>
        <w:rPr>
          <w:rFonts w:hAnsi="宋体"/>
          <w:b/>
          <w:sz w:val="24"/>
          <w:szCs w:val="24"/>
        </w:rPr>
      </w:pPr>
      <w:r>
        <w:rPr>
          <w:rFonts w:hAnsi="宋体"/>
          <w:b/>
          <w:sz w:val="24"/>
          <w:szCs w:val="24"/>
        </w:rPr>
        <w:t>（二）基金资</w:t>
      </w:r>
      <w:bookmarkEnd w:id="55"/>
      <w:r>
        <w:rPr>
          <w:rFonts w:hAnsi="宋体"/>
          <w:b/>
          <w:sz w:val="24"/>
          <w:szCs w:val="24"/>
        </w:rPr>
        <w:t>产</w:t>
      </w:r>
      <w:bookmarkEnd w:id="51"/>
      <w:bookmarkEnd w:id="52"/>
      <w:r>
        <w:rPr>
          <w:rFonts w:hAnsi="宋体"/>
          <w:b/>
          <w:sz w:val="24"/>
          <w:szCs w:val="24"/>
        </w:rPr>
        <w:t>净</w:t>
      </w:r>
      <w:bookmarkStart w:id="56" w:name="_Toc109537391"/>
      <w:r>
        <w:rPr>
          <w:rFonts w:hAnsi="宋体"/>
          <w:b/>
          <w:sz w:val="24"/>
          <w:szCs w:val="24"/>
        </w:rPr>
        <w:t>值</w:t>
      </w:r>
    </w:p>
    <w:p>
      <w:pPr>
        <w:widowControl/>
        <w:adjustRightInd w:val="0"/>
        <w:snapToGrid w:val="0"/>
        <w:spacing w:line="360" w:lineRule="auto"/>
        <w:ind w:firstLine="480" w:firstLineChars="200"/>
        <w:rPr>
          <w:rFonts w:hAnsi="宋体"/>
          <w:sz w:val="24"/>
          <w:szCs w:val="21"/>
        </w:rPr>
      </w:pPr>
      <w:r>
        <w:rPr>
          <w:rFonts w:hAnsi="宋体"/>
          <w:sz w:val="24"/>
          <w:szCs w:val="21"/>
        </w:rPr>
        <w:t>基</w:t>
      </w:r>
      <w:bookmarkEnd w:id="56"/>
      <w:r>
        <w:rPr>
          <w:rFonts w:hAnsi="宋体"/>
          <w:sz w:val="24"/>
          <w:szCs w:val="21"/>
        </w:rPr>
        <w:t>金资产净值是指基金资产总值</w:t>
      </w:r>
      <w:bookmarkStart w:id="57" w:name="_Toc79392635"/>
      <w:bookmarkStart w:id="58" w:name="_Toc79556449"/>
      <w:r>
        <w:rPr>
          <w:rFonts w:hAnsi="宋体"/>
          <w:sz w:val="24"/>
          <w:szCs w:val="21"/>
        </w:rPr>
        <w:t>减去基金负债后的价值。</w:t>
      </w:r>
    </w:p>
    <w:p>
      <w:pPr>
        <w:adjustRightInd w:val="0"/>
        <w:snapToGrid w:val="0"/>
        <w:spacing w:line="360" w:lineRule="auto"/>
        <w:ind w:firstLine="482" w:firstLineChars="200"/>
        <w:outlineLvl w:val="1"/>
        <w:rPr>
          <w:rFonts w:hAnsi="宋体"/>
          <w:b/>
          <w:sz w:val="24"/>
          <w:szCs w:val="24"/>
        </w:rPr>
      </w:pPr>
      <w:r>
        <w:rPr>
          <w:rFonts w:hAnsi="宋体"/>
          <w:b/>
          <w:sz w:val="24"/>
          <w:szCs w:val="24"/>
        </w:rPr>
        <w:t>（三）基金财产的账户</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基金托管人根据相关法律法规、规范性文件为本基金开立资金账户、证券账户</w:t>
      </w:r>
      <w:r>
        <w:rPr>
          <w:rFonts w:hint="eastAsia"/>
          <w:bCs/>
          <w:sz w:val="24"/>
        </w:rPr>
        <w:t>以及投资所需的其他专用账户，协助开立股指期货业务相关账户及交易编码</w:t>
      </w:r>
      <w:r>
        <w:rPr>
          <w:bCs/>
          <w:sz w:val="24"/>
        </w:rPr>
        <w:t>。开立的基金专用账户与基金管理人、基</w:t>
      </w:r>
      <w:bookmarkEnd w:id="57"/>
      <w:bookmarkEnd w:id="58"/>
      <w:r>
        <w:rPr>
          <w:bCs/>
          <w:sz w:val="24"/>
        </w:rPr>
        <w:t>金托管人、基金销售机构和基金登记机构自有的财产账户以及其他基金财产账户相独立。</w:t>
      </w:r>
    </w:p>
    <w:p>
      <w:pPr>
        <w:adjustRightInd w:val="0"/>
        <w:snapToGrid w:val="0"/>
        <w:spacing w:line="360" w:lineRule="auto"/>
        <w:ind w:firstLine="482" w:firstLineChars="200"/>
        <w:outlineLvl w:val="1"/>
        <w:rPr>
          <w:rFonts w:hAnsi="宋体"/>
          <w:b/>
          <w:sz w:val="24"/>
          <w:szCs w:val="24"/>
        </w:rPr>
      </w:pPr>
      <w:r>
        <w:rPr>
          <w:rFonts w:hAnsi="宋体"/>
          <w:b/>
          <w:sz w:val="24"/>
          <w:szCs w:val="24"/>
        </w:rPr>
        <w:t>（四）基金财产的保管</w:t>
      </w:r>
      <w:r>
        <w:rPr>
          <w:rFonts w:hint="eastAsia" w:hAnsi="宋体"/>
          <w:b/>
          <w:sz w:val="24"/>
          <w:szCs w:val="24"/>
        </w:rPr>
        <w:t>和</w:t>
      </w:r>
      <w:r>
        <w:rPr>
          <w:rFonts w:hAnsi="宋体"/>
          <w:b/>
          <w:sz w:val="24"/>
          <w:szCs w:val="24"/>
        </w:rPr>
        <w:t>处分</w:t>
      </w:r>
    </w:p>
    <w:p>
      <w:pPr>
        <w:widowControl/>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59" w:name="_Toc62202549"/>
      <w:r>
        <w:rPr>
          <w:rFonts w:hint="eastAsia" w:ascii="宋体" w:hAnsi="宋体"/>
          <w:b/>
          <w:kern w:val="0"/>
          <w:sz w:val="30"/>
        </w:rPr>
        <w:t>十一、基金资产的估值</w:t>
      </w:r>
      <w:bookmarkEnd w:id="59"/>
    </w:p>
    <w:p>
      <w:pPr>
        <w:adjustRightInd w:val="0"/>
        <w:snapToGrid w:val="0"/>
        <w:spacing w:line="360" w:lineRule="auto"/>
        <w:ind w:firstLine="482" w:firstLineChars="200"/>
        <w:outlineLvl w:val="1"/>
        <w:rPr>
          <w:b/>
          <w:sz w:val="24"/>
          <w:szCs w:val="24"/>
        </w:rPr>
      </w:pPr>
      <w:r>
        <w:rPr>
          <w:rFonts w:hAnsi="宋体"/>
          <w:b/>
          <w:sz w:val="24"/>
          <w:szCs w:val="24"/>
        </w:rPr>
        <w:t>（一）估值日</w:t>
      </w:r>
    </w:p>
    <w:p>
      <w:pPr>
        <w:adjustRightInd w:val="0"/>
        <w:snapToGrid w:val="0"/>
        <w:spacing w:line="360" w:lineRule="auto"/>
        <w:ind w:firstLine="480" w:firstLineChars="200"/>
        <w:rPr>
          <w:sz w:val="24"/>
          <w:szCs w:val="24"/>
        </w:rPr>
      </w:pPr>
      <w:r>
        <w:rPr>
          <w:rFonts w:hint="eastAsia" w:hAnsi="宋体"/>
          <w:sz w:val="24"/>
          <w:szCs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outlineLvl w:val="1"/>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基金所拥有的股票、债券、资产支持证券、衍生工具和其他投资等持续以公允价值计量的金融资产及负债。</w:t>
      </w:r>
    </w:p>
    <w:p>
      <w:pPr>
        <w:adjustRightInd w:val="0"/>
        <w:snapToGrid w:val="0"/>
        <w:spacing w:line="360" w:lineRule="auto"/>
        <w:ind w:firstLine="482" w:firstLineChars="200"/>
        <w:outlineLvl w:val="1"/>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1、证券交易所上市的有价证券的估值</w:t>
      </w:r>
    </w:p>
    <w:p>
      <w:pPr>
        <w:adjustRightInd w:val="0"/>
        <w:snapToGrid w:val="0"/>
        <w:spacing w:line="360" w:lineRule="auto"/>
        <w:ind w:firstLine="480" w:firstLineChars="200"/>
        <w:rPr>
          <w:sz w:val="24"/>
          <w:szCs w:val="24"/>
        </w:rPr>
      </w:pPr>
      <w:r>
        <w:rPr>
          <w:rFonts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（2）交易所上市交易或挂牌转让的固定收益品种（另有规定的除外），选取估值日第三方估值机构提供的相应品种当日的估值净价进行估值；</w:t>
      </w:r>
    </w:p>
    <w:p>
      <w:pPr>
        <w:adjustRightInd w:val="0"/>
        <w:snapToGrid w:val="0"/>
        <w:spacing w:line="360" w:lineRule="auto"/>
        <w:ind w:firstLine="480" w:firstLineChars="200"/>
        <w:rPr>
          <w:sz w:val="24"/>
          <w:szCs w:val="24"/>
        </w:rPr>
      </w:pPr>
      <w:r>
        <w:rPr>
          <w:rFonts w:hint="eastAsia"/>
          <w:sz w:val="24"/>
          <w:szCs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（4）交易所上市实行全价交易的债券（可转债除外），选取第三方估值机构提供的估值全价减去估值全价中所含的债券（税后）应收利息得到的净价进行估值；</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pPr>
        <w:adjustRightInd w:val="0"/>
        <w:snapToGrid w:val="0"/>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djustRightInd w:val="0"/>
        <w:snapToGrid w:val="0"/>
        <w:spacing w:line="360" w:lineRule="auto"/>
        <w:ind w:firstLine="480" w:firstLineChars="200"/>
        <w:rPr>
          <w:sz w:val="24"/>
          <w:szCs w:val="24"/>
        </w:rPr>
      </w:pPr>
      <w:r>
        <w:rPr>
          <w:rFonts w:hint="eastAsia"/>
          <w:sz w:val="24"/>
          <w:szCs w:val="24"/>
        </w:rPr>
        <w:t>2、</w:t>
      </w:r>
      <w:r>
        <w:rPr>
          <w:bCs/>
          <w:sz w:val="24"/>
        </w:rPr>
        <w:t>处于</w:t>
      </w:r>
      <w:r>
        <w:rPr>
          <w:rFonts w:hint="eastAsia"/>
          <w:sz w:val="24"/>
          <w:szCs w:val="24"/>
        </w:rPr>
        <w:t>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（2）首次公开发行未上市的股票和债券，采用估值技术确定公允价值，在估值技术难以可靠计量公允价值的情况下，按成本估值；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sz w:val="24"/>
          <w:szCs w:val="24"/>
        </w:rPr>
      </w:pPr>
      <w:r>
        <w:rPr>
          <w:rFonts w:hint="eastAsia"/>
          <w:sz w:val="24"/>
          <w:szCs w:val="24"/>
        </w:rPr>
        <w:t>4、本基金投资股指期货合约，一般以估值当日结算价进行估值，估值当日无结算价的，且最近交易日后经济环境未发生重大变化的，采用最近交易日结算价估值。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sz w:val="24"/>
          <w:szCs w:val="24"/>
        </w:rPr>
      </w:pPr>
      <w:r>
        <w:rPr>
          <w:rFonts w:hint="eastAsia"/>
          <w:sz w:val="24"/>
          <w:szCs w:val="24"/>
        </w:rPr>
        <w:t>5、同一</w:t>
      </w:r>
      <w:r>
        <w:rPr>
          <w:rFonts w:hint="eastAsia"/>
          <w:bCs/>
          <w:sz w:val="24"/>
        </w:rPr>
        <w:t>证券</w:t>
      </w:r>
      <w:r>
        <w:rPr>
          <w:rFonts w:hint="eastAsia"/>
          <w:sz w:val="24"/>
          <w:szCs w:val="24"/>
        </w:rPr>
        <w:t>同时在两个或两个以上市场交易的，按</w:t>
      </w:r>
      <w:r>
        <w:rPr>
          <w:rFonts w:hint="eastAsia"/>
          <w:bCs/>
          <w:sz w:val="24"/>
        </w:rPr>
        <w:t>证券</w:t>
      </w:r>
      <w:r>
        <w:rPr>
          <w:rFonts w:hint="eastAsia"/>
          <w:sz w:val="24"/>
          <w:szCs w:val="24"/>
        </w:rPr>
        <w:t>所处的市场分别估值。</w:t>
      </w:r>
    </w:p>
    <w:p>
      <w:pPr>
        <w:adjustRightInd w:val="0"/>
        <w:snapToGrid w:val="0"/>
        <w:spacing w:line="360" w:lineRule="auto"/>
        <w:ind w:firstLine="480" w:firstLineChars="200"/>
        <w:rPr>
          <w:sz w:val="24"/>
          <w:szCs w:val="24"/>
        </w:rPr>
      </w:pPr>
      <w:r>
        <w:rPr>
          <w:rFonts w:hint="eastAsia"/>
          <w:sz w:val="24"/>
          <w:szCs w:val="24"/>
        </w:rPr>
        <w:t>估值计算中涉及港币对人民币汇率的，将依据下列信息提供机构所提供的汇率为基准：当日中国人民银行或其授权机构公布的人民币汇率中间价。</w:t>
      </w:r>
    </w:p>
    <w:p>
      <w:pPr>
        <w:adjustRightInd w:val="0"/>
        <w:snapToGrid w:val="0"/>
        <w:spacing w:line="360" w:lineRule="auto"/>
        <w:ind w:firstLine="480" w:firstLineChars="200"/>
        <w:rPr>
          <w:sz w:val="24"/>
          <w:szCs w:val="24"/>
        </w:rPr>
      </w:pPr>
      <w:r>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adjustRightInd w:val="0"/>
        <w:snapToGrid w:val="0"/>
        <w:spacing w:line="360" w:lineRule="auto"/>
        <w:ind w:firstLine="480" w:firstLineChars="200"/>
        <w:rPr>
          <w:sz w:val="24"/>
          <w:szCs w:val="24"/>
        </w:rPr>
      </w:pPr>
      <w:r>
        <w:rPr>
          <w:sz w:val="24"/>
          <w:szCs w:val="24"/>
        </w:rPr>
        <w:t>6</w:t>
      </w:r>
      <w:r>
        <w:rPr>
          <w:rFonts w:hint="eastAsia"/>
          <w:sz w:val="24"/>
          <w:szCs w:val="24"/>
        </w:rPr>
        <w:t>、如有确凿证据表明按上述方法进行估值不能客观反映其公允价值的，基金管理人可根据具体情况与基金托管人商定后，按最能反映公允价值的价格估值。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sz w:val="24"/>
          <w:szCs w:val="24"/>
        </w:rPr>
        <w:t>7</w:t>
      </w:r>
      <w:r>
        <w:rPr>
          <w:rFonts w:hint="eastAsia"/>
          <w:sz w:val="24"/>
          <w:szCs w:val="24"/>
        </w:rPr>
        <w:t>、当发生大额申购或赎回情形时，基金管理人可以采用摆动定价机制，以确保基金估值的公平性。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sz w:val="24"/>
          <w:szCs w:val="24"/>
        </w:rPr>
        <w:t>8、</w:t>
      </w:r>
      <w:r>
        <w:rPr>
          <w:rFonts w:hint="eastAsia"/>
          <w:sz w:val="24"/>
          <w:szCs w:val="24"/>
        </w:rPr>
        <w:t>本基金投资存托凭证的估值核算依照境内上市交易的股票执行。</w:t>
      </w:r>
    </w:p>
    <w:p>
      <w:pPr>
        <w:adjustRightInd w:val="0"/>
        <w:snapToGrid w:val="0"/>
        <w:spacing w:line="360" w:lineRule="auto"/>
        <w:ind w:firstLine="480" w:firstLineChars="200"/>
        <w:rPr>
          <w:sz w:val="24"/>
          <w:szCs w:val="24"/>
        </w:rPr>
      </w:pPr>
      <w:r>
        <w:rPr>
          <w:sz w:val="24"/>
          <w:szCs w:val="24"/>
        </w:rPr>
        <w:t>9</w:t>
      </w:r>
      <w:r>
        <w:rPr>
          <w:rFonts w:hint="eastAsia"/>
          <w:sz w:val="24"/>
          <w:szCs w:val="24"/>
        </w:rPr>
        <w:t>、相关法律法规以及监管部门有强制规定的，从其规定。如有新增事项，按国家最新规定估值。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1、各类基金份额的基金份额净值是按照每个工作日闭市后，该类基金份额的基金资产净值除以当日</w:t>
      </w:r>
      <w:r>
        <w:rPr>
          <w:rFonts w:hint="eastAsia"/>
          <w:bCs/>
          <w:sz w:val="24"/>
        </w:rPr>
        <w:t>该类</w:t>
      </w:r>
      <w:r>
        <w:rPr>
          <w:rFonts w:hint="eastAsia"/>
          <w:sz w:val="24"/>
          <w:szCs w:val="24"/>
        </w:rPr>
        <w:t>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基金管理人于每个工作日计算各类基金份额的基金资产净值及基金份额净值，并按规定公告。如遇特殊情况，经履行适当程序，可以适当延迟计算或公告。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outlineLvl w:val="2"/>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outlineLvl w:val="2"/>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outlineLvl w:val="2"/>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outlineLvl w:val="2"/>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（2）错误偏差达到基金份额净值的0.25%时，基金管理人应当通报基金托管人并报中国证监会备案；错误偏差达到基金份额净值的0.5%时，基金管理人应当公告，并报中国证监会备案。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（3）前述内容如法律法规或监管机关另有规定的，从其规定处理。</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1、基金投资所涉及的证券、期货交易市场遇法定节假日或因其他原因暂停营业时；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4、法律法规、中国证监会和基金合同认定的其它情形。</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sz w:val="24"/>
          <w:szCs w:val="24"/>
        </w:rPr>
      </w:pPr>
      <w:r>
        <w:rPr>
          <w:rFonts w:hint="eastAsia" w:hAnsi="宋体"/>
          <w:sz w:val="24"/>
          <w:szCs w:val="24"/>
        </w:rPr>
        <w:t>各类基金份额的基金资产净值</w:t>
      </w:r>
      <w:r>
        <w:rPr>
          <w:rFonts w:hint="eastAsia"/>
          <w:bCs/>
          <w:sz w:val="24"/>
        </w:rPr>
        <w:t>、基金份额累计净值</w:t>
      </w:r>
      <w:r>
        <w:rPr>
          <w:rFonts w:hint="eastAsia" w:hAnsi="宋体"/>
          <w:sz w:val="24"/>
          <w:szCs w:val="24"/>
        </w:rPr>
        <w:t>和基金份额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szCs w:val="24"/>
        </w:rPr>
      </w:pPr>
      <w:r>
        <w:rPr>
          <w:rFonts w:hint="eastAsia"/>
          <w:sz w:val="24"/>
          <w:szCs w:val="24"/>
        </w:rPr>
        <w:t>1、基金管理人或基金托管人按估值方法的第</w:t>
      </w:r>
      <w:r>
        <w:rPr>
          <w:sz w:val="24"/>
          <w:szCs w:val="24"/>
        </w:rPr>
        <w:t>6</w:t>
      </w:r>
      <w:r>
        <w:rPr>
          <w:rFonts w:hint="eastAsia"/>
          <w:sz w:val="24"/>
          <w:szCs w:val="24"/>
        </w:rPr>
        <w:t>项进行估值时，所造成的误差不作为基金资产估值错误处理。</w:t>
      </w:r>
    </w:p>
    <w:p>
      <w:pPr>
        <w:adjustRightInd w:val="0"/>
        <w:snapToGrid w:val="0"/>
        <w:spacing w:line="360" w:lineRule="auto"/>
        <w:ind w:firstLine="480" w:firstLineChars="200"/>
        <w:rPr>
          <w:rFonts w:hAnsi="宋体"/>
          <w:sz w:val="24"/>
          <w:szCs w:val="24"/>
        </w:rPr>
      </w:pPr>
      <w:r>
        <w:rPr>
          <w:rFonts w:hint="eastAsia" w:hAnsi="宋体"/>
          <w:sz w:val="24"/>
          <w:szCs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（十）实施侧袋机制期间的基金资产估值</w:t>
      </w:r>
    </w:p>
    <w:p>
      <w:pPr>
        <w:adjustRightInd w:val="0"/>
        <w:snapToGrid w:val="0"/>
        <w:spacing w:line="360" w:lineRule="auto"/>
        <w:ind w:firstLine="480" w:firstLineChars="200"/>
        <w:rPr>
          <w:sz w:val="24"/>
          <w:szCs w:val="24"/>
        </w:rPr>
      </w:pPr>
      <w:r>
        <w:rPr>
          <w:rFonts w:hint="eastAsia"/>
          <w:sz w:val="24"/>
          <w:szCs w:val="24"/>
        </w:rPr>
        <w:t>本基金实施侧袋机制的，应根据本部分的约定对主袋账户资产进行估值并披露主袋账户的基金净值信息，暂停披露侧袋账户份额净值。</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60" w:name="_Toc62202550"/>
      <w:r>
        <w:rPr>
          <w:rFonts w:hint="eastAsia" w:ascii="宋体" w:hAnsi="宋体"/>
          <w:b/>
          <w:kern w:val="0"/>
          <w:sz w:val="30"/>
        </w:rPr>
        <w:t>十二、基金收益与分配</w:t>
      </w:r>
      <w:bookmarkEnd w:id="60"/>
    </w:p>
    <w:p>
      <w:pPr>
        <w:adjustRightInd w:val="0"/>
        <w:snapToGrid w:val="0"/>
        <w:spacing w:line="360" w:lineRule="auto"/>
        <w:ind w:firstLine="482" w:firstLineChars="200"/>
        <w:outlineLvl w:val="1"/>
        <w:rPr>
          <w:b/>
          <w:sz w:val="24"/>
        </w:rPr>
      </w:pPr>
      <w:r>
        <w:rPr>
          <w:rFonts w:hAnsi="宋体"/>
          <w:b/>
          <w:sz w:val="24"/>
        </w:rPr>
        <w:t>（一）基金利润的构成</w:t>
      </w:r>
    </w:p>
    <w:p>
      <w:pPr>
        <w:adjustRightInd w:val="0"/>
        <w:snapToGrid w:val="0"/>
        <w:spacing w:line="360" w:lineRule="auto"/>
        <w:ind w:firstLine="480" w:firstLineChars="20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outlineLvl w:val="1"/>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Ansi="宋体"/>
          <w:sz w:val="24"/>
        </w:rPr>
        <w:t>基金可供分配利润指截至收益分</w:t>
      </w:r>
      <w:bookmarkStart w:id="61" w:name="_Hlt81129040"/>
      <w:bookmarkEnd w:id="61"/>
      <w:bookmarkStart w:id="62" w:name="_Hlt88900301"/>
      <w:bookmarkEnd w:id="62"/>
      <w:bookmarkStart w:id="63" w:name="_Hlt80435237"/>
      <w:bookmarkEnd w:id="63"/>
      <w:bookmarkStart w:id="64" w:name="_Toc15118286"/>
      <w:bookmarkStart w:id="65" w:name="_Toc109537392"/>
      <w:r>
        <w:rPr>
          <w:rFonts w:hAnsi="宋体"/>
          <w:sz w:val="24"/>
        </w:rPr>
        <w:t>配</w:t>
      </w:r>
      <w:bookmarkEnd w:id="64"/>
      <w:r>
        <w:rPr>
          <w:rFonts w:hAnsi="宋体"/>
          <w:sz w:val="24"/>
        </w:rPr>
        <w:t>基准日基金未分配利润与</w:t>
      </w:r>
      <w:bookmarkEnd w:id="65"/>
      <w:r>
        <w:rPr>
          <w:rFonts w:hAnsi="宋体"/>
          <w:sz w:val="24"/>
        </w:rPr>
        <w:t>未分配利润中已实现收益的孰低数。</w:t>
      </w:r>
    </w:p>
    <w:p>
      <w:pPr>
        <w:adjustRightInd w:val="0"/>
        <w:snapToGrid w:val="0"/>
        <w:spacing w:line="360" w:lineRule="auto"/>
        <w:ind w:firstLine="482" w:firstLineChars="200"/>
        <w:outlineLvl w:val="1"/>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66" w:name="OLE_LINK73"/>
      <w:bookmarkStart w:id="67" w:name="OLE_LINK72"/>
      <w:r>
        <w:rPr>
          <w:rFonts w:hint="eastAsia" w:ascii="宋体" w:hAnsi="宋体"/>
          <w:bCs/>
          <w:sz w:val="24"/>
          <w:szCs w:val="24"/>
        </w:rPr>
        <w:t>1、由于本基金A类基金份额不收取销售服务费，C类基金份额收取销售服务费，各基金份额类别对应的可供分配利润将有所不同；</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2、在符合有关基金分红条件的前提下，本基金管理人可以根据实际情况进行收益分配，具体分配方案以公告为准，若《基金合同》生效不满3个月可不进行收益分配；</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本基金收益分配方式分两种：现金分红与红利再投资，投资者可选择现金红利或将现金红利自动转为相应类别的基金份额进行再投资；投资者红利再投资所得基金份额不受最短持有期限制；若投资者不选择，本基金默认的收益分配方式是现金分红；基金份额持有人可对其持有的A类基金份额和C类基金份额分别选择不同的收益分配方式；</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4、基金收益分配后任一类基金份额净值不能低于面值；即基金收益分配基准日的任一类基金份额净值减去该类每单位基金份额收益分配金额后不能低于面值；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5、本基金同一基金份额类别的每一基金份额享有同等分配权；</w:t>
      </w:r>
    </w:p>
    <w:p>
      <w:pPr>
        <w:snapToGrid w:val="0"/>
        <w:spacing w:line="360" w:lineRule="auto"/>
        <w:ind w:firstLine="480" w:firstLineChars="200"/>
        <w:rPr>
          <w:rFonts w:ascii="宋体" w:hAnsi="宋体"/>
          <w:bCs/>
          <w:sz w:val="24"/>
          <w:szCs w:val="24"/>
        </w:rPr>
      </w:pPr>
      <w:r>
        <w:rPr>
          <w:rFonts w:hint="eastAsia" w:ascii="宋体" w:hAnsi="宋体"/>
          <w:bCs/>
          <w:sz w:val="24"/>
          <w:szCs w:val="24"/>
        </w:rPr>
        <w:t>6、法律法规或监管机关另有规定的，从其规定。</w:t>
      </w:r>
    </w:p>
    <w:bookmarkEnd w:id="66"/>
    <w:bookmarkEnd w:id="67"/>
    <w:p>
      <w:pPr>
        <w:snapToGrid w:val="0"/>
        <w:spacing w:line="360" w:lineRule="auto"/>
        <w:ind w:firstLine="482" w:firstLineChars="200"/>
        <w:outlineLvl w:val="1"/>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outlineLvl w:val="1"/>
        <w:rPr>
          <w:b/>
          <w:sz w:val="24"/>
        </w:rPr>
      </w:pPr>
      <w:r>
        <w:rPr>
          <w:rFonts w:hAnsi="宋体"/>
          <w:b/>
          <w:sz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本基金收益分配方案由基金管理人拟定，并由基金托管人复核，依照《信息披露办法》的规定在规定媒介公告。</w:t>
      </w:r>
    </w:p>
    <w:p>
      <w:pPr>
        <w:adjustRightInd w:val="0"/>
        <w:snapToGrid w:val="0"/>
        <w:spacing w:line="360" w:lineRule="auto"/>
        <w:ind w:firstLine="480" w:firstLineChars="200"/>
        <w:rPr>
          <w:rFonts w:ascii="宋体" w:hAnsi="宋体"/>
          <w:sz w:val="24"/>
        </w:rPr>
      </w:pPr>
      <w:r>
        <w:rPr>
          <w:rFonts w:hint="eastAsia"/>
          <w:bCs/>
          <w:sz w:val="24"/>
        </w:rPr>
        <w:t>法律法规或监管机关另有规定的，从其规定。</w:t>
      </w:r>
    </w:p>
    <w:p>
      <w:pPr>
        <w:adjustRightInd w:val="0"/>
        <w:snapToGrid w:val="0"/>
        <w:spacing w:line="360" w:lineRule="auto"/>
        <w:ind w:firstLine="482" w:firstLineChars="200"/>
        <w:outlineLvl w:val="1"/>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2" w:firstLineChars="200"/>
        <w:outlineLvl w:val="1"/>
        <w:rPr>
          <w:b/>
          <w:sz w:val="24"/>
        </w:rPr>
      </w:pPr>
      <w:r>
        <w:rPr>
          <w:b/>
          <w:sz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adjustRightInd w:val="0"/>
        <w:snapToGrid w:val="0"/>
        <w:spacing w:line="360" w:lineRule="auto"/>
        <w:ind w:firstLine="482" w:firstLineChars="200"/>
        <w:outlineLvl w:val="1"/>
        <w:rPr>
          <w:b/>
          <w:sz w:val="24"/>
        </w:rPr>
      </w:pPr>
      <w:r>
        <w:rPr>
          <w:rFonts w:hint="eastAsia"/>
          <w:b/>
          <w:sz w:val="24"/>
        </w:rPr>
        <w:t>（八</w:t>
      </w:r>
      <w:r>
        <w:rPr>
          <w:b/>
          <w:sz w:val="24"/>
        </w:rPr>
        <w:t>）</w:t>
      </w:r>
      <w:r>
        <w:rPr>
          <w:rFonts w:hint="eastAsia"/>
          <w:b/>
          <w:sz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p>
    <w:p>
      <w:pPr>
        <w:adjustRightInd w:val="0"/>
        <w:snapToGrid w:val="0"/>
        <w:spacing w:line="360" w:lineRule="auto"/>
        <w:ind w:firstLine="480" w:firstLineChars="200"/>
        <w:rPr>
          <w:sz w:val="24"/>
        </w:rPr>
      </w:pPr>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8" w:name="_Toc62202551"/>
      <w:r>
        <w:rPr>
          <w:rFonts w:hint="eastAsia" w:ascii="宋体" w:hAnsi="宋体"/>
          <w:b/>
          <w:kern w:val="0"/>
          <w:sz w:val="30"/>
        </w:rPr>
        <w:t>十三、基金的费用与税收</w:t>
      </w:r>
      <w:bookmarkEnd w:id="68"/>
    </w:p>
    <w:p>
      <w:pPr>
        <w:adjustRightInd w:val="0"/>
        <w:snapToGrid w:val="0"/>
        <w:spacing w:line="360" w:lineRule="auto"/>
        <w:ind w:firstLine="482" w:firstLineChars="200"/>
        <w:outlineLvl w:val="1"/>
        <w:rPr>
          <w:rFonts w:hAnsi="宋体"/>
          <w:b/>
          <w:sz w:val="24"/>
          <w:szCs w:val="24"/>
        </w:rPr>
      </w:pPr>
      <w:r>
        <w:rPr>
          <w:rFonts w:hAnsi="宋体"/>
          <w:b/>
          <w:sz w:val="24"/>
          <w:szCs w:val="24"/>
        </w:rPr>
        <w:t>（一）基金费用的种类</w:t>
      </w:r>
    </w:p>
    <w:p>
      <w:pPr>
        <w:adjustRightInd w:val="0"/>
        <w:snapToGrid w:val="0"/>
        <w:spacing w:line="360" w:lineRule="auto"/>
        <w:ind w:firstLine="480" w:firstLineChars="200"/>
        <w:rPr>
          <w:sz w:val="24"/>
        </w:rPr>
      </w:pPr>
      <w:r>
        <w:rPr>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4、《基金合同》生效后与基金相关的会计师费、律师费、仲裁费和诉讼费；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6、基金的证券、期货交易费用；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rFonts w:hint="eastAsia"/>
          <w:sz w:val="24"/>
        </w:rPr>
        <w:t>9、因投资港股通标的股票而产生的各项合理费用；</w:t>
      </w:r>
    </w:p>
    <w:p>
      <w:pPr>
        <w:adjustRightInd w:val="0"/>
        <w:snapToGrid w:val="0"/>
        <w:spacing w:line="360" w:lineRule="auto"/>
        <w:ind w:firstLine="480" w:firstLineChars="200"/>
        <w:rPr>
          <w:sz w:val="24"/>
        </w:rPr>
      </w:pPr>
      <w:r>
        <w:rPr>
          <w:sz w:val="24"/>
        </w:rPr>
        <w:t>10</w:t>
      </w:r>
      <w:r>
        <w:rPr>
          <w:rFonts w:hint="eastAsia"/>
          <w:sz w:val="24"/>
        </w:rPr>
        <w:t>、本基金从C类基金份额的基金财产中计提的销售服务费；</w:t>
      </w:r>
    </w:p>
    <w:p>
      <w:pPr>
        <w:adjustRightInd w:val="0"/>
        <w:snapToGrid w:val="0"/>
        <w:spacing w:line="360" w:lineRule="auto"/>
        <w:ind w:firstLine="480" w:firstLineChars="200"/>
        <w:rPr>
          <w:sz w:val="24"/>
        </w:rPr>
      </w:pPr>
      <w:r>
        <w:rPr>
          <w:rFonts w:hint="eastAsia"/>
          <w:sz w:val="24"/>
        </w:rPr>
        <w:t>11、按照国家有关规定和《基金合同》约定，可以在基金财产中列支的其他费用。</w:t>
      </w:r>
    </w:p>
    <w:p>
      <w:pPr>
        <w:adjustRightInd w:val="0"/>
        <w:snapToGrid w:val="0"/>
        <w:spacing w:line="360" w:lineRule="auto"/>
        <w:ind w:firstLine="482" w:firstLineChars="200"/>
        <w:outlineLvl w:val="1"/>
        <w:rPr>
          <w:rFonts w:hAnsi="宋体"/>
          <w:b/>
          <w:sz w:val="24"/>
          <w:szCs w:val="24"/>
        </w:rPr>
      </w:pPr>
      <w:r>
        <w:rPr>
          <w:rFonts w:hAnsi="宋体"/>
          <w:b/>
          <w:sz w:val="24"/>
          <w:szCs w:val="24"/>
        </w:rPr>
        <w:t>（二）基金费用计提方法、计提标准和支付方式</w:t>
      </w:r>
    </w:p>
    <w:p>
      <w:pPr>
        <w:adjustRightInd w:val="0"/>
        <w:snapToGrid w:val="0"/>
        <w:spacing w:line="360" w:lineRule="auto"/>
        <w:ind w:firstLine="480" w:firstLineChars="200"/>
        <w:outlineLvl w:val="2"/>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hAnsi="宋体"/>
          <w:sz w:val="24"/>
        </w:rPr>
        <w:t>）</w:t>
      </w:r>
      <w:r>
        <w:rPr>
          <w:rFonts w:hAnsi="宋体"/>
          <w:sz w:val="24"/>
        </w:rPr>
        <w:t>基金管理人的管理费</w:t>
      </w:r>
    </w:p>
    <w:p>
      <w:pPr>
        <w:adjustRightInd w:val="0"/>
        <w:snapToGrid w:val="0"/>
        <w:spacing w:line="360" w:lineRule="auto"/>
        <w:ind w:firstLine="480" w:firstLineChars="200"/>
        <w:rPr>
          <w:bCs/>
          <w:sz w:val="24"/>
        </w:rPr>
      </w:pPr>
      <w:r>
        <w:rPr>
          <w:rFonts w:hint="eastAsia"/>
          <w:bCs/>
          <w:sz w:val="24"/>
        </w:rPr>
        <w:t>本基金的管理费按前一日基金资产净值的</w:t>
      </w:r>
      <w:r>
        <w:rPr>
          <w:bCs/>
          <w:sz w:val="24"/>
        </w:rPr>
        <w:t>0.6</w:t>
      </w:r>
      <w:r>
        <w:rPr>
          <w:rFonts w:hint="eastAsia"/>
          <w:bCs/>
          <w:sz w:val="24"/>
        </w:rPr>
        <w:t>%年费率计提。管理费的计算方法如下：</w:t>
      </w:r>
    </w:p>
    <w:p>
      <w:pPr>
        <w:adjustRightInd w:val="0"/>
        <w:snapToGrid w:val="0"/>
        <w:spacing w:line="360" w:lineRule="auto"/>
        <w:ind w:firstLine="480" w:firstLineChars="200"/>
        <w:rPr>
          <w:bCs/>
          <w:sz w:val="24"/>
        </w:rPr>
      </w:pPr>
      <w:r>
        <w:rPr>
          <w:rFonts w:hint="eastAsia"/>
          <w:bCs/>
          <w:sz w:val="24"/>
        </w:rPr>
        <w:t>H＝E×年管理费率÷当年天数</w:t>
      </w:r>
    </w:p>
    <w:p>
      <w:pPr>
        <w:adjustRightInd w:val="0"/>
        <w:snapToGrid w:val="0"/>
        <w:spacing w:line="360" w:lineRule="auto"/>
        <w:ind w:firstLine="480" w:firstLineChars="200"/>
        <w:rPr>
          <w:bCs/>
          <w:sz w:val="24"/>
        </w:rPr>
      </w:pPr>
      <w:r>
        <w:rPr>
          <w:rFonts w:hint="eastAsia"/>
          <w:bCs/>
          <w:sz w:val="24"/>
        </w:rPr>
        <w:t>H为每日应计提的基金管理费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基金管理费每日计提，按月支付。由基金管理人向基金托管人发送基金管理费划付指令，经基金托管人复核无误后于次月首日起3个工作日内从基金财产中一次性支付给基金管理人。</w:t>
      </w:r>
    </w:p>
    <w:p>
      <w:pPr>
        <w:adjustRightInd w:val="0"/>
        <w:snapToGrid w:val="0"/>
        <w:spacing w:line="360" w:lineRule="auto"/>
        <w:ind w:firstLine="480" w:firstLineChars="200"/>
        <w:rPr>
          <w:bCs/>
          <w:sz w:val="24"/>
        </w:rPr>
      </w:pPr>
      <w:r>
        <w:rPr>
          <w:rFonts w:hint="eastAsia"/>
          <w:bCs/>
          <w:sz w:val="24"/>
        </w:rPr>
        <w:t>若遇法定节假日、休息日或不可抗力致使无法按时支付的，顺延至最近可支付日支付。</w:t>
      </w:r>
    </w:p>
    <w:p>
      <w:pPr>
        <w:adjustRightInd w:val="0"/>
        <w:snapToGrid w:val="0"/>
        <w:spacing w:line="360" w:lineRule="auto"/>
        <w:ind w:firstLine="480" w:firstLineChars="200"/>
        <w:rPr>
          <w:sz w:val="24"/>
        </w:rPr>
      </w:pPr>
      <w:r>
        <w:rPr>
          <w:rFonts w:hint="eastAsia"/>
          <w:sz w:val="24"/>
        </w:rPr>
        <w:t>（</w:t>
      </w:r>
      <w:r>
        <w:rPr>
          <w:sz w:val="24"/>
        </w:rPr>
        <w:t>2</w:t>
      </w:r>
      <w:r>
        <w:rPr>
          <w:rFonts w:hint="eastAsia" w:hAnsi="宋体"/>
          <w:sz w:val="24"/>
        </w:rPr>
        <w:t>）</w:t>
      </w:r>
      <w:r>
        <w:rPr>
          <w:rFonts w:hAnsi="宋体"/>
          <w:sz w:val="24"/>
        </w:rPr>
        <w:t>基金托管人的托管费</w:t>
      </w:r>
    </w:p>
    <w:p>
      <w:pPr>
        <w:adjustRightInd w:val="0"/>
        <w:snapToGrid w:val="0"/>
        <w:spacing w:line="360" w:lineRule="auto"/>
        <w:ind w:firstLine="480" w:firstLineChars="200"/>
        <w:rPr>
          <w:bCs/>
          <w:sz w:val="24"/>
        </w:rPr>
      </w:pPr>
      <w:r>
        <w:rPr>
          <w:rFonts w:hint="eastAsia"/>
          <w:bCs/>
          <w:sz w:val="24"/>
        </w:rPr>
        <w:t>本基金的托管费按前一日基金资产净值的0.2%年费率计提。托管费的计算方法如下：</w:t>
      </w:r>
    </w:p>
    <w:p>
      <w:pPr>
        <w:adjustRightInd w:val="0"/>
        <w:snapToGrid w:val="0"/>
        <w:spacing w:line="360" w:lineRule="auto"/>
        <w:ind w:firstLine="480" w:firstLineChars="200"/>
        <w:rPr>
          <w:bCs/>
          <w:sz w:val="24"/>
        </w:rPr>
      </w:pPr>
      <w:r>
        <w:rPr>
          <w:rFonts w:hint="eastAsia"/>
          <w:bCs/>
          <w:sz w:val="24"/>
        </w:rPr>
        <w:t>H＝E×年托管费率÷当年天数</w:t>
      </w:r>
    </w:p>
    <w:p>
      <w:pPr>
        <w:adjustRightInd w:val="0"/>
        <w:snapToGrid w:val="0"/>
        <w:spacing w:line="360" w:lineRule="auto"/>
        <w:ind w:firstLine="480" w:firstLineChars="200"/>
        <w:rPr>
          <w:bCs/>
          <w:sz w:val="24"/>
        </w:rPr>
      </w:pPr>
      <w:r>
        <w:rPr>
          <w:rFonts w:hint="eastAsia"/>
          <w:bCs/>
          <w:sz w:val="24"/>
        </w:rPr>
        <w:t>H为每日应计提的基金托管费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基金托管费每日计提，按月支付。由基金管理人向基金托管人发送基金托管费划付指令，经基金托管人复核无误后于次月首日起3个工作日内从基金</w:t>
      </w:r>
      <w:r>
        <w:rPr>
          <w:bCs/>
          <w:sz w:val="24"/>
        </w:rPr>
        <w:t>财</w:t>
      </w:r>
      <w:r>
        <w:rPr>
          <w:rFonts w:hint="eastAsia"/>
          <w:bCs/>
          <w:sz w:val="24"/>
        </w:rPr>
        <w:t>产中一次性支付给基金托管人。</w:t>
      </w:r>
    </w:p>
    <w:p>
      <w:pPr>
        <w:adjustRightInd w:val="0"/>
        <w:snapToGrid w:val="0"/>
        <w:spacing w:line="360" w:lineRule="auto"/>
        <w:ind w:firstLine="480" w:firstLineChars="200"/>
        <w:rPr>
          <w:bCs/>
          <w:sz w:val="24"/>
        </w:rPr>
      </w:pPr>
      <w:r>
        <w:rPr>
          <w:rFonts w:hint="eastAsia"/>
          <w:bCs/>
          <w:sz w:val="24"/>
        </w:rPr>
        <w:t>若遇法定节假日、休息日或不可抗力致使无法按时支付的，顺延至最近可支付日支付。</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）C类基金份额的销售服务费</w:t>
      </w:r>
    </w:p>
    <w:p>
      <w:pPr>
        <w:adjustRightInd w:val="0"/>
        <w:snapToGrid w:val="0"/>
        <w:spacing w:line="360" w:lineRule="auto"/>
        <w:ind w:firstLine="480" w:firstLineChars="200"/>
        <w:rPr>
          <w:bCs/>
          <w:sz w:val="24"/>
        </w:rPr>
      </w:pPr>
      <w:r>
        <w:rPr>
          <w:rFonts w:hint="eastAsia"/>
          <w:bCs/>
          <w:sz w:val="24"/>
        </w:rPr>
        <w:t>本基金A类基金份额不收取销售服务费，C类基金份额的销售服务费按前一日C类基金资产净值的</w:t>
      </w:r>
      <w:r>
        <w:rPr>
          <w:bCs/>
          <w:sz w:val="24"/>
        </w:rPr>
        <w:t>0.4</w:t>
      </w:r>
      <w:r>
        <w:rPr>
          <w:rFonts w:hint="eastAsia"/>
          <w:bCs/>
          <w:sz w:val="24"/>
        </w:rPr>
        <w:t>%年费率计提。计算方法如下：</w:t>
      </w:r>
    </w:p>
    <w:p>
      <w:pPr>
        <w:adjustRightInd w:val="0"/>
        <w:snapToGrid w:val="0"/>
        <w:spacing w:line="360" w:lineRule="auto"/>
        <w:ind w:firstLine="480" w:firstLineChars="200"/>
        <w:rPr>
          <w:bCs/>
          <w:sz w:val="24"/>
        </w:rPr>
      </w:pPr>
      <w:r>
        <w:rPr>
          <w:rFonts w:hint="eastAsia"/>
          <w:bCs/>
          <w:sz w:val="24"/>
        </w:rPr>
        <w:t>H＝E×年销售服务费率÷当年天数</w:t>
      </w:r>
    </w:p>
    <w:p>
      <w:pPr>
        <w:adjustRightInd w:val="0"/>
        <w:snapToGrid w:val="0"/>
        <w:spacing w:line="360" w:lineRule="auto"/>
        <w:ind w:firstLine="480" w:firstLineChars="200"/>
        <w:rPr>
          <w:bCs/>
          <w:sz w:val="24"/>
        </w:rPr>
      </w:pPr>
      <w:r>
        <w:rPr>
          <w:rFonts w:hint="eastAsia"/>
          <w:bCs/>
          <w:sz w:val="24"/>
        </w:rPr>
        <w:t>H为C类基金份额每日应计提的销售服务费</w:t>
      </w:r>
    </w:p>
    <w:p>
      <w:pPr>
        <w:adjustRightInd w:val="0"/>
        <w:snapToGrid w:val="0"/>
        <w:spacing w:line="360" w:lineRule="auto"/>
        <w:ind w:firstLine="480" w:firstLineChars="200"/>
        <w:rPr>
          <w:bCs/>
          <w:sz w:val="24"/>
        </w:rPr>
      </w:pPr>
      <w:r>
        <w:rPr>
          <w:rFonts w:hint="eastAsia"/>
          <w:bCs/>
          <w:sz w:val="24"/>
        </w:rPr>
        <w:t>E为C类基金份额前一日基金资产净值</w:t>
      </w:r>
    </w:p>
    <w:p>
      <w:pPr>
        <w:adjustRightInd w:val="0"/>
        <w:snapToGrid w:val="0"/>
        <w:spacing w:line="360" w:lineRule="auto"/>
        <w:ind w:firstLine="480" w:firstLineChars="200"/>
        <w:rPr>
          <w:bCs/>
          <w:sz w:val="24"/>
        </w:rPr>
      </w:pPr>
      <w:r>
        <w:rPr>
          <w:sz w:val="24"/>
        </w:rPr>
        <w:t>C</w:t>
      </w:r>
      <w:r>
        <w:rPr>
          <w:rFonts w:hAnsi="宋体"/>
          <w:sz w:val="24"/>
        </w:rPr>
        <w:t>类基金份额销售服务费</w:t>
      </w:r>
      <w:r>
        <w:rPr>
          <w:rFonts w:hint="eastAsia" w:hAnsi="宋体"/>
          <w:sz w:val="24"/>
        </w:rPr>
        <w:t>每日计提，按月支付。由基金管理人与基金托管人核对一致后，由基金托管人复核后于次月首日起第3个工作日从基金财产中一次性支付给基金管理人，由基金管理人代付给销售机构，若遇法定节假日、休息日或不可抗力致使无法按时支付的，支付日期顺延</w:t>
      </w:r>
      <w:r>
        <w:rPr>
          <w:rFonts w:hint="eastAsia"/>
          <w:bCs/>
          <w:sz w:val="24"/>
        </w:rPr>
        <w:t>。</w:t>
      </w:r>
    </w:p>
    <w:p>
      <w:pPr>
        <w:adjustRightInd w:val="0"/>
        <w:snapToGrid w:val="0"/>
        <w:spacing w:line="360" w:lineRule="auto"/>
        <w:ind w:firstLine="480" w:firstLineChars="200"/>
        <w:rPr>
          <w:bCs/>
          <w:sz w:val="24"/>
        </w:rPr>
      </w:pPr>
      <w:r>
        <w:rPr>
          <w:rFonts w:hint="eastAsia"/>
          <w:bCs/>
          <w:sz w:val="24"/>
        </w:rPr>
        <w:t>若遇法定节假日、休息日或不可抗力致使无法按时支付的，顺延至最近可支付日支付。</w:t>
      </w:r>
    </w:p>
    <w:p>
      <w:pPr>
        <w:adjustRightInd w:val="0"/>
        <w:snapToGrid w:val="0"/>
        <w:spacing w:line="360" w:lineRule="auto"/>
        <w:ind w:firstLine="480" w:firstLineChars="200"/>
        <w:rPr>
          <w:bCs/>
          <w:sz w:val="24"/>
        </w:rPr>
      </w:pPr>
      <w:r>
        <w:rPr>
          <w:rFonts w:hint="eastAsia"/>
          <w:bCs/>
          <w:sz w:val="24"/>
        </w:rPr>
        <w:t>C类基金份额的销售服务费将专门用于本基金的推广、销售与基金份额持有人服务。</w:t>
      </w:r>
    </w:p>
    <w:p>
      <w:pPr>
        <w:adjustRightInd w:val="0"/>
        <w:snapToGrid w:val="0"/>
        <w:spacing w:line="360" w:lineRule="auto"/>
        <w:ind w:firstLine="480" w:firstLineChars="200"/>
        <w:rPr>
          <w:sz w:val="24"/>
        </w:rPr>
      </w:pPr>
      <w:r>
        <w:rPr>
          <w:rFonts w:hint="eastAsia"/>
          <w:bCs/>
          <w:sz w:val="24"/>
        </w:rPr>
        <w:t>（4）</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adjustRightInd w:val="0"/>
        <w:snapToGrid w:val="0"/>
        <w:spacing w:line="360" w:lineRule="auto"/>
        <w:ind w:firstLine="480" w:firstLineChars="200"/>
        <w:outlineLvl w:val="2"/>
        <w:rPr>
          <w:bCs/>
          <w:sz w:val="24"/>
        </w:rPr>
      </w:pPr>
      <w:r>
        <w:rPr>
          <w:bCs/>
          <w:sz w:val="24"/>
        </w:rPr>
        <w:t>2、与基金销售有关的费用</w:t>
      </w:r>
    </w:p>
    <w:p>
      <w:pPr>
        <w:adjustRightInd w:val="0"/>
        <w:snapToGrid w:val="0"/>
        <w:spacing w:line="360" w:lineRule="auto"/>
        <w:ind w:firstLine="480" w:firstLineChars="200"/>
        <w:rPr>
          <w:bCs/>
          <w:sz w:val="24"/>
        </w:rPr>
      </w:pPr>
      <w:r>
        <w:rPr>
          <w:bCs/>
          <w:sz w:val="24"/>
        </w:rPr>
        <w:t>（1）申购费</w:t>
      </w:r>
    </w:p>
    <w:p>
      <w:pPr>
        <w:adjustRightInd w:val="0"/>
        <w:snapToGrid w:val="0"/>
        <w:spacing w:line="360" w:lineRule="auto"/>
        <w:ind w:firstLine="480" w:firstLineChars="20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0" w:firstLineChars="200"/>
        <w:rPr>
          <w:bCs/>
          <w:sz w:val="24"/>
        </w:rPr>
      </w:pPr>
      <w:r>
        <w:rPr>
          <w:bCs/>
          <w:sz w:val="24"/>
        </w:rPr>
        <w:t>（2）赎回费</w:t>
      </w:r>
    </w:p>
    <w:p>
      <w:pPr>
        <w:adjustRightInd w:val="0"/>
        <w:snapToGrid w:val="0"/>
        <w:spacing w:line="360" w:lineRule="auto"/>
        <w:ind w:firstLine="480" w:firstLineChars="20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2" w:firstLineChars="200"/>
        <w:outlineLvl w:val="1"/>
        <w:rPr>
          <w:rFonts w:hAnsi="宋体"/>
          <w:b/>
          <w:sz w:val="24"/>
          <w:szCs w:val="24"/>
        </w:rPr>
      </w:pPr>
      <w:r>
        <w:rPr>
          <w:rFonts w:hAnsi="宋体"/>
          <w:b/>
          <w:sz w:val="24"/>
          <w:szCs w:val="24"/>
        </w:rPr>
        <w:t>（三）不列入基金费用的项目</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w:t>
      </w:r>
      <w:r>
        <w:rPr>
          <w:rFonts w:hAnsi="宋体"/>
          <w:sz w:val="24"/>
          <w:szCs w:val="21"/>
        </w:rPr>
        <w:t>基金合同</w:t>
      </w:r>
      <w:r>
        <w:rPr>
          <w:rFonts w:hint="eastAsia" w:hAnsi="宋体"/>
          <w:sz w:val="24"/>
          <w:szCs w:val="21"/>
        </w:rPr>
        <w:t>》</w:t>
      </w:r>
      <w:r>
        <w:rPr>
          <w:rFonts w:hAnsi="宋体"/>
          <w:sz w:val="24"/>
          <w:szCs w:val="21"/>
        </w:rPr>
        <w:t>生效前的相关费用；</w:t>
      </w:r>
    </w:p>
    <w:p>
      <w:pPr>
        <w:adjustRightInd w:val="0"/>
        <w:snapToGrid w:val="0"/>
        <w:spacing w:line="360" w:lineRule="auto"/>
        <w:ind w:firstLine="480" w:firstLineChars="200"/>
        <w:rPr>
          <w:rFonts w:hAnsi="宋体"/>
          <w:sz w:val="24"/>
          <w:szCs w:val="21"/>
        </w:rPr>
      </w:pPr>
      <w:bookmarkStart w:id="69" w:name="_Hlt81193394"/>
      <w:bookmarkEnd w:id="69"/>
      <w:r>
        <w:rPr>
          <w:rFonts w:hAnsi="宋体"/>
          <w:sz w:val="24"/>
          <w:szCs w:val="21"/>
        </w:rPr>
        <w:t>4、其他根据相关法律法规及中国证监会的有关规定不得列入基金费用的项目。</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w:t>
      </w:r>
      <w:r>
        <w:rPr>
          <w:rFonts w:hAnsi="宋体"/>
          <w:b/>
          <w:sz w:val="24"/>
          <w:szCs w:val="24"/>
        </w:rPr>
        <w:t>四</w:t>
      </w:r>
      <w:r>
        <w:rPr>
          <w:rFonts w:hint="eastAsia" w:hAnsi="宋体"/>
          <w:b/>
          <w:sz w:val="24"/>
          <w:szCs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（五）</w:t>
      </w:r>
      <w:r>
        <w:rPr>
          <w:rFonts w:hAnsi="宋体"/>
          <w:b/>
          <w:sz w:val="24"/>
          <w:szCs w:val="24"/>
        </w:rPr>
        <w:t>基金税收</w:t>
      </w:r>
    </w:p>
    <w:p>
      <w:pPr>
        <w:adjustRightInd w:val="0"/>
        <w:snapToGrid w:val="0"/>
        <w:spacing w:line="360" w:lineRule="auto"/>
        <w:ind w:firstLine="480" w:firstLineChars="200"/>
        <w:rPr>
          <w:rFonts w:hAnsi="宋体"/>
          <w:sz w:val="24"/>
          <w:szCs w:val="21"/>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pPr>
        <w:widowControl/>
        <w:jc w:val="left"/>
        <w:rPr>
          <w:rFonts w:hAnsi="宋体"/>
          <w:sz w:val="24"/>
          <w:szCs w:val="21"/>
        </w:rPr>
      </w:pPr>
      <w:r>
        <w:rPr>
          <w:rFonts w:hAnsi="宋体"/>
          <w:sz w:val="24"/>
          <w:szCs w:val="21"/>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70" w:name="_Toc62202552"/>
      <w:r>
        <w:rPr>
          <w:rFonts w:hint="eastAsia" w:ascii="宋体" w:hAnsi="宋体"/>
          <w:b/>
          <w:kern w:val="0"/>
          <w:sz w:val="30"/>
        </w:rPr>
        <w:t>十四、基金的会计与审计</w:t>
      </w:r>
      <w:bookmarkEnd w:id="70"/>
    </w:p>
    <w:p>
      <w:pPr>
        <w:adjustRightInd w:val="0"/>
        <w:snapToGrid w:val="0"/>
        <w:spacing w:line="360" w:lineRule="auto"/>
        <w:ind w:firstLine="482" w:firstLineChars="200"/>
        <w:outlineLvl w:val="1"/>
        <w:rPr>
          <w:rFonts w:hAnsi="宋体"/>
          <w:b/>
          <w:sz w:val="24"/>
          <w:szCs w:val="24"/>
        </w:rPr>
      </w:pPr>
      <w:r>
        <w:rPr>
          <w:rFonts w:hAnsi="宋体"/>
          <w:b/>
          <w:sz w:val="24"/>
          <w:szCs w:val="24"/>
        </w:rPr>
        <w:t>（一）基金会计政策</w:t>
      </w:r>
    </w:p>
    <w:p>
      <w:pPr>
        <w:adjustRightInd w:val="0"/>
        <w:snapToGrid w:val="0"/>
        <w:spacing w:line="360" w:lineRule="auto"/>
        <w:ind w:firstLine="480" w:firstLineChars="200"/>
        <w:rPr>
          <w:sz w:val="24"/>
          <w:szCs w:val="18"/>
        </w:rPr>
      </w:pPr>
      <w:r>
        <w:rPr>
          <w:sz w:val="24"/>
        </w:rPr>
        <w:t>1</w:t>
      </w:r>
      <w:r>
        <w:rPr>
          <w:rFonts w:hAnsi="宋体"/>
          <w:sz w:val="24"/>
        </w:rPr>
        <w:t>、基金管理人为本基金的基金会计责任方；</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sz w:val="24"/>
          <w:szCs w:val="18"/>
        </w:rPr>
      </w:pPr>
      <w:bookmarkStart w:id="71" w:name="_Toc109537394"/>
      <w:r>
        <w:rPr>
          <w:sz w:val="24"/>
        </w:rPr>
        <w:t>3</w:t>
      </w:r>
      <w:r>
        <w:rPr>
          <w:rFonts w:hAnsi="宋体"/>
          <w:sz w:val="24"/>
        </w:rPr>
        <w:t>、</w:t>
      </w:r>
      <w:r>
        <w:rPr>
          <w:rFonts w:hAnsi="宋体"/>
          <w:sz w:val="24"/>
          <w:szCs w:val="21"/>
        </w:rPr>
        <w:t>基金核</w:t>
      </w:r>
      <w:bookmarkEnd w:id="71"/>
      <w:r>
        <w:rPr>
          <w:rFonts w:hAnsi="宋体"/>
          <w:sz w:val="24"/>
          <w:szCs w:val="21"/>
        </w:rPr>
        <w:t>算以人民币为记账本位币，以人民币元为记账单位；</w:t>
      </w:r>
    </w:p>
    <w:p>
      <w:pPr>
        <w:adjustRightInd w:val="0"/>
        <w:snapToGrid w:val="0"/>
        <w:spacing w:line="360" w:lineRule="auto"/>
        <w:ind w:firstLine="480" w:firstLineChars="200"/>
        <w:rPr>
          <w:sz w:val="24"/>
          <w:szCs w:val="18"/>
        </w:rPr>
      </w:pPr>
      <w:r>
        <w:rPr>
          <w:sz w:val="24"/>
        </w:rPr>
        <w:t>4</w:t>
      </w:r>
      <w:r>
        <w:rPr>
          <w:rFonts w:hAnsi="宋体"/>
          <w:sz w:val="24"/>
        </w:rPr>
        <w:t>、会计制度执行国家有关会计制度；</w:t>
      </w:r>
    </w:p>
    <w:p>
      <w:pPr>
        <w:adjustRightInd w:val="0"/>
        <w:snapToGrid w:val="0"/>
        <w:spacing w:line="360" w:lineRule="auto"/>
        <w:ind w:firstLine="480" w:firstLineChars="200"/>
        <w:rPr>
          <w:sz w:val="24"/>
          <w:szCs w:val="18"/>
        </w:rPr>
      </w:pPr>
      <w:r>
        <w:rPr>
          <w:sz w:val="24"/>
        </w:rPr>
        <w:t>5</w:t>
      </w:r>
      <w:r>
        <w:rPr>
          <w:rFonts w:hAnsi="宋体"/>
          <w:sz w:val="24"/>
        </w:rPr>
        <w:t>、本基金独立建账、独立核算；</w:t>
      </w:r>
    </w:p>
    <w:p>
      <w:pPr>
        <w:adjustRightInd w:val="0"/>
        <w:snapToGrid w:val="0"/>
        <w:spacing w:line="360" w:lineRule="auto"/>
        <w:ind w:firstLine="480" w:firstLineChars="20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sz w:val="24"/>
        </w:rPr>
      </w:pPr>
      <w:r>
        <w:rPr>
          <w:sz w:val="24"/>
        </w:rPr>
        <w:t>7、基金托管人每月与基金管理人就基金的会计核算、报表编制等进行核对并以书面方式确认。</w:t>
      </w:r>
    </w:p>
    <w:p>
      <w:pPr>
        <w:adjustRightInd w:val="0"/>
        <w:snapToGrid w:val="0"/>
        <w:spacing w:line="360" w:lineRule="auto"/>
        <w:ind w:firstLine="482" w:firstLineChars="200"/>
        <w:outlineLvl w:val="1"/>
        <w:rPr>
          <w:rFonts w:hAnsi="宋体"/>
          <w:b/>
          <w:sz w:val="24"/>
          <w:szCs w:val="24"/>
        </w:rPr>
      </w:pPr>
      <w:r>
        <w:rPr>
          <w:rFonts w:hAnsi="宋体"/>
          <w:b/>
          <w:sz w:val="24"/>
          <w:szCs w:val="24"/>
        </w:rPr>
        <w:t>（二）基金的年度审计</w:t>
      </w:r>
    </w:p>
    <w:p>
      <w:pPr>
        <w:adjustRightInd w:val="0"/>
        <w:snapToGrid w:val="0"/>
        <w:spacing w:line="360" w:lineRule="auto"/>
        <w:ind w:firstLine="480" w:firstLineChars="200"/>
        <w:rPr>
          <w:rFonts w:hAnsi="宋体"/>
          <w:sz w:val="24"/>
          <w:szCs w:val="18"/>
        </w:rPr>
      </w:pPr>
      <w:r>
        <w:rPr>
          <w:rFonts w:hAnsi="宋体"/>
          <w:sz w:val="24"/>
          <w:szCs w:val="18"/>
        </w:rPr>
        <w:t>1、基金管理人聘请与基金管理人、基金托管人相互独立的</w:t>
      </w:r>
      <w:r>
        <w:rPr>
          <w:rFonts w:hint="eastAsia" w:hAnsi="宋体"/>
          <w:sz w:val="24"/>
          <w:szCs w:val="18"/>
        </w:rPr>
        <w:t>符合《中华人民共和国证券法》规定的</w:t>
      </w:r>
      <w:r>
        <w:rPr>
          <w:rFonts w:hAnsi="宋体"/>
          <w:sz w:val="24"/>
          <w:szCs w:val="18"/>
        </w:rPr>
        <w:t>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Ansi="宋体"/>
          <w:sz w:val="24"/>
          <w:szCs w:val="18"/>
        </w:rPr>
        <w:t>3、</w:t>
      </w:r>
      <w:bookmarkStart w:id="72" w:name="_Hlt4221115"/>
      <w:bookmarkEnd w:id="72"/>
      <w:r>
        <w:rPr>
          <w:rFonts w:hAnsi="宋体"/>
          <w:sz w:val="24"/>
          <w:szCs w:val="18"/>
        </w:rPr>
        <w:t>基金管理人认为有充足理由更换会计师事务所，须通报基金托管人。更换会计师事务所需</w:t>
      </w:r>
      <w:r>
        <w:rPr>
          <w:rFonts w:hint="eastAsia" w:hAnsi="宋体"/>
          <w:sz w:val="24"/>
          <w:szCs w:val="18"/>
        </w:rPr>
        <w:t>依照《信息披露办法》的规定</w:t>
      </w:r>
      <w:r>
        <w:rPr>
          <w:rFonts w:hAnsi="宋体"/>
          <w:sz w:val="24"/>
          <w:szCs w:val="18"/>
        </w:rPr>
        <w:t>在</w:t>
      </w:r>
      <w:r>
        <w:rPr>
          <w:rFonts w:hint="eastAsia" w:hAnsi="宋体"/>
          <w:sz w:val="24"/>
          <w:szCs w:val="18"/>
        </w:rPr>
        <w:t>规定媒介</w:t>
      </w:r>
      <w:r>
        <w:rPr>
          <w:rFonts w:hAnsi="宋体"/>
          <w:sz w:val="24"/>
          <w:szCs w:val="18"/>
        </w:rPr>
        <w:t>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73" w:name="_Toc62202553"/>
      <w:r>
        <w:rPr>
          <w:rFonts w:hint="eastAsia" w:ascii="宋体" w:hAnsi="宋体"/>
          <w:b/>
          <w:kern w:val="0"/>
          <w:sz w:val="30"/>
        </w:rPr>
        <w:t>十五、基金的信息披露</w:t>
      </w:r>
      <w:bookmarkEnd w:id="73"/>
    </w:p>
    <w:p>
      <w:pPr>
        <w:adjustRightInd w:val="0"/>
        <w:snapToGrid w:val="0"/>
        <w:spacing w:line="360" w:lineRule="auto"/>
        <w:ind w:firstLine="482" w:firstLineChars="200"/>
        <w:rPr>
          <w:rFonts w:hAnsi="宋体"/>
          <w:sz w:val="24"/>
        </w:rPr>
      </w:pPr>
      <w:r>
        <w:rPr>
          <w:rFonts w:hAnsi="宋体"/>
          <w:b/>
          <w:sz w:val="24"/>
        </w:rPr>
        <w:t>（一）</w:t>
      </w:r>
      <w:r>
        <w:rPr>
          <w:rFonts w:hint="eastAsia" w:hAnsi="宋体"/>
          <w:sz w:val="24"/>
        </w:rPr>
        <w:t>本基金的信息披露应符合《基金法》、《运作办法》、《信息披露办法》、《流动性风险管理规定》、《基金合同》及其他有关规定。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Ansi="宋体"/>
          <w:sz w:val="24"/>
        </w:rPr>
        <w:t>本基金信息披露义务人包括基金管理人、基金托管人、召集基金份额持有人大会的基金份额持有人等法律</w:t>
      </w:r>
      <w:r>
        <w:rPr>
          <w:rFonts w:hint="eastAsia"/>
          <w:bCs/>
          <w:sz w:val="24"/>
        </w:rPr>
        <w:t>、</w:t>
      </w:r>
      <w:r>
        <w:rPr>
          <w:bCs/>
          <w:sz w:val="24"/>
        </w:rPr>
        <w:t>行政</w:t>
      </w:r>
      <w:r>
        <w:rPr>
          <w:rFonts w:hAnsi="宋体"/>
          <w:sz w:val="24"/>
        </w:rPr>
        <w:t>法规和中国证监会规定的自然人、法人和</w:t>
      </w:r>
      <w:r>
        <w:rPr>
          <w:rFonts w:hint="eastAsia"/>
          <w:bCs/>
          <w:sz w:val="24"/>
        </w:rPr>
        <w:t>非法人</w:t>
      </w:r>
      <w:r>
        <w:rPr>
          <w:rFonts w:hAnsi="宋体"/>
          <w:sz w:val="24"/>
        </w:rPr>
        <w:t>组织。</w:t>
      </w:r>
    </w:p>
    <w:p>
      <w:pPr>
        <w:adjustRightInd w:val="0"/>
        <w:snapToGrid w:val="0"/>
        <w:spacing w:line="360" w:lineRule="auto"/>
        <w:ind w:firstLine="480" w:firstLineChars="20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int="eastAsia"/>
          <w:bCs/>
          <w:sz w:val="24"/>
        </w:rPr>
        <w:t>、</w:t>
      </w:r>
      <w:r>
        <w:rPr>
          <w:rFonts w:hAnsi="宋体"/>
          <w:sz w:val="24"/>
        </w:rPr>
        <w:t>完整性</w:t>
      </w:r>
      <w:r>
        <w:rPr>
          <w:rFonts w:hint="eastAsia"/>
          <w:bCs/>
          <w:sz w:val="24"/>
        </w:rPr>
        <w:t>、及时性、简明性和易得性</w:t>
      </w:r>
      <w:r>
        <w:rPr>
          <w:rFonts w:hAnsi="宋体"/>
          <w:sz w:val="24"/>
        </w:rPr>
        <w:t>。</w:t>
      </w:r>
    </w:p>
    <w:p>
      <w:pPr>
        <w:adjustRightInd w:val="0"/>
        <w:snapToGrid w:val="0"/>
        <w:spacing w:line="360" w:lineRule="auto"/>
        <w:ind w:firstLine="480" w:firstLineChars="200"/>
        <w:rPr>
          <w:rFonts w:hAnsi="宋体"/>
          <w:sz w:val="24"/>
        </w:rPr>
      </w:pPr>
      <w:r>
        <w:rPr>
          <w:rFonts w:hAnsi="宋体"/>
          <w:sz w:val="24"/>
        </w:rPr>
        <w:t>本基金信息披露义务人应当在中国证监会规定时间内，将应予披露的基金信息通过</w:t>
      </w:r>
      <w:r>
        <w:rPr>
          <w:rFonts w:hint="eastAsia" w:hAnsi="宋体"/>
          <w:sz w:val="24"/>
        </w:rPr>
        <w:t>符合中国证监会规定条件的全国性报刊（以下简称“规定报刊”）及《信息披露办法》规定的互联网网站（以下简称“规定网站”）</w:t>
      </w:r>
      <w:r>
        <w:rPr>
          <w:bCs/>
          <w:sz w:val="24"/>
        </w:rPr>
        <w:t>等</w:t>
      </w:r>
      <w:r>
        <w:rPr>
          <w:rFonts w:hAnsi="宋体"/>
          <w:sz w:val="24"/>
        </w:rPr>
        <w:t>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Ansi="宋体"/>
          <w:sz w:val="24"/>
        </w:rPr>
        <w:t>1、虚假记载、误导性陈述或者重大遗漏；</w:t>
      </w:r>
    </w:p>
    <w:p>
      <w:pPr>
        <w:adjustRightInd w:val="0"/>
        <w:snapToGrid w:val="0"/>
        <w:spacing w:line="360" w:lineRule="auto"/>
        <w:ind w:firstLine="480" w:firstLineChars="200"/>
        <w:rPr>
          <w:rFonts w:hAnsi="宋体"/>
          <w:sz w:val="24"/>
        </w:rPr>
      </w:pPr>
      <w:r>
        <w:rPr>
          <w:rFonts w:hAnsi="宋体"/>
          <w:sz w:val="24"/>
        </w:rPr>
        <w:t>2、对证券投资业绩进行预测；</w:t>
      </w:r>
    </w:p>
    <w:p>
      <w:pPr>
        <w:adjustRightInd w:val="0"/>
        <w:snapToGrid w:val="0"/>
        <w:spacing w:line="360" w:lineRule="auto"/>
        <w:ind w:firstLine="480" w:firstLineChars="200"/>
        <w:rPr>
          <w:rFonts w:hAnsi="宋体"/>
          <w:sz w:val="24"/>
        </w:rPr>
      </w:pPr>
      <w:r>
        <w:rPr>
          <w:rFonts w:hAnsi="宋体"/>
          <w:sz w:val="24"/>
        </w:rPr>
        <w:t>3、违规承诺收益或者承担损失；</w:t>
      </w:r>
    </w:p>
    <w:p>
      <w:pPr>
        <w:adjustRightInd w:val="0"/>
        <w:snapToGrid w:val="0"/>
        <w:spacing w:line="360" w:lineRule="auto"/>
        <w:ind w:firstLine="480" w:firstLineChars="200"/>
        <w:rPr>
          <w:rFonts w:hAnsi="宋体"/>
          <w:sz w:val="24"/>
        </w:rPr>
      </w:pPr>
      <w:r>
        <w:rPr>
          <w:rFonts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Ansi="宋体"/>
          <w:sz w:val="24"/>
        </w:rPr>
        <w:t>5、登载任何自然人、法人</w:t>
      </w:r>
      <w:r>
        <w:rPr>
          <w:rFonts w:hint="eastAsia"/>
          <w:bCs/>
          <w:sz w:val="24"/>
        </w:rPr>
        <w:t>和非法人</w:t>
      </w:r>
      <w:r>
        <w:rPr>
          <w:rFonts w:hAnsi="宋体"/>
          <w:sz w:val="24"/>
        </w:rPr>
        <w:t>组织的祝贺性、恭维性或推荐性的文字；</w:t>
      </w:r>
    </w:p>
    <w:p>
      <w:pPr>
        <w:adjustRightInd w:val="0"/>
        <w:snapToGrid w:val="0"/>
        <w:spacing w:line="360" w:lineRule="auto"/>
        <w:ind w:firstLine="480" w:firstLineChars="200"/>
        <w:rPr>
          <w:rFonts w:hAnsi="宋体"/>
          <w:sz w:val="24"/>
        </w:rPr>
      </w:pPr>
      <w:r>
        <w:rPr>
          <w:rFonts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bCs/>
          <w:sz w:val="24"/>
        </w:rPr>
        <w:t>本</w:t>
      </w:r>
      <w:r>
        <w:rPr>
          <w:rFonts w:hAnsi="宋体"/>
          <w:sz w:val="24"/>
        </w:rPr>
        <w:t>基金公开披露的信息应采用中文文本。同时采用外文文本的，基金信息披露义务人应保证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int="eastAsia"/>
          <w:bCs/>
          <w:sz w:val="24"/>
        </w:rPr>
        <w:t>之间</w:t>
      </w:r>
      <w:r>
        <w:rPr>
          <w:rFonts w:hAnsi="宋体"/>
          <w:sz w:val="24"/>
        </w:rPr>
        <w:t>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b/>
          <w:bCs/>
          <w:sz w:val="24"/>
        </w:rPr>
      </w:pPr>
      <w:r>
        <w:rPr>
          <w:bCs/>
          <w:sz w:val="24"/>
        </w:rPr>
        <w:t>公开披露的基金信息包括：</w:t>
      </w:r>
    </w:p>
    <w:p>
      <w:pPr>
        <w:adjustRightInd w:val="0"/>
        <w:snapToGrid w:val="0"/>
        <w:spacing w:line="360" w:lineRule="auto"/>
        <w:ind w:firstLine="480" w:firstLineChars="200"/>
        <w:rPr>
          <w:bCs/>
          <w:sz w:val="24"/>
        </w:rPr>
      </w:pPr>
      <w:r>
        <w:rPr>
          <w:bCs/>
          <w:sz w:val="24"/>
        </w:rPr>
        <w:t>1、基金招募说明书、《基金合同》、基金托管协议</w:t>
      </w:r>
      <w:r>
        <w:rPr>
          <w:rFonts w:hint="eastAsia"/>
          <w:bCs/>
          <w:sz w:val="24"/>
        </w:rPr>
        <w:t>、基金产品资料概要</w:t>
      </w:r>
    </w:p>
    <w:p>
      <w:pPr>
        <w:adjustRightInd w:val="0"/>
        <w:snapToGrid w:val="0"/>
        <w:spacing w:line="360" w:lineRule="auto"/>
        <w:ind w:firstLine="480" w:firstLineChars="200"/>
        <w:rPr>
          <w:rFonts w:hAnsi="宋体"/>
          <w:sz w:val="24"/>
        </w:rPr>
      </w:pPr>
      <w:r>
        <w:rPr>
          <w:rFonts w:hAnsi="宋体"/>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Ansi="宋体"/>
          <w:sz w:val="24"/>
        </w:rPr>
        <w:t>（2）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p>
    <w:p>
      <w:pPr>
        <w:adjustRightInd w:val="0"/>
        <w:snapToGrid w:val="0"/>
        <w:spacing w:line="360" w:lineRule="auto"/>
        <w:ind w:firstLine="480" w:firstLineChars="200"/>
        <w:rPr>
          <w:bCs/>
          <w:sz w:val="24"/>
        </w:rPr>
      </w:pPr>
      <w:r>
        <w:rPr>
          <w:bCs/>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pPr>
        <w:adjustRightInd w:val="0"/>
        <w:snapToGrid w:val="0"/>
        <w:spacing w:line="360" w:lineRule="auto"/>
        <w:ind w:firstLine="480" w:firstLineChars="200"/>
        <w:rPr>
          <w:sz w:val="24"/>
        </w:rPr>
      </w:pPr>
      <w:r>
        <w:rPr>
          <w:sz w:val="24"/>
        </w:rPr>
        <w:t>2</w:t>
      </w:r>
      <w:r>
        <w:rPr>
          <w:rFonts w:hAnsi="宋体"/>
          <w:sz w:val="24"/>
        </w:rPr>
        <w:t>、基金份额发售公告</w:t>
      </w:r>
    </w:p>
    <w:p>
      <w:pPr>
        <w:adjustRightInd w:val="0"/>
        <w:snapToGrid w:val="0"/>
        <w:spacing w:line="360" w:lineRule="auto"/>
        <w:ind w:firstLine="480" w:firstLineChars="200"/>
        <w:rPr>
          <w:rFonts w:hAnsi="宋体"/>
          <w:sz w:val="24"/>
        </w:rPr>
      </w:pPr>
      <w:r>
        <w:rPr>
          <w:rFonts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sz w:val="24"/>
        </w:rPr>
      </w:pPr>
      <w:r>
        <w:rPr>
          <w:sz w:val="24"/>
        </w:rPr>
        <w:t>3</w:t>
      </w:r>
      <w:r>
        <w:rPr>
          <w:rFonts w:hAnsi="宋体"/>
          <w:sz w:val="24"/>
        </w:rPr>
        <w:t>、</w:t>
      </w:r>
      <w:r>
        <w:rPr>
          <w:bCs/>
          <w:sz w:val="24"/>
        </w:rPr>
        <w:t>《基金合同》</w:t>
      </w:r>
      <w:r>
        <w:rPr>
          <w:rFonts w:hAnsi="宋体"/>
          <w:sz w:val="24"/>
        </w:rPr>
        <w:t>生效公告</w:t>
      </w:r>
    </w:p>
    <w:p>
      <w:pPr>
        <w:adjustRightInd w:val="0"/>
        <w:snapToGrid w:val="0"/>
        <w:spacing w:line="360" w:lineRule="auto"/>
        <w:ind w:firstLine="480" w:firstLineChars="200"/>
        <w:rPr>
          <w:rFonts w:hAnsi="宋体"/>
          <w:sz w:val="24"/>
        </w:rPr>
      </w:pPr>
      <w:r>
        <w:rPr>
          <w:rFonts w:hAnsi="宋体"/>
          <w:sz w:val="24"/>
        </w:rPr>
        <w:t>基金管理人应当在收到中国证监会确认文件的次日在规定媒介上登载《基金合同》生效公告。</w:t>
      </w:r>
    </w:p>
    <w:p>
      <w:pPr>
        <w:adjustRightInd w:val="0"/>
        <w:snapToGrid w:val="0"/>
        <w:spacing w:line="360" w:lineRule="auto"/>
        <w:ind w:firstLine="480" w:firstLineChars="200"/>
        <w:rPr>
          <w:sz w:val="24"/>
        </w:rPr>
      </w:pPr>
      <w:r>
        <w:rPr>
          <w:sz w:val="24"/>
        </w:rPr>
        <w:t>4</w:t>
      </w:r>
      <w:r>
        <w:rPr>
          <w:rFonts w:hAnsi="宋体"/>
          <w:sz w:val="24"/>
        </w:rPr>
        <w:t>、基金</w:t>
      </w:r>
      <w:r>
        <w:rPr>
          <w:rFonts w:hint="eastAsia"/>
          <w:bCs/>
          <w:sz w:val="24"/>
        </w:rPr>
        <w:t>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分别披露开放日A类基金份额和C类基金份额所对应的基金份额净值和基金份额累计净值。</w:t>
      </w:r>
    </w:p>
    <w:p>
      <w:pPr>
        <w:adjustRightInd w:val="0"/>
        <w:snapToGrid w:val="0"/>
        <w:spacing w:line="360" w:lineRule="auto"/>
        <w:ind w:firstLine="480" w:firstLineChars="200"/>
        <w:rPr>
          <w:rFonts w:hAnsi="宋体"/>
          <w:sz w:val="24"/>
        </w:rPr>
      </w:pPr>
      <w:r>
        <w:rPr>
          <w:rFonts w:hint="eastAsia"/>
          <w:bCs/>
          <w:sz w:val="24"/>
        </w:rPr>
        <w:t>基金管理人应当在不晚于半年度和年度最后一日的次日，在规定网站披露半年度和年度最后一日A类基金份额和C类基金份额所对应的基金份额净值和基金份额累计净值。</w:t>
      </w:r>
    </w:p>
    <w:p>
      <w:pPr>
        <w:adjustRightInd w:val="0"/>
        <w:snapToGrid w:val="0"/>
        <w:spacing w:line="360" w:lineRule="auto"/>
        <w:ind w:firstLine="480" w:firstLineChars="200"/>
        <w:rPr>
          <w:sz w:val="24"/>
        </w:rPr>
      </w:pPr>
      <w:r>
        <w:rPr>
          <w:sz w:val="24"/>
        </w:rPr>
        <w:t>5</w:t>
      </w:r>
      <w:r>
        <w:rPr>
          <w:rFonts w:hAnsi="宋体"/>
          <w:sz w:val="24"/>
        </w:rPr>
        <w:t>、基金份额申购、赎回价格</w:t>
      </w:r>
    </w:p>
    <w:p>
      <w:pPr>
        <w:adjustRightInd w:val="0"/>
        <w:snapToGrid w:val="0"/>
        <w:spacing w:line="360" w:lineRule="auto"/>
        <w:ind w:firstLine="480" w:firstLineChars="20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int="eastAsia" w:hAnsi="宋体"/>
          <w:bCs/>
          <w:sz w:val="24"/>
        </w:rPr>
        <w:t>销售机构</w:t>
      </w:r>
      <w:r>
        <w:rPr>
          <w:rFonts w:hint="eastAsia"/>
          <w:bCs/>
          <w:sz w:val="24"/>
        </w:rPr>
        <w:t>网站或营业网点</w:t>
      </w:r>
      <w:r>
        <w:rPr>
          <w:rFonts w:hAnsi="宋体"/>
          <w:sz w:val="24"/>
        </w:rPr>
        <w:t>查阅或者复制前述信息资料。</w:t>
      </w:r>
    </w:p>
    <w:p>
      <w:pPr>
        <w:adjustRightInd w:val="0"/>
        <w:snapToGrid w:val="0"/>
        <w:spacing w:line="360" w:lineRule="auto"/>
        <w:ind w:firstLine="480" w:firstLineChars="20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pPr>
        <w:adjustRightInd w:val="0"/>
        <w:snapToGrid w:val="0"/>
        <w:spacing w:line="360" w:lineRule="auto"/>
        <w:ind w:firstLine="480" w:firstLineChars="200"/>
        <w:rPr>
          <w:rFonts w:hAnsi="宋体"/>
          <w:sz w:val="24"/>
        </w:rPr>
      </w:pPr>
      <w:r>
        <w:rPr>
          <w:rFonts w:hint="eastAsia"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pPr>
        <w:adjustRightInd w:val="0"/>
        <w:snapToGrid w:val="0"/>
        <w:spacing w:line="360" w:lineRule="auto"/>
        <w:ind w:firstLine="480" w:firstLineChars="200"/>
        <w:rPr>
          <w:rFonts w:hAnsi="宋体"/>
          <w:sz w:val="24"/>
        </w:rPr>
      </w:pPr>
      <w:r>
        <w:rPr>
          <w:rFonts w:hint="eastAsia" w:hAnsi="宋体"/>
          <w:sz w:val="24"/>
        </w:rPr>
        <w:t>基金管理人应当在上半年结束之日起两个月内，编制完成基金中期报告，将中期报告登载在规定网站上，并将中期报告提示性公告登载在规定报刊上。</w:t>
      </w:r>
    </w:p>
    <w:p>
      <w:pPr>
        <w:adjustRightInd w:val="0"/>
        <w:snapToGrid w:val="0"/>
        <w:spacing w:line="360" w:lineRule="auto"/>
        <w:ind w:firstLine="480" w:firstLineChars="200"/>
        <w:rPr>
          <w:rFonts w:hAnsi="宋体"/>
          <w:sz w:val="24"/>
        </w:rPr>
      </w:pPr>
      <w:r>
        <w:rPr>
          <w:rFonts w:hint="eastAsia" w:hAnsi="宋体"/>
          <w:sz w:val="24"/>
        </w:rPr>
        <w:t>基金管理人应当在季度结束之日起15个工作日内，编制完成基金季度报告，将季度报告登载在规定网站上，并将季度报告提示性公告登载在规定报刊上。</w:t>
      </w:r>
    </w:p>
    <w:p>
      <w:pPr>
        <w:adjustRightInd w:val="0"/>
        <w:snapToGrid w:val="0"/>
        <w:spacing w:line="360" w:lineRule="auto"/>
        <w:ind w:firstLine="480" w:firstLineChars="200"/>
        <w:rPr>
          <w:rFonts w:hAnsi="宋体"/>
          <w:sz w:val="24"/>
        </w:rPr>
      </w:pPr>
      <w:r>
        <w:rPr>
          <w:rFonts w:hint="eastAsia" w:hAnsi="宋体"/>
          <w:sz w:val="24"/>
        </w:rPr>
        <w:t>《基金合同》生效不足2个月的，基金管理人可以不编制当期季度报告、中期报告或者年度报告</w:t>
      </w:r>
      <w:r>
        <w:rPr>
          <w:rFonts w:hAnsi="宋体"/>
          <w:sz w:val="24"/>
        </w:rPr>
        <w:t>。</w:t>
      </w:r>
    </w:p>
    <w:p>
      <w:pPr>
        <w:adjustRightInd w:val="0"/>
        <w:snapToGrid w:val="0"/>
        <w:spacing w:line="360" w:lineRule="auto"/>
        <w:ind w:firstLine="480" w:firstLineChars="200"/>
        <w:rPr>
          <w:rFonts w:hAnsi="宋体"/>
          <w:sz w:val="24"/>
        </w:rPr>
      </w:pPr>
      <w:r>
        <w:rPr>
          <w:rFonts w:hint="eastAsia"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hAnsi="宋体"/>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sz w:val="24"/>
        </w:rPr>
      </w:pPr>
      <w:r>
        <w:rPr>
          <w:sz w:val="24"/>
        </w:rPr>
        <w:t>7</w:t>
      </w:r>
      <w:r>
        <w:rPr>
          <w:rFonts w:hAnsi="宋体"/>
          <w:sz w:val="24"/>
        </w:rPr>
        <w:t>、临时报告</w:t>
      </w:r>
    </w:p>
    <w:p>
      <w:pPr>
        <w:adjustRightInd w:val="0"/>
        <w:snapToGrid w:val="0"/>
        <w:spacing w:line="360" w:lineRule="auto"/>
        <w:ind w:firstLine="480" w:firstLineChars="200"/>
        <w:rPr>
          <w:rFonts w:hAnsi="宋体"/>
          <w:sz w:val="24"/>
        </w:rPr>
      </w:pPr>
      <w:bookmarkStart w:id="74" w:name="OLE_LINK79"/>
      <w:bookmarkStart w:id="75" w:name="OLE_LINK78"/>
      <w:r>
        <w:rPr>
          <w:rFonts w:hAnsi="宋体"/>
          <w:sz w:val="24"/>
        </w:rPr>
        <w:t>本基金发生重大事件，有关信息披露义务人应当</w:t>
      </w:r>
      <w:r>
        <w:rPr>
          <w:rFonts w:hint="eastAsia" w:hAnsi="宋体"/>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bookmarkEnd w:id="74"/>
    <w:bookmarkEnd w:id="75"/>
    <w:p>
      <w:pPr>
        <w:adjustRightInd w:val="0"/>
        <w:snapToGrid w:val="0"/>
        <w:spacing w:line="360" w:lineRule="auto"/>
        <w:ind w:firstLine="480" w:firstLineChars="200"/>
        <w:rPr>
          <w:rFonts w:hAnsi="宋体"/>
          <w:sz w:val="24"/>
        </w:rPr>
      </w:pPr>
      <w:r>
        <w:rPr>
          <w:rFonts w:hAnsi="宋体"/>
          <w:sz w:val="24"/>
        </w:rPr>
        <w:t>前款所称重大事件，是指可能对基金份额持有人权益或者基金份额的价格产生重大影响的下列事件：</w:t>
      </w:r>
    </w:p>
    <w:p>
      <w:pPr>
        <w:adjustRightInd w:val="0"/>
        <w:snapToGrid w:val="0"/>
        <w:spacing w:line="360" w:lineRule="auto"/>
        <w:ind w:firstLine="480" w:firstLineChars="200"/>
        <w:rPr>
          <w:bCs/>
          <w:sz w:val="24"/>
        </w:rPr>
      </w:pPr>
      <w:r>
        <w:rPr>
          <w:rFonts w:hint="eastAsia"/>
          <w:bCs/>
          <w:sz w:val="24"/>
        </w:rPr>
        <w:t>（1）基金份额持有人大会的召开及决定的事项；</w:t>
      </w:r>
    </w:p>
    <w:p>
      <w:pPr>
        <w:adjustRightInd w:val="0"/>
        <w:snapToGrid w:val="0"/>
        <w:spacing w:line="360" w:lineRule="auto"/>
        <w:ind w:firstLine="480" w:firstLineChars="200"/>
        <w:rPr>
          <w:bCs/>
          <w:sz w:val="24"/>
        </w:rPr>
      </w:pPr>
      <w:r>
        <w:rPr>
          <w:rFonts w:hint="eastAsia"/>
          <w:bCs/>
          <w:sz w:val="24"/>
        </w:rPr>
        <w:t>（2）《基金合同》终止、基金清算；</w:t>
      </w:r>
    </w:p>
    <w:p>
      <w:pPr>
        <w:adjustRightInd w:val="0"/>
        <w:snapToGrid w:val="0"/>
        <w:spacing w:line="360" w:lineRule="auto"/>
        <w:ind w:firstLine="480" w:firstLineChars="200"/>
        <w:rPr>
          <w:bCs/>
          <w:sz w:val="24"/>
        </w:rPr>
      </w:pPr>
      <w:r>
        <w:rPr>
          <w:rFonts w:hint="eastAsia"/>
          <w:bCs/>
          <w:sz w:val="24"/>
        </w:rPr>
        <w:t>（3）转换基金运作方式、基金合并；</w:t>
      </w:r>
    </w:p>
    <w:p>
      <w:pPr>
        <w:adjustRightInd w:val="0"/>
        <w:snapToGrid w:val="0"/>
        <w:spacing w:line="360" w:lineRule="auto"/>
        <w:ind w:firstLine="480" w:firstLineChars="200"/>
        <w:rPr>
          <w:bCs/>
          <w:sz w:val="24"/>
        </w:rPr>
      </w:pPr>
      <w:r>
        <w:rPr>
          <w:rFonts w:hint="eastAsia"/>
          <w:bCs/>
          <w:sz w:val="24"/>
        </w:rPr>
        <w:t>（4）更换基金管理人、基金托管人、基金份额登记机构，基金改聘会计师事务所；</w:t>
      </w:r>
    </w:p>
    <w:p>
      <w:pPr>
        <w:adjustRightInd w:val="0"/>
        <w:snapToGrid w:val="0"/>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bCs/>
          <w:sz w:val="24"/>
        </w:rPr>
      </w:pPr>
      <w:r>
        <w:rPr>
          <w:rFonts w:hint="eastAsia"/>
          <w:bCs/>
          <w:sz w:val="24"/>
        </w:rPr>
        <w:t>（</w:t>
      </w:r>
      <w:r>
        <w:rPr>
          <w:bCs/>
          <w:sz w:val="24"/>
        </w:rPr>
        <w:t>6</w:t>
      </w:r>
      <w:r>
        <w:rPr>
          <w:rFonts w:hint="eastAsia"/>
          <w:bCs/>
          <w:sz w:val="24"/>
        </w:rPr>
        <w:t>）基金管理人、基金托管人的法定名称、住所发生变更；</w:t>
      </w:r>
    </w:p>
    <w:p>
      <w:pPr>
        <w:adjustRightInd w:val="0"/>
        <w:snapToGrid w:val="0"/>
        <w:spacing w:line="360" w:lineRule="auto"/>
        <w:ind w:firstLine="480" w:firstLineChars="200"/>
        <w:rPr>
          <w:bCs/>
          <w:sz w:val="24"/>
        </w:rPr>
      </w:pPr>
      <w:r>
        <w:rPr>
          <w:rFonts w:hint="eastAsia"/>
          <w:bCs/>
          <w:sz w:val="24"/>
        </w:rPr>
        <w:t>（7）基金管理人变更持有百分之五以上股权的股东、基金管理人的实际控制人变更；</w:t>
      </w:r>
    </w:p>
    <w:p>
      <w:pPr>
        <w:adjustRightInd w:val="0"/>
        <w:snapToGrid w:val="0"/>
        <w:spacing w:line="360" w:lineRule="auto"/>
        <w:ind w:firstLine="480" w:firstLineChars="200"/>
        <w:rPr>
          <w:bCs/>
          <w:sz w:val="24"/>
        </w:rPr>
      </w:pPr>
      <w:r>
        <w:rPr>
          <w:rFonts w:hint="eastAsia"/>
          <w:bCs/>
          <w:sz w:val="24"/>
        </w:rPr>
        <w:t>（</w:t>
      </w:r>
      <w:r>
        <w:rPr>
          <w:bCs/>
          <w:sz w:val="24"/>
        </w:rPr>
        <w:t>8</w:t>
      </w:r>
      <w:r>
        <w:rPr>
          <w:rFonts w:hint="eastAsia"/>
          <w:bCs/>
          <w:sz w:val="24"/>
        </w:rPr>
        <w:t>）基金募集期延长或提前结束募集；</w:t>
      </w:r>
    </w:p>
    <w:p>
      <w:pPr>
        <w:adjustRightInd w:val="0"/>
        <w:snapToGrid w:val="0"/>
        <w:spacing w:line="360" w:lineRule="auto"/>
        <w:ind w:firstLine="480" w:firstLineChars="200"/>
        <w:rPr>
          <w:bCs/>
          <w:sz w:val="24"/>
        </w:rPr>
      </w:pPr>
      <w:r>
        <w:rPr>
          <w:rFonts w:hint="eastAsia"/>
          <w:bCs/>
          <w:sz w:val="24"/>
        </w:rPr>
        <w:t>（</w:t>
      </w:r>
      <w:r>
        <w:rPr>
          <w:bCs/>
          <w:sz w:val="24"/>
        </w:rPr>
        <w:t>9</w:t>
      </w:r>
      <w:r>
        <w:rPr>
          <w:rFonts w:hint="eastAsia"/>
          <w:bCs/>
          <w:sz w:val="24"/>
        </w:rPr>
        <w:t>）基金管理人的高级管理人员、基金经理和基金托管人专门基金托管部门负责人发生变动；</w:t>
      </w:r>
    </w:p>
    <w:p>
      <w:pPr>
        <w:adjustRightInd w:val="0"/>
        <w:snapToGrid w:val="0"/>
        <w:spacing w:line="360" w:lineRule="auto"/>
        <w:ind w:firstLine="480" w:firstLineChars="200"/>
        <w:rPr>
          <w:bCs/>
          <w:sz w:val="24"/>
        </w:rPr>
      </w:pPr>
      <w:r>
        <w:rPr>
          <w:rFonts w:hint="eastAsia"/>
          <w:bCs/>
          <w:sz w:val="24"/>
        </w:rPr>
        <w:t>（</w:t>
      </w:r>
      <w:r>
        <w:rPr>
          <w:bCs/>
          <w:sz w:val="24"/>
        </w:rPr>
        <w:t>10</w:t>
      </w:r>
      <w:r>
        <w:rPr>
          <w:rFonts w:hint="eastAsia"/>
          <w:bCs/>
          <w:sz w:val="24"/>
        </w:rPr>
        <w:t>）基金管理人的董事在最近12个月内变更超过百分之五十，基金管理人、基金托管人专门基金托管部门的主要业务人员在最近12个月内变动超过百分之三十；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bCs/>
          <w:sz w:val="24"/>
        </w:rPr>
      </w:pPr>
      <w:r>
        <w:rPr>
          <w:rFonts w:hint="eastAsia"/>
          <w:bCs/>
          <w:sz w:val="24"/>
        </w:rPr>
        <w:t>（11）涉及基金财产、基金管理业务、基金托管业务的诉讼或仲裁；</w:t>
      </w:r>
    </w:p>
    <w:p>
      <w:pPr>
        <w:adjustRightInd w:val="0"/>
        <w:snapToGrid w:val="0"/>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）基金收益分配事项；</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）管理费、托管费、销售服务费、申购费、赎回费等费用计提标准、计提方式和费率发生变更；</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）任一类基金份额净值计价错误达该类基金份额净值百分之零点五；</w:t>
      </w:r>
    </w:p>
    <w:p>
      <w:pPr>
        <w:adjustRightInd w:val="0"/>
        <w:snapToGrid w:val="0"/>
        <w:spacing w:line="360" w:lineRule="auto"/>
        <w:ind w:firstLine="480" w:firstLineChars="200"/>
        <w:rPr>
          <w:bCs/>
          <w:sz w:val="24"/>
        </w:rPr>
      </w:pPr>
      <w:r>
        <w:rPr>
          <w:rFonts w:hint="eastAsia"/>
          <w:bCs/>
          <w:sz w:val="24"/>
        </w:rPr>
        <w:t>（</w:t>
      </w:r>
      <w:r>
        <w:rPr>
          <w:bCs/>
          <w:sz w:val="24"/>
        </w:rPr>
        <w:t>17</w:t>
      </w:r>
      <w:r>
        <w:rPr>
          <w:rFonts w:hint="eastAsia"/>
          <w:bCs/>
          <w:sz w:val="24"/>
        </w:rPr>
        <w:t>）本基金开始办理申购、赎回；</w:t>
      </w:r>
    </w:p>
    <w:p>
      <w:pPr>
        <w:adjustRightInd w:val="0"/>
        <w:snapToGrid w:val="0"/>
        <w:spacing w:line="360" w:lineRule="auto"/>
        <w:ind w:firstLine="480" w:firstLineChars="200"/>
        <w:rPr>
          <w:bCs/>
          <w:sz w:val="24"/>
        </w:rPr>
      </w:pPr>
      <w:r>
        <w:rPr>
          <w:rFonts w:hint="eastAsia"/>
          <w:bCs/>
          <w:sz w:val="24"/>
        </w:rPr>
        <w:t>（</w:t>
      </w:r>
      <w:r>
        <w:rPr>
          <w:bCs/>
          <w:sz w:val="24"/>
        </w:rPr>
        <w:t>18</w:t>
      </w:r>
      <w:r>
        <w:rPr>
          <w:rFonts w:hint="eastAsia"/>
          <w:bCs/>
          <w:sz w:val="24"/>
        </w:rPr>
        <w:t>）本基金发生巨额赎回并延期办理；</w:t>
      </w:r>
    </w:p>
    <w:p>
      <w:pPr>
        <w:adjustRightInd w:val="0"/>
        <w:snapToGrid w:val="0"/>
        <w:spacing w:line="360" w:lineRule="auto"/>
        <w:ind w:firstLine="480" w:firstLineChars="200"/>
        <w:rPr>
          <w:bCs/>
          <w:sz w:val="24"/>
        </w:rPr>
      </w:pPr>
      <w:r>
        <w:rPr>
          <w:rFonts w:hint="eastAsia"/>
          <w:bCs/>
          <w:sz w:val="24"/>
        </w:rPr>
        <w:t>（</w:t>
      </w:r>
      <w:r>
        <w:rPr>
          <w:bCs/>
          <w:sz w:val="24"/>
        </w:rPr>
        <w:t>19</w:t>
      </w:r>
      <w:r>
        <w:rPr>
          <w:rFonts w:hint="eastAsia"/>
          <w:bCs/>
          <w:sz w:val="24"/>
        </w:rPr>
        <w:t>）本基金连续发生巨额赎回并暂停接受赎回申请或延缓支付赎回款项；</w:t>
      </w:r>
    </w:p>
    <w:p>
      <w:pPr>
        <w:adjustRightInd w:val="0"/>
        <w:snapToGrid w:val="0"/>
        <w:spacing w:line="360" w:lineRule="auto"/>
        <w:ind w:firstLine="480" w:firstLineChars="200"/>
        <w:rPr>
          <w:bCs/>
          <w:sz w:val="24"/>
        </w:rPr>
      </w:pPr>
      <w:r>
        <w:rPr>
          <w:rFonts w:hint="eastAsia"/>
          <w:bCs/>
          <w:sz w:val="24"/>
        </w:rPr>
        <w:t>（</w:t>
      </w:r>
      <w:r>
        <w:rPr>
          <w:bCs/>
          <w:sz w:val="24"/>
        </w:rPr>
        <w:t>20</w:t>
      </w:r>
      <w:r>
        <w:rPr>
          <w:rFonts w:hint="eastAsia"/>
          <w:bCs/>
          <w:sz w:val="24"/>
        </w:rPr>
        <w:t>）本基金暂停接受申购、赎回申请或重新接受申购、赎回申请；</w:t>
      </w:r>
    </w:p>
    <w:p>
      <w:pPr>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pPr>
        <w:adjustRightInd w:val="0"/>
        <w:snapToGrid w:val="0"/>
        <w:spacing w:line="360" w:lineRule="auto"/>
        <w:ind w:firstLine="480" w:firstLineChars="200"/>
        <w:rPr>
          <w:bCs/>
          <w:sz w:val="24"/>
        </w:rPr>
      </w:pPr>
      <w:r>
        <w:rPr>
          <w:rFonts w:hint="eastAsia"/>
          <w:bCs/>
          <w:sz w:val="24"/>
        </w:rPr>
        <w:t>（2</w:t>
      </w:r>
      <w:r>
        <w:rPr>
          <w:bCs/>
          <w:sz w:val="24"/>
        </w:rPr>
        <w:t>2</w:t>
      </w:r>
      <w:r>
        <w:rPr>
          <w:rFonts w:hint="eastAsia"/>
          <w:bCs/>
          <w:sz w:val="24"/>
        </w:rPr>
        <w:t>）基金管理人采用摆动定价机制进行估值；</w:t>
      </w:r>
    </w:p>
    <w:p>
      <w:pPr>
        <w:adjustRightInd w:val="0"/>
        <w:snapToGrid w:val="0"/>
        <w:spacing w:line="360" w:lineRule="auto"/>
        <w:ind w:firstLine="480" w:firstLineChars="200"/>
        <w:rPr>
          <w:bCs/>
          <w:sz w:val="24"/>
        </w:rPr>
      </w:pPr>
      <w:r>
        <w:rPr>
          <w:rFonts w:hint="eastAsia"/>
          <w:bCs/>
          <w:sz w:val="24"/>
        </w:rPr>
        <w:t>（2</w:t>
      </w:r>
      <w:r>
        <w:rPr>
          <w:bCs/>
          <w:sz w:val="24"/>
        </w:rPr>
        <w:t>3</w:t>
      </w:r>
      <w:r>
        <w:rPr>
          <w:rFonts w:hint="eastAsia"/>
          <w:bCs/>
          <w:sz w:val="24"/>
        </w:rPr>
        <w:t>）本基金增加或调整基金份额类别；</w:t>
      </w:r>
    </w:p>
    <w:p>
      <w:pPr>
        <w:adjustRightInd w:val="0"/>
        <w:snapToGrid w:val="0"/>
        <w:spacing w:line="360" w:lineRule="auto"/>
        <w:ind w:firstLine="480" w:firstLineChars="200"/>
        <w:rPr>
          <w:bCs/>
          <w:sz w:val="24"/>
        </w:rPr>
      </w:pPr>
      <w:r>
        <w:rPr>
          <w:rFonts w:hint="eastAsia"/>
          <w:bCs/>
          <w:sz w:val="24"/>
        </w:rPr>
        <w:t>（</w:t>
      </w:r>
      <w:r>
        <w:rPr>
          <w:bCs/>
          <w:sz w:val="24"/>
        </w:rPr>
        <w:t>24</w:t>
      </w:r>
      <w:r>
        <w:rPr>
          <w:rFonts w:hint="eastAsia"/>
          <w:bCs/>
          <w:sz w:val="24"/>
        </w:rPr>
        <w:t>）本基金推出新业务或服务；</w:t>
      </w:r>
    </w:p>
    <w:p>
      <w:pPr>
        <w:adjustRightInd w:val="0"/>
        <w:snapToGrid w:val="0"/>
        <w:spacing w:line="360" w:lineRule="auto"/>
        <w:ind w:firstLine="480" w:firstLineChars="200"/>
        <w:rPr>
          <w:bCs/>
          <w:sz w:val="24"/>
        </w:rPr>
      </w:pPr>
      <w:r>
        <w:rPr>
          <w:rFonts w:hint="eastAsia"/>
          <w:bCs/>
          <w:sz w:val="24"/>
        </w:rPr>
        <w:t>（</w:t>
      </w:r>
      <w:r>
        <w:rPr>
          <w:bCs/>
          <w:sz w:val="24"/>
        </w:rPr>
        <w:t>25）</w:t>
      </w:r>
      <w:r>
        <w:rPr>
          <w:rFonts w:hint="eastAsia"/>
          <w:bCs/>
          <w:sz w:val="24"/>
        </w:rPr>
        <w:t>本基金连续</w:t>
      </w:r>
      <w:r>
        <w:rPr>
          <w:bCs/>
          <w:sz w:val="24"/>
        </w:rPr>
        <w:t>30</w:t>
      </w:r>
      <w:r>
        <w:rPr>
          <w:rFonts w:hint="eastAsia"/>
          <w:bCs/>
          <w:sz w:val="24"/>
        </w:rPr>
        <w:t>个工作日、</w:t>
      </w:r>
      <w:r>
        <w:rPr>
          <w:bCs/>
          <w:sz w:val="24"/>
        </w:rPr>
        <w:t>40</w:t>
      </w:r>
      <w:r>
        <w:rPr>
          <w:rFonts w:hint="eastAsia"/>
          <w:bCs/>
          <w:sz w:val="24"/>
        </w:rPr>
        <w:t>个工作日、</w:t>
      </w:r>
      <w:r>
        <w:rPr>
          <w:bCs/>
          <w:sz w:val="24"/>
        </w:rPr>
        <w:t>45</w:t>
      </w:r>
      <w:r>
        <w:rPr>
          <w:rFonts w:hint="eastAsia"/>
          <w:bCs/>
          <w:sz w:val="24"/>
        </w:rPr>
        <w:t>个工作日出现基金份额持有人数量不满200人或者基金资产净值低于5000万元情形的；</w:t>
      </w:r>
    </w:p>
    <w:p>
      <w:pPr>
        <w:adjustRightInd w:val="0"/>
        <w:snapToGrid w:val="0"/>
        <w:spacing w:line="360" w:lineRule="auto"/>
        <w:ind w:firstLine="480" w:firstLineChars="200"/>
        <w:rPr>
          <w:bCs/>
          <w:sz w:val="24"/>
        </w:rPr>
      </w:pPr>
      <w:r>
        <w:rPr>
          <w:rFonts w:hint="eastAsia"/>
          <w:bCs/>
          <w:sz w:val="24"/>
        </w:rPr>
        <w:t>（</w:t>
      </w:r>
      <w:r>
        <w:rPr>
          <w:bCs/>
          <w:sz w:val="24"/>
        </w:rPr>
        <w:t>26</w:t>
      </w:r>
      <w:r>
        <w:rPr>
          <w:rFonts w:hint="eastAsia"/>
          <w:bCs/>
          <w:sz w:val="24"/>
        </w:rPr>
        <w:t>）基金信息披露义务人认为可能对基金份额持有人权益或者基金份额的价格产生重大影响的其他事项或中国证监会规定和基金合同约定的其他事项。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80" w:firstLineChars="200"/>
        <w:rPr>
          <w:sz w:val="24"/>
        </w:rPr>
      </w:pPr>
      <w:r>
        <w:rPr>
          <w:sz w:val="24"/>
        </w:rPr>
        <w:t>8</w:t>
      </w:r>
      <w:r>
        <w:rPr>
          <w:rFonts w:hAnsi="宋体"/>
          <w:sz w:val="24"/>
        </w:rPr>
        <w:t>、澄清公告</w:t>
      </w:r>
    </w:p>
    <w:p>
      <w:pPr>
        <w:adjustRightInd w:val="0"/>
        <w:snapToGrid w:val="0"/>
        <w:spacing w:line="360" w:lineRule="auto"/>
        <w:ind w:firstLine="480" w:firstLineChars="20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的，相关信息披露义务人知悉后应当立即对该消息进行公开澄清，并将有关情况立即报告中国证监会。</w:t>
      </w:r>
    </w:p>
    <w:p>
      <w:pPr>
        <w:adjustRightInd w:val="0"/>
        <w:snapToGrid w:val="0"/>
        <w:spacing w:line="360" w:lineRule="auto"/>
        <w:ind w:firstLine="480" w:firstLineChars="200"/>
        <w:rPr>
          <w:sz w:val="24"/>
        </w:rPr>
      </w:pPr>
      <w:r>
        <w:rPr>
          <w:sz w:val="24"/>
        </w:rPr>
        <w:t>9</w:t>
      </w:r>
      <w:r>
        <w:rPr>
          <w:rFonts w:hAnsi="宋体"/>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sz w:val="24"/>
        </w:rPr>
      </w:pPr>
      <w:r>
        <w:rPr>
          <w:rFonts w:hint="eastAsia"/>
          <w:sz w:val="24"/>
        </w:rPr>
        <w:t>1</w:t>
      </w:r>
      <w:r>
        <w:rPr>
          <w:sz w:val="24"/>
        </w:rPr>
        <w:t>0、</w:t>
      </w:r>
      <w:r>
        <w:rPr>
          <w:rFonts w:hint="eastAsia"/>
          <w:sz w:val="24"/>
        </w:rPr>
        <w:t>实施侧袋机制期间的信息披露</w:t>
      </w:r>
    </w:p>
    <w:p>
      <w:pPr>
        <w:adjustRightInd w:val="0"/>
        <w:snapToGrid w:val="0"/>
        <w:spacing w:line="360" w:lineRule="auto"/>
        <w:ind w:firstLine="480" w:firstLineChars="200"/>
        <w:rPr>
          <w:sz w:val="24"/>
        </w:rPr>
      </w:pPr>
      <w:r>
        <w:rPr>
          <w:rFonts w:hint="eastAsia"/>
          <w:sz w:val="24"/>
        </w:rPr>
        <w:t>本基金实施侧袋机制的，相关信息披露义务人应当根据法律法规、基金合同和招募说明书的规定进行信息披露，详见本招募说明书“侧袋机制”部分的规定。</w:t>
      </w:r>
    </w:p>
    <w:p>
      <w:pPr>
        <w:adjustRightInd w:val="0"/>
        <w:snapToGrid w:val="0"/>
        <w:spacing w:line="360" w:lineRule="auto"/>
        <w:ind w:firstLine="480" w:firstLineChars="200"/>
        <w:rPr>
          <w:sz w:val="24"/>
        </w:rPr>
      </w:pPr>
      <w:r>
        <w:rPr>
          <w:rFonts w:hint="eastAsia"/>
          <w:sz w:val="24"/>
        </w:rPr>
        <w:t>1</w:t>
      </w:r>
      <w:r>
        <w:rPr>
          <w:sz w:val="24"/>
        </w:rPr>
        <w:t>1、</w:t>
      </w:r>
      <w:r>
        <w:rPr>
          <w:rFonts w:hint="eastAsia"/>
          <w:sz w:val="24"/>
        </w:rPr>
        <w:t>清算报告</w:t>
      </w:r>
    </w:p>
    <w:p>
      <w:pPr>
        <w:adjustRightInd w:val="0"/>
        <w:snapToGrid w:val="0"/>
        <w:spacing w:line="360" w:lineRule="auto"/>
        <w:ind w:firstLine="480" w:firstLineChars="20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pPr>
        <w:adjustRightInd w:val="0"/>
        <w:snapToGrid w:val="0"/>
        <w:spacing w:line="360" w:lineRule="auto"/>
        <w:ind w:firstLine="480" w:firstLineChars="200"/>
        <w:rPr>
          <w:sz w:val="24"/>
        </w:rPr>
      </w:pPr>
      <w:r>
        <w:rPr>
          <w:rFonts w:hint="eastAsia"/>
          <w:sz w:val="24"/>
        </w:rPr>
        <w:t>1</w:t>
      </w:r>
      <w:r>
        <w:rPr>
          <w:sz w:val="24"/>
        </w:rPr>
        <w:t>2</w:t>
      </w:r>
      <w:r>
        <w:rPr>
          <w:rFonts w:hint="eastAsia"/>
          <w:sz w:val="24"/>
        </w:rPr>
        <w:t>、基金投资股指期货情况</w:t>
      </w:r>
    </w:p>
    <w:p>
      <w:pPr>
        <w:adjustRightInd w:val="0"/>
        <w:snapToGrid w:val="0"/>
        <w:spacing w:line="360" w:lineRule="auto"/>
        <w:ind w:firstLine="480" w:firstLineChars="20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sz w:val="24"/>
        </w:rPr>
      </w:pPr>
      <w:r>
        <w:rPr>
          <w:rFonts w:hint="eastAsia"/>
          <w:sz w:val="24"/>
        </w:rPr>
        <w:t>1</w:t>
      </w:r>
      <w:r>
        <w:rPr>
          <w:sz w:val="24"/>
        </w:rPr>
        <w:t>3、</w:t>
      </w:r>
      <w:r>
        <w:rPr>
          <w:rFonts w:hint="eastAsia"/>
          <w:sz w:val="24"/>
        </w:rPr>
        <w:t>基金投资资产支持证券情况</w:t>
      </w:r>
    </w:p>
    <w:p>
      <w:pPr>
        <w:adjustRightInd w:val="0"/>
        <w:snapToGrid w:val="0"/>
        <w:spacing w:line="360" w:lineRule="auto"/>
        <w:ind w:firstLine="480" w:firstLineChars="20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sz w:val="24"/>
        </w:rPr>
      </w:pPr>
      <w:r>
        <w:rPr>
          <w:rFonts w:hint="eastAsia"/>
          <w:sz w:val="24"/>
        </w:rPr>
        <w:t>1</w:t>
      </w:r>
      <w:r>
        <w:rPr>
          <w:sz w:val="24"/>
        </w:rPr>
        <w:t>4、</w:t>
      </w:r>
      <w:r>
        <w:rPr>
          <w:rFonts w:hint="eastAsia"/>
          <w:sz w:val="24"/>
        </w:rPr>
        <w:t>基金投资港股通标的股票情况</w:t>
      </w:r>
    </w:p>
    <w:p>
      <w:pPr>
        <w:adjustRightInd w:val="0"/>
        <w:snapToGrid w:val="0"/>
        <w:spacing w:line="360" w:lineRule="auto"/>
        <w:ind w:firstLine="480" w:firstLineChars="200"/>
        <w:rPr>
          <w:rFonts w:hAnsi="宋体"/>
          <w:sz w:val="24"/>
        </w:rPr>
      </w:pPr>
      <w:r>
        <w:rPr>
          <w:rFonts w:hint="eastAsia"/>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sz w:val="24"/>
        </w:rPr>
      </w:pPr>
      <w:r>
        <w:rPr>
          <w:rFonts w:hint="eastAsia" w:hAnsi="宋体"/>
          <w:sz w:val="24"/>
        </w:rPr>
        <w:t>1</w:t>
      </w:r>
      <w:r>
        <w:rPr>
          <w:rFonts w:hAnsi="宋体"/>
          <w:sz w:val="24"/>
        </w:rPr>
        <w:t>5</w:t>
      </w:r>
      <w:r>
        <w:rPr>
          <w:rFonts w:hint="eastAsia" w:hAnsi="宋体"/>
          <w:sz w:val="24"/>
        </w:rPr>
        <w:t>、</w:t>
      </w:r>
      <w:r>
        <w:rPr>
          <w:rFonts w:hAnsi="宋体"/>
          <w:sz w:val="24"/>
        </w:rPr>
        <w:t>中国证监会规定的其他信息</w:t>
      </w:r>
      <w:r>
        <w:rPr>
          <w:rFonts w:hint="eastAsia" w:hAnsi="宋体"/>
          <w:sz w:val="24"/>
        </w:rPr>
        <w:t>。</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w:t>
      </w:r>
      <w:r>
        <w:rPr>
          <w:rFonts w:hint="eastAsia"/>
          <w:bCs/>
          <w:sz w:val="24"/>
        </w:rPr>
        <w:t>专门部门及高级管理人员</w:t>
      </w:r>
      <w:r>
        <w:rPr>
          <w:rFonts w:hint="eastAsia" w:hAnsi="宋体"/>
          <w:sz w:val="24"/>
        </w:rPr>
        <w:t>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w:t>
      </w:r>
      <w:r>
        <w:rPr>
          <w:rFonts w:hint="eastAsia"/>
          <w:bCs/>
          <w:sz w:val="24"/>
        </w:rPr>
        <w:t>等法律法规</w:t>
      </w:r>
      <w:r>
        <w:rPr>
          <w:rFonts w:hint="eastAsia" w:hAnsi="宋体"/>
          <w:sz w:val="24"/>
        </w:rPr>
        <w:t>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rFonts w:hint="eastAsia" w:hAnsi="宋体"/>
          <w:sz w:val="24"/>
        </w:rPr>
        <w:t>更新的招募说明书</w:t>
      </w:r>
      <w:r>
        <w:rPr>
          <w:rFonts w:hint="eastAsia"/>
          <w:bCs/>
          <w:sz w:val="24"/>
        </w:rPr>
        <w:t>、基金产品资料概要、基金清算报告</w:t>
      </w:r>
      <w:r>
        <w:rPr>
          <w:rFonts w:hint="eastAsia" w:hAnsi="宋体"/>
          <w:sz w:val="24"/>
        </w:rPr>
        <w:t>等相关基金信息进行复核、审查，并向基金管理人</w:t>
      </w:r>
      <w:r>
        <w:rPr>
          <w:rFonts w:hint="eastAsia"/>
          <w:bCs/>
          <w:sz w:val="24"/>
        </w:rPr>
        <w:t>进行书面或电子确认</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基金管理人、基金托管人应当在规定报刊中选择</w:t>
      </w:r>
      <w:r>
        <w:rPr>
          <w:rFonts w:hint="eastAsia"/>
          <w:bCs/>
          <w:sz w:val="24"/>
        </w:rPr>
        <w:t>一家</w:t>
      </w:r>
      <w:r>
        <w:rPr>
          <w:bCs/>
          <w:sz w:val="24"/>
        </w:rPr>
        <w:t>报刊</w:t>
      </w:r>
      <w:r>
        <w:rPr>
          <w:rFonts w:hint="eastAsia" w:hAnsi="宋体"/>
          <w:sz w:val="24"/>
        </w:rPr>
        <w:t>披露</w:t>
      </w:r>
      <w:r>
        <w:rPr>
          <w:rFonts w:hint="eastAsia"/>
          <w:bCs/>
          <w:sz w:val="24"/>
        </w:rPr>
        <w:t>本</w:t>
      </w:r>
      <w:r>
        <w:rPr>
          <w:bCs/>
          <w:sz w:val="24"/>
        </w:rPr>
        <w:t>基金</w:t>
      </w:r>
      <w:r>
        <w:rPr>
          <w:rFonts w:hint="eastAsia" w:hAnsi="宋体"/>
          <w:sz w:val="24"/>
        </w:rPr>
        <w:t>信息。</w:t>
      </w:r>
      <w:r>
        <w:rPr>
          <w:rFonts w:hint="eastAsia"/>
          <w:bCs/>
          <w:sz w:val="24"/>
        </w:rPr>
        <w:t>基金管理人、基金托管人应当向中国证监会基金电子披露网站报送拟披露的基金信息，并保证相关报送信息的真实、准确、完整、及时</w:t>
      </w:r>
      <w:r>
        <w:rPr>
          <w:bCs/>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依法必须披露的信息发布后，基金管理人、基金托管人应当按照相关法律法规规定将信息置备于各自办公场所，供社会公众查阅、复制</w:t>
      </w:r>
      <w:r>
        <w:rPr>
          <w:bCs/>
          <w:sz w:val="24"/>
        </w:rPr>
        <w:t>。</w:t>
      </w:r>
    </w:p>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76" w:name="_Toc62202554"/>
      <w:r>
        <w:rPr>
          <w:rFonts w:hint="eastAsia" w:ascii="宋体" w:hAnsi="宋体"/>
          <w:b/>
          <w:kern w:val="0"/>
          <w:sz w:val="30"/>
        </w:rPr>
        <w:t>十六、侧袋</w:t>
      </w:r>
      <w:r>
        <w:rPr>
          <w:rFonts w:ascii="宋体" w:hAnsi="宋体"/>
          <w:b/>
          <w:kern w:val="0"/>
          <w:sz w:val="30"/>
        </w:rPr>
        <w:t>机制</w:t>
      </w:r>
      <w:bookmarkEnd w:id="76"/>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77" w:name="_Hlk45746268"/>
      <w:r>
        <w:rPr>
          <w:rFonts w:hint="eastAsia" w:hAnsi="宋体"/>
          <w:bCs/>
          <w:sz w:val="24"/>
          <w:szCs w:val="24"/>
        </w:rPr>
        <w:t>并在</w:t>
      </w:r>
      <w:bookmarkStart w:id="78" w:name="_Hlk45746204"/>
      <w:r>
        <w:rPr>
          <w:rFonts w:hint="eastAsia" w:hAnsi="宋体"/>
          <w:bCs/>
          <w:sz w:val="24"/>
          <w:szCs w:val="24"/>
        </w:rPr>
        <w:t>五个工作日内</w:t>
      </w:r>
      <w:bookmarkEnd w:id="77"/>
      <w:bookmarkEnd w:id="78"/>
      <w:r>
        <w:rPr>
          <w:rFonts w:hint="eastAsia" w:hAnsi="宋体"/>
          <w:bCs/>
          <w:sz w:val="24"/>
          <w:szCs w:val="24"/>
        </w:rPr>
        <w:t>聘请</w:t>
      </w:r>
      <w:bookmarkStart w:id="79" w:name="_Hlk45746277"/>
      <w:r>
        <w:rPr>
          <w:rFonts w:hint="eastAsia" w:hAnsi="宋体"/>
          <w:bCs/>
          <w:sz w:val="24"/>
          <w:szCs w:val="24"/>
        </w:rPr>
        <w:t>侧袋机制启用日发表意见且</w:t>
      </w:r>
      <w:bookmarkEnd w:id="79"/>
      <w:r>
        <w:rPr>
          <w:rFonts w:hint="eastAsia" w:hAnsi="宋体"/>
          <w:bCs/>
          <w:sz w:val="24"/>
          <w:szCs w:val="24"/>
        </w:rPr>
        <w:t>符合《中华人民共和国证券法》规定的会计师事务所</w:t>
      </w:r>
      <w:bookmarkStart w:id="80" w:name="_Hlk45746299"/>
      <w:r>
        <w:rPr>
          <w:rFonts w:hint="eastAsia" w:hAnsi="宋体"/>
          <w:bCs/>
          <w:sz w:val="24"/>
          <w:szCs w:val="24"/>
        </w:rPr>
        <w:t>进行审计并披露</w:t>
      </w:r>
      <w:bookmarkEnd w:id="80"/>
      <w:r>
        <w:rPr>
          <w:rFonts w:hint="eastAsia" w:hAnsi="宋体"/>
          <w:bCs/>
          <w:sz w:val="24"/>
          <w:szCs w:val="24"/>
        </w:rPr>
        <w:t>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1、本基金实施侧袋机制的，管理费和托管费按主袋账户基金资产净值作为基数计提。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（七）侧袋机制的信息披露</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1、临时公告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2、基金净值信息</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3、定期报告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侧袋机制实施期间，基金管理人应当在基金定期报告中披露报告期内侧袋账户相关信息，基金定期报告中的基金会计报表仅需针对主袋账户进行编制。</w:t>
      </w:r>
      <w:bookmarkStart w:id="81" w:name="_Hlk45747214"/>
      <w:r>
        <w:rPr>
          <w:rFonts w:hint="eastAsia" w:hAnsi="宋体"/>
          <w:bCs/>
          <w:sz w:val="24"/>
          <w:szCs w:val="24"/>
        </w:rPr>
        <w:t>会计师事务所对基金年度报告进行审计时，应对报告期内基金侧袋机制运行相关的会计核算和年度报告披露等发表审计意见。</w:t>
      </w:r>
      <w:bookmarkEnd w:id="81"/>
    </w:p>
    <w:p>
      <w:pPr>
        <w:widowControl/>
        <w:jc w:val="left"/>
        <w:rPr>
          <w:rFonts w:hAnsi="宋体"/>
          <w:bCs/>
          <w:sz w:val="24"/>
          <w:szCs w:val="24"/>
        </w:rPr>
      </w:pPr>
      <w:r>
        <w:rPr>
          <w:rFonts w:hAnsi="宋体"/>
          <w:bCs/>
          <w:sz w:val="24"/>
          <w:szCs w:val="24"/>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82" w:name="_Toc62202555"/>
      <w:r>
        <w:rPr>
          <w:rFonts w:hint="eastAsia" w:ascii="宋体" w:hAnsi="宋体"/>
          <w:b/>
          <w:kern w:val="0"/>
          <w:sz w:val="30"/>
        </w:rPr>
        <w:t>十七、风险揭示</w:t>
      </w:r>
      <w:bookmarkEnd w:id="82"/>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3" w:name="_Hlt91150550"/>
      <w:bookmarkEnd w:id="83"/>
      <w:bookmarkStart w:id="84" w:name="_Hlt88901012"/>
      <w:bookmarkEnd w:id="84"/>
      <w:bookmarkStart w:id="85" w:name="_Toc109537396"/>
      <w:r>
        <w:rPr>
          <w:rFonts w:hAnsi="宋体"/>
          <w:sz w:val="24"/>
          <w:szCs w:val="24"/>
        </w:rPr>
        <w:t>生的收益，也可能承担</w:t>
      </w:r>
      <w:bookmarkEnd w:id="85"/>
      <w:r>
        <w:rPr>
          <w:rFonts w:hAnsi="宋体"/>
          <w:sz w:val="24"/>
          <w:szCs w:val="24"/>
        </w:rPr>
        <w:t>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w:t>
      </w:r>
      <w:r>
        <w:rPr>
          <w:rFonts w:hAnsi="宋体"/>
          <w:sz w:val="24"/>
          <w:szCs w:val="24"/>
        </w:rPr>
        <w:t>基金产品资料概要等基金法律文件，了解基金的风险收益特征，并根据自身的投资目的、投资期限、投资经验、资产状况等判断基金是否和投资人的风险承受能力相适应。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w:t>
      </w:r>
      <w:r>
        <w:rPr>
          <w:rFonts w:hint="eastAsia" w:hAnsi="宋体"/>
          <w:sz w:val="24"/>
          <w:szCs w:val="24"/>
        </w:rPr>
        <w:t>谨慎</w:t>
      </w:r>
      <w:r>
        <w:rPr>
          <w:rFonts w:hAnsi="宋体"/>
          <w:sz w:val="24"/>
          <w:szCs w:val="24"/>
        </w:rPr>
        <w:t>勤勉的原则管理和运用基金资产，但不保证</w:t>
      </w:r>
      <w:r>
        <w:rPr>
          <w:rFonts w:hint="eastAsia" w:hAnsi="宋体"/>
          <w:sz w:val="24"/>
          <w:szCs w:val="24"/>
        </w:rPr>
        <w:t>投资</w:t>
      </w:r>
      <w:r>
        <w:rPr>
          <w:rFonts w:hAnsi="宋体"/>
          <w:sz w:val="24"/>
          <w:szCs w:val="24"/>
        </w:rPr>
        <w:t>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w:t>
      </w:r>
      <w:r>
        <w:rPr>
          <w:rFonts w:hint="eastAsia" w:hAnsi="宋体"/>
          <w:kern w:val="0"/>
          <w:sz w:val="24"/>
          <w:szCs w:val="24"/>
        </w:rPr>
        <w:t>基金份额持有人持有的每份基金份额最短持有期限为一年，对于满足持有期限的投资人，</w:t>
      </w:r>
      <w:r>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1、本基金的申购、赎回安排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本基金采用开放方式运作，基金管理人在开放日办理基金份额的申购和赎回，</w:t>
      </w:r>
      <w:r>
        <w:rPr>
          <w:rFonts w:hint="eastAsia" w:hAnsi="宋体"/>
          <w:bCs/>
          <w:kern w:val="0"/>
          <w:sz w:val="24"/>
          <w:szCs w:val="24"/>
        </w:rPr>
        <w:t>但对于每份基金份额，基金份额持有人仅可在该份额最短持有期限届满后申请赎回，</w:t>
      </w:r>
      <w:r>
        <w:rPr>
          <w:rFonts w:hint="eastAsia" w:hAnsi="宋体"/>
          <w:kern w:val="0"/>
          <w:sz w:val="24"/>
          <w:szCs w:val="24"/>
        </w:rPr>
        <w:t>具体办理时间为上海证券交易所、深圳证券交易所的正常交易日的交易时间（若该工作日为非港股通交易日，则本基金可不开放），但基金管理人根据法律法规、中国证监会的要求或基金合同的规定公告暂停申购、赎回时除外。基金管理人自基金合同生效之日起不超过3个月开始办理申购业务，具体业务办理时间在申购开始公告中规定。基金管理人自基金合同生效之日起一年后年度对日（含该日）开始办理赎回，具体业务办理时间在赎回开始公告中规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基金份额持有人多次认购或申购本基金导致持有多笔不同期限的本基金份额时，基金份额持有人在赎回时需特别关注申请赎回的基金份额数量，若申请赎回的基金份额超过了该基金份额持有人持续持有超过一年的基金份额数量，则基金份额持有人的赎回申请将全部被予以拒绝。基金份额持有人需承担赎回申请失败的风险。</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w:t>
      </w:r>
      <w:r>
        <w:rPr>
          <w:rFonts w:hAnsi="宋体"/>
          <w:kern w:val="0"/>
          <w:sz w:val="24"/>
          <w:szCs w:val="24"/>
        </w:rPr>
        <w:t>短期赎回费、</w:t>
      </w:r>
      <w:r>
        <w:rPr>
          <w:rFonts w:hint="eastAsia" w:hAnsi="宋体"/>
          <w:kern w:val="0"/>
          <w:sz w:val="24"/>
          <w:szCs w:val="24"/>
        </w:rPr>
        <w:t>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（五）本基金的</w:t>
      </w:r>
      <w:r>
        <w:rPr>
          <w:rFonts w:hint="eastAsia" w:hAnsi="宋体"/>
          <w:b/>
          <w:kern w:val="0"/>
          <w:sz w:val="24"/>
          <w:szCs w:val="24"/>
        </w:rPr>
        <w:t>特有</w:t>
      </w:r>
      <w:r>
        <w:rPr>
          <w:rFonts w:hAnsi="宋体"/>
          <w:b/>
          <w:kern w:val="0"/>
          <w:sz w:val="24"/>
          <w:szCs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w:t>
      </w:r>
      <w:r>
        <w:rPr>
          <w:rFonts w:hAnsi="宋体"/>
          <w:kern w:val="0"/>
          <w:sz w:val="24"/>
          <w:szCs w:val="24"/>
        </w:rPr>
        <w:t>本基金属于混合型基金，</w:t>
      </w:r>
      <w:r>
        <w:rPr>
          <w:rFonts w:hint="eastAsia" w:hAnsi="宋体"/>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因此，对于基金份额持有人而言，存在投资本基金后一年内无法赎回的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、本基金可投资港股通标的股票，会面临港股通机制下因投资环境、投资标的、市场制度以及交易规则等差异带来的特有风险，具体如下：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（1）港股交易失败风险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（2）汇率风险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（3）境外市场的风险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2）香港市场交易规则有别于内地A股市场规则，此外，在“内地与香港股票市场交易互联互通机制”下参与香港股票投资还将面临包括但不限于如下特殊风险：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a）香港市场实行T+0回转交易机制（即当日买入的股票，在交收前可以于当日卖出），且证券交易价格并无涨跌幅上下限的规定，因此每日涨跌幅空间相对较大，可能表现出比A股更为剧烈的股价波动；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c）香港出现台风、黑色暴雨或者香港联合交易所规定的其他情形时，香港联合交易所将可能停市，投资者将面临在停市期间无法进行港股通交易的风险；出现上海证券交易所及深圳</w:t>
      </w:r>
      <w:r>
        <w:rPr>
          <w:rFonts w:hAnsi="宋体"/>
          <w:kern w:val="0"/>
          <w:sz w:val="24"/>
          <w:szCs w:val="24"/>
        </w:rPr>
        <w:t>证券交易所</w:t>
      </w:r>
      <w:r>
        <w:rPr>
          <w:rFonts w:hint="eastAsia" w:hAnsi="宋体"/>
          <w:kern w:val="0"/>
          <w:sz w:val="24"/>
          <w:szCs w:val="24"/>
        </w:rPr>
        <w:t>证券交易服务公司认定的交易异常情况时，上海证券交易所及深圳证券交易所证券交易服务公司将可能暂停提供部分或者全部港股通服务，投资者将面临在暂停服务期间无法进行港股通交易的风险；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d）投资者因港股通股票权益分派、转换、上市公司被收购等情形或者异常情况，所取得的港股通股票以外的香港联合交易所上市证券，只能通过港股通卖出，但不得买入，上海证券交易所及深圳</w:t>
      </w:r>
      <w:r>
        <w:rPr>
          <w:rFonts w:hAnsi="宋体"/>
          <w:kern w:val="0"/>
          <w:sz w:val="24"/>
          <w:szCs w:val="24"/>
        </w:rPr>
        <w:t>证券交易所</w:t>
      </w:r>
      <w:r>
        <w:rPr>
          <w:rFonts w:hint="eastAsia" w:hAnsi="宋体"/>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e）代理投票。由于中国证券登记结算有限责任公司是在汇总投资者意愿后再向香港</w:t>
      </w:r>
      <w:r>
        <w:rPr>
          <w:rFonts w:hAnsi="宋体"/>
          <w:kern w:val="0"/>
          <w:sz w:val="24"/>
          <w:szCs w:val="24"/>
        </w:rPr>
        <w:t>中央结算有限公司</w:t>
      </w:r>
      <w:r>
        <w:rPr>
          <w:rFonts w:hint="eastAsia" w:hAnsi="宋体"/>
          <w:kern w:val="0"/>
          <w:sz w:val="24"/>
          <w:szCs w:val="24"/>
        </w:rPr>
        <w:t>提交投票意愿，中国证券登记结算有限责任公司对投资者设定的意愿征集期比香港</w:t>
      </w:r>
      <w:r>
        <w:rPr>
          <w:rFonts w:hAnsi="宋体"/>
          <w:kern w:val="0"/>
          <w:sz w:val="24"/>
          <w:szCs w:val="24"/>
        </w:rPr>
        <w:t>中央结算有限公司</w:t>
      </w:r>
      <w:r>
        <w:rPr>
          <w:rFonts w:hint="eastAsia" w:hAnsi="宋体"/>
          <w:kern w:val="0"/>
          <w:sz w:val="24"/>
          <w:szCs w:val="24"/>
        </w:rPr>
        <w:t>的征集期稍早结束；投票没有权益登记日的，以投票截止日的持有作为计算基准；投票数量超出持有数量的，按照比例分配持有基数。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以上所述因素可能会给本基金投资带来特殊交易风险。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、基金合同提前终止风险。连续5</w:t>
      </w:r>
      <w:r>
        <w:rPr>
          <w:rFonts w:hAnsi="宋体"/>
          <w:kern w:val="0"/>
          <w:sz w:val="24"/>
          <w:szCs w:val="24"/>
        </w:rPr>
        <w:t>0</w:t>
      </w:r>
      <w:r>
        <w:rPr>
          <w:rFonts w:hint="eastAsia" w:hAnsi="宋体"/>
          <w:kern w:val="0"/>
          <w:sz w:val="24"/>
          <w:szCs w:val="24"/>
        </w:rPr>
        <w:t>个工作日出现基金份额持有人数量不满200人或者基金资产净值低于5000万元情形的，基金合同终止，不需召开基金份额持有人大会。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6、本基金可投资创业板股票，创业板个股上市后的前五个交易日不设价格涨跌幅限制，第六个交易日开始涨跌幅限制比例为20%。</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w:t>
      </w:r>
      <w:r>
        <w:rPr>
          <w:rFonts w:hint="eastAsia" w:hAnsi="宋体"/>
          <w:b/>
          <w:kern w:val="0"/>
          <w:sz w:val="24"/>
          <w:szCs w:val="24"/>
        </w:rPr>
        <w:t>六</w:t>
      </w:r>
      <w:r>
        <w:rPr>
          <w:rFonts w:hAnsi="宋体"/>
          <w:b/>
          <w:kern w:val="0"/>
          <w:sz w:val="24"/>
          <w:szCs w:val="24"/>
        </w:rPr>
        <w:t>）投资股指期货的特定风险</w:t>
      </w:r>
    </w:p>
    <w:p>
      <w:pPr>
        <w:widowControl/>
        <w:adjustRightInd w:val="0"/>
        <w:snapToGrid w:val="0"/>
        <w:spacing w:line="360" w:lineRule="auto"/>
        <w:ind w:firstLine="480" w:firstLineChars="20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w:t>
      </w:r>
      <w:r>
        <w:rPr>
          <w:rFonts w:hint="eastAsia" w:hAnsi="宋体"/>
          <w:b/>
          <w:kern w:val="0"/>
          <w:sz w:val="24"/>
          <w:szCs w:val="24"/>
        </w:rPr>
        <w:t>七</w:t>
      </w:r>
      <w:r>
        <w:rPr>
          <w:rFonts w:hAnsi="宋体"/>
          <w:b/>
          <w:kern w:val="0"/>
          <w:sz w:val="24"/>
          <w:szCs w:val="24"/>
        </w:rPr>
        <w:t>）投资</w:t>
      </w:r>
      <w:r>
        <w:rPr>
          <w:rFonts w:hint="eastAsia" w:hAnsi="宋体"/>
          <w:b/>
          <w:kern w:val="0"/>
          <w:sz w:val="24"/>
          <w:szCs w:val="24"/>
        </w:rPr>
        <w:t>资产支持证券</w:t>
      </w:r>
      <w:r>
        <w:rPr>
          <w:rFonts w:hAnsi="宋体"/>
          <w:b/>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（八）投资流通受限证券的特定风险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w:t>
      </w:r>
      <w:r>
        <w:rPr>
          <w:rFonts w:hAnsi="宋体"/>
          <w:b/>
          <w:kern w:val="0"/>
          <w:sz w:val="24"/>
          <w:szCs w:val="24"/>
        </w:rPr>
        <w:t>九）</w:t>
      </w:r>
      <w:r>
        <w:rPr>
          <w:rFonts w:hint="eastAsia" w:hAnsi="宋体"/>
          <w:b/>
          <w:kern w:val="0"/>
          <w:sz w:val="24"/>
          <w:szCs w:val="24"/>
        </w:rPr>
        <w:t>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2" w:firstLineChars="200"/>
        <w:outlineLvl w:val="1"/>
        <w:rPr>
          <w:b/>
          <w:kern w:val="0"/>
          <w:sz w:val="24"/>
          <w:szCs w:val="24"/>
        </w:rPr>
      </w:pPr>
      <w:r>
        <w:rPr>
          <w:rFonts w:hint="eastAsia" w:hAnsi="宋体"/>
          <w:b/>
          <w:kern w:val="0"/>
          <w:sz w:val="24"/>
          <w:szCs w:val="24"/>
        </w:rPr>
        <w:t>（十）</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86" w:name="OLE_LINK15"/>
    </w:p>
    <w:p>
      <w:pPr>
        <w:widowControl/>
        <w:spacing w:line="360" w:lineRule="auto"/>
        <w:rPr>
          <w:kern w:val="0"/>
          <w:sz w:val="24"/>
        </w:rPr>
      </w:pPr>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87" w:name="_Toc62202556"/>
      <w:r>
        <w:rPr>
          <w:rFonts w:hint="eastAsia" w:hAnsi="宋体"/>
          <w:b/>
          <w:kern w:val="0"/>
          <w:sz w:val="30"/>
        </w:rPr>
        <w:t>十八</w:t>
      </w:r>
      <w:r>
        <w:rPr>
          <w:rFonts w:hAnsi="宋体"/>
          <w:b/>
          <w:kern w:val="0"/>
          <w:sz w:val="30"/>
        </w:rPr>
        <w:t>、基金合同的变更、终止与基金财</w:t>
      </w:r>
      <w:bookmarkEnd w:id="86"/>
      <w:r>
        <w:rPr>
          <w:rFonts w:hAnsi="宋体"/>
          <w:b/>
          <w:kern w:val="0"/>
          <w:sz w:val="30"/>
        </w:rPr>
        <w:t>产的清算</w:t>
      </w:r>
      <w:bookmarkEnd w:id="87"/>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w:t>
      </w:r>
      <w:r>
        <w:rPr>
          <w:rFonts w:hAnsi="宋体"/>
          <w:bCs/>
          <w:kern w:val="0"/>
          <w:sz w:val="24"/>
        </w:rPr>
        <w:t>自</w:t>
      </w:r>
      <w:r>
        <w:rPr>
          <w:rFonts w:hint="eastAsia" w:hAnsi="宋体"/>
          <w:bCs/>
          <w:kern w:val="0"/>
          <w:sz w:val="24"/>
        </w:rPr>
        <w:t>决议</w:t>
      </w:r>
      <w:r>
        <w:rPr>
          <w:rFonts w:hint="eastAsia" w:hAnsi="宋体"/>
          <w:kern w:val="0"/>
          <w:sz w:val="24"/>
        </w:rPr>
        <w:t>生效后依照《信息披露办法》的规定在规定媒介公告。</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w:t>
      </w:r>
      <w:r>
        <w:rPr>
          <w:rFonts w:hint="eastAsia"/>
          <w:bCs/>
          <w:sz w:val="24"/>
        </w:rPr>
        <w:t>经履行相关程序后，</w:t>
      </w:r>
      <w:r>
        <w:rPr>
          <w:rFonts w:hint="eastAsia" w:hAnsi="宋体"/>
          <w:kern w:val="0"/>
          <w:sz w:val="24"/>
        </w:rPr>
        <w:t>《基金合同》应当终止：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w:t>
      </w:r>
      <w:r>
        <w:rPr>
          <w:rFonts w:hint="eastAsia" w:hAnsi="宋体"/>
          <w:bCs/>
          <w:kern w:val="0"/>
          <w:sz w:val="24"/>
        </w:rPr>
        <w:t>连续</w:t>
      </w:r>
      <w:r>
        <w:rPr>
          <w:rFonts w:hAnsi="宋体"/>
          <w:bCs/>
          <w:kern w:val="0"/>
          <w:sz w:val="24"/>
        </w:rPr>
        <w:t>50</w:t>
      </w:r>
      <w:r>
        <w:rPr>
          <w:rFonts w:hint="eastAsia" w:hAnsi="宋体"/>
          <w:bCs/>
          <w:kern w:val="0"/>
          <w:sz w:val="24"/>
        </w:rPr>
        <w:t>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4、《基金合同》约定的其他情形；</w:t>
      </w:r>
    </w:p>
    <w:p>
      <w:pPr>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、相关法律法规和中国证监会规定的其他情况。</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（六）基金财产清算的公告</w:t>
      </w:r>
    </w:p>
    <w:p>
      <w:pPr>
        <w:adjustRightInd w:val="0"/>
        <w:snapToGrid w:val="0"/>
        <w:spacing w:line="360" w:lineRule="auto"/>
        <w:ind w:firstLine="480" w:firstLineChars="20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（七）基金财产清算账册及文件的保存</w:t>
      </w:r>
    </w:p>
    <w:p>
      <w:pPr>
        <w:adjustRightInd w:val="0"/>
        <w:snapToGrid w:val="0"/>
        <w:spacing w:line="360" w:lineRule="auto"/>
        <w:ind w:firstLine="480" w:firstLineChars="200"/>
        <w:rPr>
          <w:rFonts w:hAnsi="宋体"/>
          <w:kern w:val="0"/>
          <w:sz w:val="24"/>
        </w:rPr>
      </w:pPr>
      <w:r>
        <w:rPr>
          <w:rFonts w:hint="eastAsia" w:hAnsi="宋体"/>
          <w:kern w:val="0"/>
          <w:sz w:val="24"/>
        </w:rPr>
        <w:t>基金财产清算账册及有关文件由基金托管人保存不低于法律法规规定的最低期限。</w:t>
      </w:r>
    </w:p>
    <w:p>
      <w:pPr>
        <w:widowControl/>
        <w:adjustRightInd w:val="0"/>
        <w:snapToGrid w:val="0"/>
        <w:spacing w:line="500" w:lineRule="exact"/>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8" w:name="_Toc62202557"/>
      <w:r>
        <w:rPr>
          <w:rFonts w:hint="eastAsia" w:ascii="宋体" w:hAnsi="宋体"/>
          <w:b/>
          <w:kern w:val="0"/>
          <w:sz w:val="30"/>
        </w:rPr>
        <w:t>十九、基金合同内容摘要</w:t>
      </w:r>
      <w:bookmarkEnd w:id="88"/>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（一）基金</w:t>
      </w:r>
      <w:r>
        <w:rPr>
          <w:rFonts w:hint="eastAsia" w:hAnsi="宋体"/>
          <w:b/>
          <w:kern w:val="0"/>
          <w:sz w:val="24"/>
          <w:szCs w:val="24"/>
        </w:rPr>
        <w:t>份额持有人、基金管理人和基金托管人的</w:t>
      </w:r>
      <w:r>
        <w:rPr>
          <w:rFonts w:hAnsi="宋体"/>
          <w:b/>
          <w:kern w:val="0"/>
          <w:sz w:val="24"/>
          <w:szCs w:val="24"/>
        </w:rPr>
        <w:t>权利</w:t>
      </w:r>
      <w:r>
        <w:rPr>
          <w:rFonts w:hint="eastAsia" w:hAnsi="宋体"/>
          <w:b/>
          <w:kern w:val="0"/>
          <w:sz w:val="24"/>
          <w:szCs w:val="24"/>
        </w:rPr>
        <w:t>与</w:t>
      </w:r>
      <w:r>
        <w:rPr>
          <w:rFonts w:hAnsi="宋体"/>
          <w:b/>
          <w:kern w:val="0"/>
          <w:sz w:val="24"/>
          <w:szCs w:val="24"/>
        </w:rPr>
        <w:t>义务</w:t>
      </w:r>
    </w:p>
    <w:p>
      <w:pPr>
        <w:widowControl/>
        <w:adjustRightInd w:val="0"/>
        <w:snapToGrid w:val="0"/>
        <w:spacing w:line="360" w:lineRule="auto"/>
        <w:ind w:firstLine="480" w:firstLineChars="200"/>
        <w:outlineLvl w:val="2"/>
        <w:rPr>
          <w:bCs/>
          <w:sz w:val="24"/>
        </w:rPr>
      </w:pPr>
      <w:r>
        <w:rPr>
          <w:bCs/>
          <w:sz w:val="24"/>
        </w:rPr>
        <w:t>1、基金管理人的权利与义务</w:t>
      </w:r>
    </w:p>
    <w:p>
      <w:pPr>
        <w:widowControl/>
        <w:adjustRightInd w:val="0"/>
        <w:snapToGrid w:val="0"/>
        <w:spacing w:line="360" w:lineRule="auto"/>
        <w:ind w:firstLine="480" w:firstLineChars="200"/>
        <w:rPr>
          <w:bCs/>
          <w:sz w:val="24"/>
        </w:rPr>
      </w:pPr>
      <w:r>
        <w:rPr>
          <w:bCs/>
          <w:sz w:val="24"/>
        </w:rPr>
        <w:t>根据《基金法》、《运作办法》及其他有关规定，基金管理人的权利包括但不限于：</w:t>
      </w:r>
    </w:p>
    <w:p>
      <w:pPr>
        <w:widowControl/>
        <w:adjustRightInd w:val="0"/>
        <w:snapToGrid w:val="0"/>
        <w:spacing w:line="360" w:lineRule="auto"/>
        <w:ind w:firstLine="480" w:firstLineChars="200"/>
        <w:rPr>
          <w:bCs/>
          <w:sz w:val="24"/>
        </w:rPr>
      </w:pPr>
      <w:r>
        <w:rPr>
          <w:rFonts w:hint="eastAsia"/>
          <w:bCs/>
          <w:sz w:val="24"/>
        </w:rPr>
        <w:t>（1）依法募集资金；</w:t>
      </w:r>
    </w:p>
    <w:p>
      <w:pPr>
        <w:widowControl/>
        <w:adjustRightInd w:val="0"/>
        <w:snapToGrid w:val="0"/>
        <w:spacing w:line="360" w:lineRule="auto"/>
        <w:ind w:firstLine="480" w:firstLineChars="200"/>
        <w:rPr>
          <w:bCs/>
          <w:sz w:val="24"/>
        </w:rPr>
      </w:pPr>
      <w:r>
        <w:rPr>
          <w:rFonts w:hint="eastAsia"/>
          <w:bCs/>
          <w:sz w:val="24"/>
        </w:rPr>
        <w:t>（2）自《基金合同》生效之日起，根据法律法规和《基金合同》独立运用并管理基金财产；</w:t>
      </w:r>
    </w:p>
    <w:p>
      <w:pPr>
        <w:widowControl/>
        <w:adjustRightInd w:val="0"/>
        <w:snapToGrid w:val="0"/>
        <w:spacing w:line="360" w:lineRule="auto"/>
        <w:ind w:firstLine="480" w:firstLineChars="200"/>
        <w:rPr>
          <w:bCs/>
          <w:sz w:val="24"/>
        </w:rPr>
      </w:pPr>
      <w:r>
        <w:rPr>
          <w:rFonts w:hint="eastAsia"/>
          <w:bCs/>
          <w:sz w:val="24"/>
        </w:rPr>
        <w:t>（3）依照《基金合同》收取基金管理费以及法律法规规定或中国证监会批准的其他费用；</w:t>
      </w:r>
    </w:p>
    <w:p>
      <w:pPr>
        <w:widowControl/>
        <w:adjustRightInd w:val="0"/>
        <w:snapToGrid w:val="0"/>
        <w:spacing w:line="360" w:lineRule="auto"/>
        <w:ind w:firstLine="480" w:firstLineChars="200"/>
        <w:rPr>
          <w:bCs/>
          <w:sz w:val="24"/>
        </w:rPr>
      </w:pPr>
      <w:r>
        <w:rPr>
          <w:rFonts w:hint="eastAsia"/>
          <w:bCs/>
          <w:sz w:val="24"/>
        </w:rPr>
        <w:t>（4）销售基金份额；</w:t>
      </w:r>
    </w:p>
    <w:p>
      <w:pPr>
        <w:widowControl/>
        <w:adjustRightInd w:val="0"/>
        <w:snapToGrid w:val="0"/>
        <w:spacing w:line="360" w:lineRule="auto"/>
        <w:ind w:firstLine="480" w:firstLineChars="200"/>
        <w:rPr>
          <w:bCs/>
          <w:sz w:val="24"/>
        </w:rPr>
      </w:pPr>
      <w:r>
        <w:rPr>
          <w:rFonts w:hint="eastAsia"/>
          <w:bCs/>
          <w:sz w:val="24"/>
        </w:rPr>
        <w:t>（5）按照规定召集基金份额持有人大会；</w:t>
      </w:r>
    </w:p>
    <w:p>
      <w:pPr>
        <w:widowControl/>
        <w:adjustRightInd w:val="0"/>
        <w:snapToGrid w:val="0"/>
        <w:spacing w:line="360" w:lineRule="auto"/>
        <w:ind w:firstLine="480" w:firstLineChars="200"/>
        <w:rPr>
          <w:bCs/>
          <w:sz w:val="24"/>
        </w:rPr>
      </w:pPr>
      <w:r>
        <w:rPr>
          <w:rFonts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pPr>
        <w:widowControl/>
        <w:adjustRightInd w:val="0"/>
        <w:snapToGrid w:val="0"/>
        <w:spacing w:line="360" w:lineRule="auto"/>
        <w:ind w:firstLine="480" w:firstLineChars="200"/>
        <w:rPr>
          <w:bCs/>
          <w:sz w:val="24"/>
        </w:rPr>
      </w:pPr>
      <w:r>
        <w:rPr>
          <w:rFonts w:hint="eastAsia"/>
          <w:bCs/>
          <w:sz w:val="24"/>
        </w:rPr>
        <w:t>（7）在基金托管人更换时，提名新的基金托管人；</w:t>
      </w:r>
    </w:p>
    <w:p>
      <w:pPr>
        <w:widowControl/>
        <w:adjustRightInd w:val="0"/>
        <w:snapToGrid w:val="0"/>
        <w:spacing w:line="360" w:lineRule="auto"/>
        <w:ind w:firstLine="480" w:firstLineChars="200"/>
        <w:rPr>
          <w:bCs/>
          <w:sz w:val="24"/>
        </w:rPr>
      </w:pPr>
      <w:r>
        <w:rPr>
          <w:rFonts w:hint="eastAsia"/>
          <w:bCs/>
          <w:sz w:val="24"/>
        </w:rPr>
        <w:t>（8）选择、更换基金销售机构，对基金销售机构的相关行为进行监督和处理；</w:t>
      </w:r>
    </w:p>
    <w:p>
      <w:pPr>
        <w:widowControl/>
        <w:adjustRightInd w:val="0"/>
        <w:snapToGrid w:val="0"/>
        <w:spacing w:line="360" w:lineRule="auto"/>
        <w:ind w:firstLine="480" w:firstLineChars="200"/>
        <w:rPr>
          <w:bCs/>
          <w:sz w:val="24"/>
        </w:rPr>
      </w:pPr>
      <w:r>
        <w:rPr>
          <w:rFonts w:hint="eastAsia"/>
          <w:bCs/>
          <w:sz w:val="24"/>
        </w:rPr>
        <w:t>（9）担任或委托其他符合条件的机构担任基金登记机构办理基金登记业务并获得《基金合同》规定的费用；</w:t>
      </w:r>
    </w:p>
    <w:p>
      <w:pPr>
        <w:widowControl/>
        <w:adjustRightInd w:val="0"/>
        <w:snapToGrid w:val="0"/>
        <w:spacing w:line="360" w:lineRule="auto"/>
        <w:ind w:firstLine="480" w:firstLineChars="200"/>
        <w:rPr>
          <w:bCs/>
          <w:sz w:val="24"/>
        </w:rPr>
      </w:pPr>
      <w:r>
        <w:rPr>
          <w:rFonts w:hint="eastAsia"/>
          <w:bCs/>
          <w:sz w:val="24"/>
        </w:rPr>
        <w:t>（10）依据《基金合同》及有关法律规定决定基金收益的分配方案；</w:t>
      </w:r>
      <w:r>
        <w:rPr>
          <w:rFonts w:hint="eastAsia"/>
          <w:bCs/>
          <w:sz w:val="24"/>
        </w:rPr>
        <w:tab/>
      </w:r>
    </w:p>
    <w:p>
      <w:pPr>
        <w:widowControl/>
        <w:adjustRightInd w:val="0"/>
        <w:snapToGrid w:val="0"/>
        <w:spacing w:line="360" w:lineRule="auto"/>
        <w:ind w:firstLine="480" w:firstLineChars="200"/>
        <w:rPr>
          <w:bCs/>
          <w:sz w:val="24"/>
        </w:rPr>
      </w:pPr>
      <w:r>
        <w:rPr>
          <w:rFonts w:hint="eastAsia"/>
          <w:bCs/>
          <w:sz w:val="24"/>
        </w:rPr>
        <w:t>（11）在《基金合同》约定的范围内，拒绝或暂停受理申购与赎回申请；</w:t>
      </w:r>
    </w:p>
    <w:p>
      <w:pPr>
        <w:widowControl/>
        <w:adjustRightInd w:val="0"/>
        <w:snapToGrid w:val="0"/>
        <w:spacing w:line="360" w:lineRule="auto"/>
        <w:ind w:firstLine="480" w:firstLineChars="200"/>
        <w:rPr>
          <w:bCs/>
          <w:sz w:val="24"/>
        </w:rPr>
      </w:pPr>
      <w:r>
        <w:rPr>
          <w:rFonts w:hint="eastAsia"/>
          <w:bCs/>
          <w:sz w:val="24"/>
        </w:rPr>
        <w:t>（12）依照法律法规为基金的利益对被投资公司行使股东权利，为基金的利益行使因基金财产投资于证券所产生的权利；</w:t>
      </w:r>
      <w:r>
        <w:rPr>
          <w:rFonts w:hint="eastAsia"/>
          <w:bCs/>
          <w:sz w:val="24"/>
        </w:rPr>
        <w:tab/>
      </w:r>
    </w:p>
    <w:p>
      <w:pPr>
        <w:widowControl/>
        <w:adjustRightInd w:val="0"/>
        <w:snapToGrid w:val="0"/>
        <w:spacing w:line="360" w:lineRule="auto"/>
        <w:ind w:firstLine="480" w:firstLineChars="200"/>
        <w:rPr>
          <w:bCs/>
          <w:sz w:val="24"/>
        </w:rPr>
      </w:pPr>
      <w:r>
        <w:rPr>
          <w:rFonts w:hint="eastAsia"/>
          <w:bCs/>
          <w:sz w:val="24"/>
        </w:rPr>
        <w:t>（13）在法律法规允许的前提下，为基金的利益依法为基金进行融资；</w:t>
      </w:r>
    </w:p>
    <w:p>
      <w:pPr>
        <w:widowControl/>
        <w:adjustRightInd w:val="0"/>
        <w:snapToGrid w:val="0"/>
        <w:spacing w:line="360" w:lineRule="auto"/>
        <w:ind w:firstLine="480" w:firstLineChars="200"/>
        <w:rPr>
          <w:bCs/>
          <w:sz w:val="24"/>
        </w:rPr>
      </w:pPr>
      <w:r>
        <w:rPr>
          <w:rFonts w:hint="eastAsia"/>
          <w:bCs/>
          <w:sz w:val="24"/>
        </w:rPr>
        <w:t>（14）以基金管理人的名义，代表基金份额持有人的利益行使诉讼权利或者实施其他法律行为；</w:t>
      </w:r>
      <w:r>
        <w:rPr>
          <w:rFonts w:hint="eastAsia"/>
          <w:bCs/>
          <w:sz w:val="24"/>
        </w:rPr>
        <w:tab/>
      </w:r>
    </w:p>
    <w:p>
      <w:pPr>
        <w:widowControl/>
        <w:adjustRightInd w:val="0"/>
        <w:snapToGrid w:val="0"/>
        <w:spacing w:line="360" w:lineRule="auto"/>
        <w:ind w:firstLine="480" w:firstLineChars="200"/>
        <w:rPr>
          <w:bCs/>
          <w:sz w:val="24"/>
        </w:rPr>
      </w:pPr>
      <w:r>
        <w:rPr>
          <w:rFonts w:hint="eastAsia"/>
          <w:bCs/>
          <w:sz w:val="24"/>
        </w:rPr>
        <w:t>（15）选择、更换律师事务所、会计师事务所、证券经纪商、期货经纪机构或其他为基金提供服务的外部机构；</w:t>
      </w:r>
      <w:r>
        <w:rPr>
          <w:rFonts w:hint="eastAsia"/>
          <w:bCs/>
          <w:sz w:val="24"/>
        </w:rPr>
        <w:tab/>
      </w:r>
    </w:p>
    <w:p>
      <w:pPr>
        <w:widowControl/>
        <w:adjustRightInd w:val="0"/>
        <w:snapToGrid w:val="0"/>
        <w:spacing w:line="360" w:lineRule="auto"/>
        <w:ind w:firstLine="480" w:firstLineChars="200"/>
        <w:rPr>
          <w:bCs/>
          <w:sz w:val="24"/>
        </w:rPr>
      </w:pPr>
      <w:r>
        <w:rPr>
          <w:rFonts w:hint="eastAsia"/>
          <w:bCs/>
          <w:sz w:val="24"/>
        </w:rPr>
        <w:t>（16）在符合有关法律、法规的前提下，制定和调整有关基金认购、申购、赎回、转换等的业务规则；</w:t>
      </w:r>
    </w:p>
    <w:p>
      <w:pPr>
        <w:adjustRightInd w:val="0"/>
        <w:snapToGrid w:val="0"/>
        <w:spacing w:line="360" w:lineRule="auto"/>
        <w:ind w:firstLine="480" w:firstLineChars="200"/>
        <w:rPr>
          <w:bCs/>
          <w:sz w:val="24"/>
        </w:rPr>
      </w:pPr>
      <w:r>
        <w:rPr>
          <w:rFonts w:hint="eastAsia"/>
          <w:bCs/>
          <w:sz w:val="24"/>
        </w:rPr>
        <w:t>（17）法律法规及中国证监会规定的和《基金合同》约定的其他权利。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r>
        <w:rPr>
          <w:rFonts w:hint="eastAsia"/>
          <w:bCs/>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adjustRightInd w:val="0"/>
        <w:snapToGrid w:val="0"/>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（16）按规定保存基金财产管理业务活动的会计账册、报表、记录和其他相关资料不低于法律法规规定的最低期限；</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bCs/>
          <w:sz w:val="24"/>
        </w:rPr>
      </w:pPr>
      <w:r>
        <w:rPr>
          <w:rFonts w:hint="eastAsia"/>
          <w:bCs/>
          <w:sz w:val="24"/>
        </w:rPr>
        <w:t>（25）执行生效的基金份额持有人大会的决议；</w:t>
      </w:r>
    </w:p>
    <w:p>
      <w:pPr>
        <w:adjustRightInd w:val="0"/>
        <w:snapToGrid w:val="0"/>
        <w:spacing w:line="360" w:lineRule="auto"/>
        <w:ind w:firstLine="480" w:firstLineChars="200"/>
        <w:rPr>
          <w:bCs/>
          <w:sz w:val="24"/>
        </w:rPr>
      </w:pPr>
      <w:r>
        <w:rPr>
          <w:rFonts w:hint="eastAsia"/>
          <w:bCs/>
          <w:sz w:val="24"/>
        </w:rPr>
        <w:t>（26）建立并保存基金份额持有人名册；</w:t>
      </w:r>
    </w:p>
    <w:p>
      <w:pPr>
        <w:adjustRightInd w:val="0"/>
        <w:snapToGrid w:val="0"/>
        <w:spacing w:line="360" w:lineRule="auto"/>
        <w:ind w:firstLine="480" w:firstLineChars="200"/>
        <w:rPr>
          <w:bCs/>
          <w:sz w:val="24"/>
        </w:rPr>
      </w:pPr>
      <w:r>
        <w:rPr>
          <w:rFonts w:hint="eastAsia"/>
          <w:bCs/>
          <w:sz w:val="24"/>
        </w:rPr>
        <w:t>（27）法律法规及中国证监会规定的和《基金合同》约定的其他义务。</w:t>
      </w:r>
    </w:p>
    <w:p>
      <w:pPr>
        <w:widowControl/>
        <w:adjustRightInd w:val="0"/>
        <w:snapToGrid w:val="0"/>
        <w:spacing w:line="360" w:lineRule="auto"/>
        <w:ind w:firstLine="480" w:firstLineChars="200"/>
        <w:outlineLvl w:val="2"/>
        <w:rPr>
          <w:bCs/>
          <w:sz w:val="24"/>
        </w:rPr>
      </w:pPr>
      <w:bookmarkStart w:id="89" w:name="_Hlt88897298"/>
      <w:bookmarkEnd w:id="89"/>
      <w:r>
        <w:rPr>
          <w:bCs/>
          <w:sz w:val="24"/>
        </w:rPr>
        <w:t>2、基金托管人的权利与义务</w:t>
      </w:r>
    </w:p>
    <w:p>
      <w:pPr>
        <w:adjustRightInd w:val="0"/>
        <w:snapToGrid w:val="0"/>
        <w:spacing w:line="360" w:lineRule="auto"/>
        <w:ind w:firstLine="480" w:firstLineChars="200"/>
        <w:rPr>
          <w:bCs/>
          <w:sz w:val="24"/>
        </w:rPr>
      </w:pPr>
      <w:r>
        <w:rPr>
          <w:bCs/>
          <w:sz w:val="24"/>
        </w:rPr>
        <w:t>根据《基金法》、《运作办法》及其他有关规定，基金托管人的权利包括但不限于：</w:t>
      </w:r>
    </w:p>
    <w:p>
      <w:pPr>
        <w:adjustRightInd w:val="0"/>
        <w:snapToGrid w:val="0"/>
        <w:spacing w:line="360" w:lineRule="auto"/>
        <w:ind w:firstLine="480" w:firstLineChars="200"/>
        <w:rPr>
          <w:bCs/>
          <w:sz w:val="24"/>
        </w:rPr>
      </w:pPr>
      <w:r>
        <w:rPr>
          <w:rFonts w:hint="eastAsia"/>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rFonts w:hint="eastAsia"/>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rFonts w:hint="eastAsia"/>
          <w:bCs/>
          <w:sz w:val="24"/>
        </w:rPr>
        <w:t>（4）根据相关市场规则，为基金开设资金账户、证券账户等投资所需账户、协助开立股指期货业务相关账户及交易编码、为基金办理证券、期货交易资金清算；</w:t>
      </w:r>
    </w:p>
    <w:p>
      <w:pPr>
        <w:adjustRightInd w:val="0"/>
        <w:snapToGrid w:val="0"/>
        <w:spacing w:line="360" w:lineRule="auto"/>
        <w:ind w:firstLine="480" w:firstLineChars="200"/>
        <w:rPr>
          <w:bCs/>
          <w:sz w:val="24"/>
        </w:rPr>
      </w:pPr>
      <w:r>
        <w:rPr>
          <w:rFonts w:hint="eastAsia"/>
          <w:bCs/>
          <w:sz w:val="24"/>
        </w:rPr>
        <w:t>（5）提议召开或召集基金份额持有人大会；</w:t>
      </w:r>
    </w:p>
    <w:p>
      <w:pPr>
        <w:adjustRightInd w:val="0"/>
        <w:snapToGrid w:val="0"/>
        <w:spacing w:line="360" w:lineRule="auto"/>
        <w:ind w:firstLine="480" w:firstLineChars="200"/>
        <w:rPr>
          <w:bCs/>
          <w:sz w:val="24"/>
        </w:rPr>
      </w:pPr>
      <w:r>
        <w:rPr>
          <w:rFonts w:hint="eastAsia"/>
          <w:bCs/>
          <w:sz w:val="24"/>
        </w:rPr>
        <w:t>（6）在基金管理人更换时，提名新的基金管理人；</w:t>
      </w:r>
    </w:p>
    <w:p>
      <w:pPr>
        <w:adjustRightInd w:val="0"/>
        <w:snapToGrid w:val="0"/>
        <w:spacing w:line="360" w:lineRule="auto"/>
        <w:ind w:firstLine="480" w:firstLineChars="200"/>
        <w:rPr>
          <w:bCs/>
          <w:sz w:val="24"/>
        </w:rPr>
      </w:pPr>
      <w:r>
        <w:rPr>
          <w:rFonts w:hint="eastAsia"/>
          <w:bCs/>
          <w:sz w:val="24"/>
        </w:rPr>
        <w:t>（7）法律法规及中国证监会规定的和《基金合同》约定的其他权利。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根据《基金法》、《运作办法》及其他有关规定，基金托管人的义务包括但不限于：</w:t>
      </w:r>
    </w:p>
    <w:p>
      <w:pPr>
        <w:adjustRightInd w:val="0"/>
        <w:snapToGrid w:val="0"/>
        <w:spacing w:line="360" w:lineRule="auto"/>
        <w:ind w:firstLine="480" w:firstLineChars="200"/>
        <w:rPr>
          <w:bCs/>
          <w:sz w:val="24"/>
        </w:rPr>
      </w:pPr>
      <w:r>
        <w:rPr>
          <w:rFonts w:hint="eastAsia"/>
          <w:bCs/>
          <w:sz w:val="24"/>
        </w:rPr>
        <w:t>（1）以诚实信用、勤勉尽责的原则持有并安全保管基金财产；</w:t>
      </w:r>
    </w:p>
    <w:p>
      <w:pPr>
        <w:adjustRightInd w:val="0"/>
        <w:snapToGrid w:val="0"/>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rFonts w:hint="eastAsia"/>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rFonts w:hint="eastAsia"/>
          <w:bCs/>
          <w:sz w:val="24"/>
        </w:rPr>
        <w:t>（6）按规定开设基金财产的资金账户和证券账户等投资所需账户，协助开立股指期货业务相关账户及交易编码，按照《基金合同》的约定，根据基金管理人的投资指令，及时办理清算、交割事宜；</w:t>
      </w:r>
    </w:p>
    <w:p>
      <w:pPr>
        <w:adjustRightInd w:val="0"/>
        <w:snapToGrid w:val="0"/>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w:t>
      </w:r>
    </w:p>
    <w:p>
      <w:pPr>
        <w:adjustRightInd w:val="0"/>
        <w:snapToGrid w:val="0"/>
        <w:spacing w:line="360" w:lineRule="auto"/>
        <w:ind w:firstLine="480" w:firstLineChars="200"/>
        <w:rPr>
          <w:bCs/>
          <w:sz w:val="24"/>
        </w:rPr>
      </w:pPr>
      <w:r>
        <w:rPr>
          <w:rFonts w:hint="eastAsia"/>
          <w:bCs/>
          <w:sz w:val="24"/>
        </w:rPr>
        <w:t>（8）复核、审查基金管理人计算的基金资产净值、基金份额净值、基金份额申购、赎回价格；</w:t>
      </w:r>
    </w:p>
    <w:p>
      <w:pPr>
        <w:adjustRightInd w:val="0"/>
        <w:snapToGrid w:val="0"/>
        <w:spacing w:line="360" w:lineRule="auto"/>
        <w:ind w:firstLine="480" w:firstLineChars="200"/>
        <w:rPr>
          <w:bCs/>
          <w:sz w:val="24"/>
        </w:rPr>
      </w:pPr>
      <w:r>
        <w:rPr>
          <w:rFonts w:hint="eastAsia"/>
          <w:bCs/>
          <w:sz w:val="24"/>
        </w:rPr>
        <w:t>（9）办理与基金托管业务活动有关的信息披露事项；</w:t>
      </w:r>
    </w:p>
    <w:p>
      <w:pPr>
        <w:adjustRightInd w:val="0"/>
        <w:snapToGrid w:val="0"/>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rFonts w:hint="eastAsia"/>
          <w:bCs/>
          <w:sz w:val="24"/>
        </w:rPr>
        <w:t>（11）保存基金托管业务活动的记录、账册、报表和其他相关资料不低于法律法规规定的最低期限；</w:t>
      </w:r>
    </w:p>
    <w:p>
      <w:pPr>
        <w:adjustRightInd w:val="0"/>
        <w:snapToGrid w:val="0"/>
        <w:spacing w:line="360" w:lineRule="auto"/>
        <w:ind w:firstLine="480" w:firstLineChars="200"/>
        <w:rPr>
          <w:bCs/>
          <w:sz w:val="24"/>
        </w:rPr>
      </w:pPr>
      <w:r>
        <w:rPr>
          <w:rFonts w:hint="eastAsia"/>
          <w:bCs/>
          <w:sz w:val="24"/>
        </w:rPr>
        <w:t>（12）建立并保存基金份额持有人名册；</w:t>
      </w:r>
    </w:p>
    <w:p>
      <w:pPr>
        <w:adjustRightInd w:val="0"/>
        <w:snapToGrid w:val="0"/>
        <w:spacing w:line="360" w:lineRule="auto"/>
        <w:ind w:firstLine="480" w:firstLineChars="200"/>
        <w:rPr>
          <w:bCs/>
          <w:sz w:val="24"/>
        </w:rPr>
      </w:pPr>
      <w:r>
        <w:rPr>
          <w:rFonts w:hint="eastAsia"/>
          <w:bCs/>
          <w:sz w:val="24"/>
        </w:rPr>
        <w:t>（13）按规定制作相关账册并与基金管理人核对；</w:t>
      </w:r>
    </w:p>
    <w:p>
      <w:pPr>
        <w:adjustRightInd w:val="0"/>
        <w:snapToGrid w:val="0"/>
        <w:spacing w:line="360" w:lineRule="auto"/>
        <w:ind w:firstLine="480" w:firstLineChars="200"/>
        <w:rPr>
          <w:bCs/>
          <w:sz w:val="24"/>
        </w:rPr>
      </w:pPr>
      <w:r>
        <w:rPr>
          <w:rFonts w:hint="eastAsia"/>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bCs/>
          <w:sz w:val="24"/>
        </w:rPr>
      </w:pPr>
      <w:r>
        <w:rPr>
          <w:rFonts w:hint="eastAsia"/>
          <w:bCs/>
          <w:sz w:val="24"/>
        </w:rPr>
        <w:t>（16）按照法律法规和《基金合同》的规定监督基金管理人的投资运作；</w:t>
      </w:r>
    </w:p>
    <w:p>
      <w:pPr>
        <w:adjustRightInd w:val="0"/>
        <w:snapToGrid w:val="0"/>
        <w:spacing w:line="360" w:lineRule="auto"/>
        <w:ind w:firstLine="480" w:firstLineChars="200"/>
        <w:rPr>
          <w:bCs/>
          <w:sz w:val="24"/>
        </w:rPr>
      </w:pPr>
      <w:r>
        <w:rPr>
          <w:rFonts w:hint="eastAsia"/>
          <w:bCs/>
          <w:sz w:val="24"/>
        </w:rPr>
        <w:t>（17）参加基金财产清算小组，参与基金财产的保管、清理、估价、变现和分配；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rFonts w:hint="eastAsia"/>
          <w:bCs/>
          <w:sz w:val="24"/>
        </w:rPr>
        <w:t>（21）执行生效的基金份额持有人大会的决议；</w:t>
      </w:r>
    </w:p>
    <w:p>
      <w:pPr>
        <w:adjustRightInd w:val="0"/>
        <w:snapToGrid w:val="0"/>
        <w:spacing w:line="360" w:lineRule="auto"/>
        <w:ind w:firstLine="480" w:firstLineChars="200"/>
        <w:rPr>
          <w:bCs/>
          <w:sz w:val="24"/>
        </w:rPr>
      </w:pPr>
      <w:r>
        <w:rPr>
          <w:rFonts w:hint="eastAsia"/>
          <w:bCs/>
          <w:sz w:val="24"/>
        </w:rPr>
        <w:t>（22）法律法规及中国证监会规定的和《基金合同》约定的其他义务。</w:t>
      </w:r>
    </w:p>
    <w:p>
      <w:pPr>
        <w:widowControl/>
        <w:adjustRightInd w:val="0"/>
        <w:snapToGrid w:val="0"/>
        <w:spacing w:line="360" w:lineRule="auto"/>
        <w:ind w:firstLine="480" w:firstLineChars="200"/>
        <w:outlineLvl w:val="2"/>
        <w:rPr>
          <w:bCs/>
          <w:sz w:val="24"/>
        </w:rPr>
      </w:pPr>
      <w:r>
        <w:rPr>
          <w:bCs/>
          <w:sz w:val="24"/>
        </w:rPr>
        <w:t>3、基金份额持有人的权利与义务</w:t>
      </w:r>
    </w:p>
    <w:p>
      <w:pPr>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同一类别每份基金份额具有同等的合法权益。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widowControl/>
        <w:adjustRightInd w:val="0"/>
        <w:snapToGrid w:val="0"/>
        <w:spacing w:line="360" w:lineRule="auto"/>
        <w:ind w:firstLine="482" w:firstLineChars="200"/>
        <w:outlineLvl w:val="1"/>
        <w:rPr>
          <w:b/>
          <w:bCs/>
          <w:sz w:val="24"/>
        </w:rPr>
      </w:pPr>
      <w:r>
        <w:rPr>
          <w:b/>
          <w:bCs/>
          <w:sz w:val="24"/>
        </w:rPr>
        <w:t>（二）基金份额持有人大会</w:t>
      </w:r>
      <w:r>
        <w:rPr>
          <w:rFonts w:hint="eastAsia"/>
          <w:b/>
          <w:bCs/>
          <w:sz w:val="24"/>
        </w:rPr>
        <w:t>召集、议事及表决的程序和规则</w:t>
      </w:r>
    </w:p>
    <w:p>
      <w:pPr>
        <w:widowControl/>
        <w:adjustRightInd w:val="0"/>
        <w:snapToGrid w:val="0"/>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widowControl/>
        <w:adjustRightInd w:val="0"/>
        <w:snapToGrid w:val="0"/>
        <w:spacing w:line="360" w:lineRule="auto"/>
        <w:ind w:firstLine="480" w:firstLineChars="200"/>
        <w:rPr>
          <w:bCs/>
          <w:sz w:val="24"/>
        </w:rPr>
      </w:pPr>
      <w:r>
        <w:rPr>
          <w:rFonts w:hint="eastAsia"/>
          <w:bCs/>
          <w:sz w:val="24"/>
        </w:rPr>
        <w:t>本基金份额持有人大会不设日常机构。</w:t>
      </w:r>
    </w:p>
    <w:p>
      <w:pPr>
        <w:widowControl/>
        <w:adjustRightInd w:val="0"/>
        <w:snapToGrid w:val="0"/>
        <w:spacing w:line="360" w:lineRule="auto"/>
        <w:ind w:firstLine="480" w:firstLineChars="200"/>
        <w:rPr>
          <w:bCs/>
          <w:sz w:val="24"/>
        </w:rPr>
      </w:pPr>
      <w:r>
        <w:rPr>
          <w:bCs/>
          <w:sz w:val="24"/>
        </w:rPr>
        <w:t>1、召开事由</w:t>
      </w:r>
    </w:p>
    <w:p>
      <w:pPr>
        <w:widowControl/>
        <w:adjustRightInd w:val="0"/>
        <w:snapToGrid w:val="0"/>
        <w:spacing w:line="360" w:lineRule="auto"/>
        <w:ind w:firstLine="480" w:firstLineChars="200"/>
        <w:rPr>
          <w:bCs/>
          <w:sz w:val="24"/>
        </w:rPr>
      </w:pPr>
      <w:r>
        <w:rPr>
          <w:bCs/>
          <w:sz w:val="24"/>
        </w:rPr>
        <w:t>（1）当出现或需要决定下列事由之一的</w:t>
      </w:r>
      <w:bookmarkStart w:id="90" w:name="_Hlt88825574"/>
      <w:bookmarkEnd w:id="90"/>
      <w:r>
        <w:rPr>
          <w:bCs/>
          <w:sz w:val="24"/>
        </w:rPr>
        <w:t>，应当召开基金份额持有人大会</w:t>
      </w:r>
      <w:r>
        <w:rPr>
          <w:rFonts w:hint="eastAsia"/>
          <w:bCs/>
          <w:sz w:val="24"/>
        </w:rPr>
        <w:t>，法律法规、</w:t>
      </w:r>
      <w:r>
        <w:rPr>
          <w:bCs/>
          <w:sz w:val="24"/>
        </w:rPr>
        <w:t>基金合同</w:t>
      </w:r>
      <w:r>
        <w:rPr>
          <w:rFonts w:hint="eastAsia"/>
          <w:bCs/>
          <w:sz w:val="24"/>
        </w:rPr>
        <w:t>和中国证监会另有规定的除外</w:t>
      </w:r>
      <w:r>
        <w:rPr>
          <w:bCs/>
          <w:sz w:val="24"/>
        </w:rPr>
        <w:t>：</w:t>
      </w:r>
      <w:bookmarkStart w:id="91" w:name="_Hlt94543071"/>
      <w:bookmarkEnd w:id="91"/>
    </w:p>
    <w:p>
      <w:pPr>
        <w:widowControl/>
        <w:adjustRightInd w:val="0"/>
        <w:snapToGrid w:val="0"/>
        <w:spacing w:line="360" w:lineRule="auto"/>
        <w:ind w:firstLine="480" w:firstLineChars="200"/>
        <w:rPr>
          <w:bCs/>
          <w:sz w:val="24"/>
        </w:rPr>
      </w:pPr>
      <w:r>
        <w:rPr>
          <w:rFonts w:hint="eastAsia"/>
          <w:bCs/>
          <w:sz w:val="24"/>
        </w:rPr>
        <w:t>1）终止《基金合同》；</w:t>
      </w:r>
    </w:p>
    <w:p>
      <w:pPr>
        <w:widowControl/>
        <w:adjustRightInd w:val="0"/>
        <w:snapToGrid w:val="0"/>
        <w:spacing w:line="360" w:lineRule="auto"/>
        <w:ind w:firstLine="480" w:firstLineChars="200"/>
        <w:rPr>
          <w:bCs/>
          <w:sz w:val="24"/>
        </w:rPr>
      </w:pPr>
      <w:r>
        <w:rPr>
          <w:rFonts w:hint="eastAsia"/>
          <w:bCs/>
          <w:sz w:val="24"/>
        </w:rPr>
        <w:t>2）更换基金管理人；</w:t>
      </w:r>
    </w:p>
    <w:p>
      <w:pPr>
        <w:widowControl/>
        <w:adjustRightInd w:val="0"/>
        <w:snapToGrid w:val="0"/>
        <w:spacing w:line="360" w:lineRule="auto"/>
        <w:ind w:firstLine="480" w:firstLineChars="200"/>
        <w:rPr>
          <w:bCs/>
          <w:sz w:val="24"/>
        </w:rPr>
      </w:pPr>
      <w:r>
        <w:rPr>
          <w:rFonts w:hint="eastAsia"/>
          <w:bCs/>
          <w:sz w:val="24"/>
        </w:rPr>
        <w:t>3）更换基金托管人；</w:t>
      </w:r>
    </w:p>
    <w:p>
      <w:pPr>
        <w:widowControl/>
        <w:adjustRightInd w:val="0"/>
        <w:snapToGrid w:val="0"/>
        <w:spacing w:line="360" w:lineRule="auto"/>
        <w:ind w:firstLine="480" w:firstLineChars="200"/>
        <w:rPr>
          <w:bCs/>
          <w:sz w:val="24"/>
        </w:rPr>
      </w:pPr>
      <w:r>
        <w:rPr>
          <w:rFonts w:hint="eastAsia"/>
          <w:bCs/>
          <w:sz w:val="24"/>
        </w:rPr>
        <w:t>4）转换基金运作方式；</w:t>
      </w:r>
    </w:p>
    <w:p>
      <w:pPr>
        <w:widowControl/>
        <w:adjustRightInd w:val="0"/>
        <w:snapToGrid w:val="0"/>
        <w:spacing w:line="360" w:lineRule="auto"/>
        <w:ind w:firstLine="480" w:firstLineChars="200"/>
        <w:rPr>
          <w:bCs/>
          <w:sz w:val="24"/>
        </w:rPr>
      </w:pPr>
      <w:r>
        <w:rPr>
          <w:rFonts w:hint="eastAsia"/>
          <w:bCs/>
          <w:sz w:val="24"/>
        </w:rPr>
        <w:t>5）调整基金管理人、基金托管人的报酬标准和提高销售服务费；</w:t>
      </w:r>
    </w:p>
    <w:p>
      <w:pPr>
        <w:widowControl/>
        <w:adjustRightInd w:val="0"/>
        <w:snapToGrid w:val="0"/>
        <w:spacing w:line="360" w:lineRule="auto"/>
        <w:ind w:firstLine="480" w:firstLineChars="200"/>
        <w:rPr>
          <w:bCs/>
          <w:sz w:val="24"/>
        </w:rPr>
      </w:pPr>
      <w:r>
        <w:rPr>
          <w:rFonts w:hint="eastAsia"/>
          <w:bCs/>
          <w:sz w:val="24"/>
        </w:rPr>
        <w:t>6）变更基金类别；</w:t>
      </w:r>
    </w:p>
    <w:p>
      <w:pPr>
        <w:widowControl/>
        <w:adjustRightInd w:val="0"/>
        <w:snapToGrid w:val="0"/>
        <w:spacing w:line="360" w:lineRule="auto"/>
        <w:ind w:firstLine="480" w:firstLineChars="200"/>
        <w:rPr>
          <w:bCs/>
          <w:sz w:val="24"/>
        </w:rPr>
      </w:pPr>
      <w:r>
        <w:rPr>
          <w:rFonts w:hint="eastAsia"/>
          <w:bCs/>
          <w:sz w:val="24"/>
        </w:rPr>
        <w:t>7）本基金与其他基金的合并；</w:t>
      </w:r>
    </w:p>
    <w:p>
      <w:pPr>
        <w:widowControl/>
        <w:adjustRightInd w:val="0"/>
        <w:snapToGrid w:val="0"/>
        <w:spacing w:line="360" w:lineRule="auto"/>
        <w:ind w:firstLine="480" w:firstLineChars="200"/>
        <w:rPr>
          <w:bCs/>
          <w:sz w:val="24"/>
        </w:rPr>
      </w:pPr>
      <w:r>
        <w:rPr>
          <w:rFonts w:hint="eastAsia"/>
          <w:bCs/>
          <w:sz w:val="24"/>
        </w:rPr>
        <w:t>8）变更基金投资目标、范围或策略；</w:t>
      </w:r>
    </w:p>
    <w:p>
      <w:pPr>
        <w:widowControl/>
        <w:adjustRightInd w:val="0"/>
        <w:snapToGrid w:val="0"/>
        <w:spacing w:line="360" w:lineRule="auto"/>
        <w:ind w:firstLine="480" w:firstLineChars="200"/>
        <w:rPr>
          <w:bCs/>
          <w:sz w:val="24"/>
        </w:rPr>
      </w:pPr>
      <w:r>
        <w:rPr>
          <w:rFonts w:hint="eastAsia"/>
          <w:bCs/>
          <w:sz w:val="24"/>
        </w:rPr>
        <w:t>9）变更基金份额持有人大会程序；</w:t>
      </w:r>
    </w:p>
    <w:p>
      <w:pPr>
        <w:widowControl/>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widowControl/>
        <w:adjustRightInd w:val="0"/>
        <w:snapToGrid w:val="0"/>
        <w:spacing w:line="360" w:lineRule="auto"/>
        <w:ind w:firstLine="480" w:firstLineChars="200"/>
        <w:rPr>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widowControl/>
        <w:adjustRightInd w:val="0"/>
        <w:snapToGrid w:val="0"/>
        <w:spacing w:line="360" w:lineRule="auto"/>
        <w:ind w:firstLine="480" w:firstLineChars="200"/>
        <w:rPr>
          <w:bCs/>
          <w:sz w:val="24"/>
        </w:rPr>
      </w:pPr>
      <w:r>
        <w:rPr>
          <w:rFonts w:hint="eastAsia"/>
          <w:bCs/>
          <w:sz w:val="24"/>
        </w:rPr>
        <w:t>12）对基金合同当事人权利和义务产生重大影响的其他事项；</w:t>
      </w:r>
    </w:p>
    <w:p>
      <w:pPr>
        <w:widowControl/>
        <w:adjustRightInd w:val="0"/>
        <w:snapToGrid w:val="0"/>
        <w:spacing w:line="360" w:lineRule="auto"/>
        <w:ind w:firstLine="480" w:firstLineChars="200"/>
        <w:rPr>
          <w:bCs/>
          <w:sz w:val="24"/>
        </w:rPr>
      </w:pPr>
      <w:r>
        <w:rPr>
          <w:rFonts w:hint="eastAsia"/>
          <w:bCs/>
          <w:sz w:val="24"/>
        </w:rPr>
        <w:t>13）法律法规、《基金合同》或中国证监会规定的其他应当召开基金份额持有人大会的事项。</w:t>
      </w:r>
    </w:p>
    <w:p>
      <w:pPr>
        <w:widowControl/>
        <w:adjustRightInd w:val="0"/>
        <w:snapToGrid w:val="0"/>
        <w:spacing w:line="360" w:lineRule="auto"/>
        <w:ind w:firstLine="480" w:firstLineChars="200"/>
        <w:rPr>
          <w:bCs/>
          <w:sz w:val="24"/>
        </w:rPr>
      </w:pPr>
      <w:r>
        <w:rPr>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pPr>
        <w:widowControl/>
        <w:adjustRightInd w:val="0"/>
        <w:snapToGrid w:val="0"/>
        <w:spacing w:line="360" w:lineRule="auto"/>
        <w:ind w:firstLine="480" w:firstLineChars="200"/>
        <w:rPr>
          <w:bCs/>
          <w:sz w:val="24"/>
        </w:rPr>
      </w:pPr>
      <w:r>
        <w:rPr>
          <w:rFonts w:hint="eastAsia"/>
          <w:bCs/>
          <w:sz w:val="24"/>
        </w:rPr>
        <w:t>1）调低基金销售服务费；</w:t>
      </w:r>
    </w:p>
    <w:p>
      <w:pPr>
        <w:widowControl/>
        <w:adjustRightInd w:val="0"/>
        <w:snapToGrid w:val="0"/>
        <w:spacing w:line="360" w:lineRule="auto"/>
        <w:ind w:firstLine="480" w:firstLineChars="200"/>
        <w:rPr>
          <w:bCs/>
          <w:sz w:val="24"/>
        </w:rPr>
      </w:pPr>
      <w:r>
        <w:rPr>
          <w:rFonts w:hint="eastAsia"/>
          <w:bCs/>
          <w:sz w:val="24"/>
        </w:rPr>
        <w:t>2）法律法规要求增加的基金费用的收取；</w:t>
      </w:r>
    </w:p>
    <w:p>
      <w:pPr>
        <w:widowControl/>
        <w:adjustRightInd w:val="0"/>
        <w:snapToGrid w:val="0"/>
        <w:spacing w:line="360" w:lineRule="auto"/>
        <w:ind w:firstLine="480" w:firstLineChars="200"/>
        <w:rPr>
          <w:bCs/>
          <w:sz w:val="24"/>
        </w:rPr>
      </w:pPr>
      <w:r>
        <w:rPr>
          <w:rFonts w:hint="eastAsia"/>
          <w:bCs/>
          <w:sz w:val="24"/>
        </w:rPr>
        <w:t>3）在法律法规和《基金合同》规定的范围内调整本基金的申购费率、调低赎回费率、在对现有基金份额持有人利益无实质性不利影响的前提下变更收费方式；</w:t>
      </w:r>
    </w:p>
    <w:p>
      <w:pPr>
        <w:widowControl/>
        <w:adjustRightInd w:val="0"/>
        <w:snapToGrid w:val="0"/>
        <w:spacing w:line="360" w:lineRule="auto"/>
        <w:ind w:firstLine="480" w:firstLineChars="200"/>
        <w:rPr>
          <w:bCs/>
          <w:sz w:val="24"/>
        </w:rPr>
      </w:pPr>
      <w:r>
        <w:rPr>
          <w:rFonts w:hint="eastAsia"/>
          <w:bCs/>
          <w:sz w:val="24"/>
        </w:rPr>
        <w:t>4）因相应的法律法规、登记机构的相关业务规则发生变动而应当对《基金合同》进行修改；</w:t>
      </w:r>
    </w:p>
    <w:p>
      <w:pPr>
        <w:widowControl/>
        <w:adjustRightInd w:val="0"/>
        <w:snapToGrid w:val="0"/>
        <w:spacing w:line="360" w:lineRule="auto"/>
        <w:ind w:firstLine="480" w:firstLineChars="200"/>
        <w:rPr>
          <w:bCs/>
          <w:sz w:val="24"/>
        </w:rPr>
      </w:pPr>
      <w:r>
        <w:rPr>
          <w:rFonts w:hint="eastAsia"/>
          <w:bCs/>
          <w:sz w:val="24"/>
        </w:rPr>
        <w:t>5）对《基金合同》的修改对基金份额持有人利益无实质性不利影响或修改不涉及《基金合同》当事人权利义务关系发生重大变化；</w:t>
      </w:r>
    </w:p>
    <w:p>
      <w:pPr>
        <w:widowControl/>
        <w:adjustRightInd w:val="0"/>
        <w:snapToGrid w:val="0"/>
        <w:spacing w:line="360" w:lineRule="auto"/>
        <w:ind w:firstLine="480" w:firstLineChars="200"/>
        <w:rPr>
          <w:bCs/>
          <w:sz w:val="24"/>
        </w:rPr>
      </w:pPr>
      <w:r>
        <w:rPr>
          <w:rFonts w:hint="eastAsia"/>
          <w:bCs/>
          <w:sz w:val="24"/>
        </w:rPr>
        <w:t>6）在法律法规允许的情况下，且在对现有基金份额持有人利益无实质性不利影响的前提下，基金推出新业务或服务；</w:t>
      </w:r>
    </w:p>
    <w:p>
      <w:pPr>
        <w:widowControl/>
        <w:adjustRightInd w:val="0"/>
        <w:snapToGrid w:val="0"/>
        <w:spacing w:line="360" w:lineRule="auto"/>
        <w:ind w:firstLine="480" w:firstLineChars="200"/>
        <w:rPr>
          <w:bCs/>
          <w:sz w:val="24"/>
        </w:rPr>
      </w:pPr>
      <w:r>
        <w:rPr>
          <w:rFonts w:hint="eastAsia"/>
          <w:bCs/>
          <w:sz w:val="24"/>
        </w:rPr>
        <w:t>7）在符合法律法规及本基金合同规定、并且对基金份额持有人利益无实质不利影响的前提下，调整本基金份额类别的设置；</w:t>
      </w:r>
    </w:p>
    <w:p>
      <w:pPr>
        <w:widowControl/>
        <w:adjustRightInd w:val="0"/>
        <w:snapToGrid w:val="0"/>
        <w:spacing w:line="360" w:lineRule="auto"/>
        <w:ind w:firstLine="480" w:firstLineChars="200"/>
        <w:rPr>
          <w:bCs/>
          <w:sz w:val="24"/>
        </w:rPr>
      </w:pPr>
      <w:r>
        <w:rPr>
          <w:rFonts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pPr>
        <w:widowControl/>
        <w:adjustRightInd w:val="0"/>
        <w:snapToGrid w:val="0"/>
        <w:spacing w:line="360" w:lineRule="auto"/>
        <w:ind w:firstLine="480" w:firstLineChars="200"/>
        <w:rPr>
          <w:bCs/>
          <w:sz w:val="24"/>
        </w:rPr>
      </w:pPr>
      <w:r>
        <w:rPr>
          <w:rFonts w:hint="eastAsia"/>
          <w:bCs/>
          <w:sz w:val="24"/>
        </w:rPr>
        <w:t>9）按照法律法规和《基金合同》规定不需召开基金份额持有人大会的其他情形。</w:t>
      </w:r>
    </w:p>
    <w:p>
      <w:pPr>
        <w:widowControl/>
        <w:adjustRightInd w:val="0"/>
        <w:snapToGrid w:val="0"/>
        <w:spacing w:line="360" w:lineRule="auto"/>
        <w:ind w:firstLine="480" w:firstLineChars="200"/>
        <w:rPr>
          <w:bCs/>
          <w:sz w:val="24"/>
        </w:rPr>
      </w:pPr>
      <w:r>
        <w:rPr>
          <w:bCs/>
          <w:sz w:val="24"/>
        </w:rPr>
        <w:t>2、会议召集人及召集方式</w:t>
      </w:r>
    </w:p>
    <w:p>
      <w:pPr>
        <w:widowControl/>
        <w:adjustRightInd w:val="0"/>
        <w:snapToGrid w:val="0"/>
        <w:spacing w:line="360" w:lineRule="auto"/>
        <w:ind w:firstLine="480" w:firstLineChars="200"/>
        <w:rPr>
          <w:bCs/>
          <w:sz w:val="24"/>
        </w:rPr>
      </w:pPr>
      <w:r>
        <w:rPr>
          <w:rFonts w:hint="eastAsia"/>
          <w:bCs/>
          <w:sz w:val="24"/>
        </w:rPr>
        <w:t>（1）除法律法规规定或《基金合同》另有约定外，基金份额持有人大会由基金管理人召集；</w:t>
      </w:r>
    </w:p>
    <w:p>
      <w:pPr>
        <w:widowControl/>
        <w:adjustRightInd w:val="0"/>
        <w:snapToGrid w:val="0"/>
        <w:spacing w:line="360" w:lineRule="auto"/>
        <w:ind w:firstLine="480" w:firstLineChars="200"/>
        <w:rPr>
          <w:bCs/>
          <w:sz w:val="24"/>
        </w:rPr>
      </w:pPr>
      <w:r>
        <w:rPr>
          <w:rFonts w:hint="eastAsia"/>
          <w:bCs/>
          <w:sz w:val="24"/>
        </w:rPr>
        <w:t>（2）基金管理人未按规定召集或不能</w:t>
      </w:r>
      <w:r>
        <w:rPr>
          <w:bCs/>
          <w:sz w:val="24"/>
        </w:rPr>
        <w:t>召</w:t>
      </w:r>
      <w:r>
        <w:rPr>
          <w:rFonts w:hint="eastAsia"/>
          <w:bCs/>
          <w:sz w:val="24"/>
        </w:rPr>
        <w:t>集时，由基金托管人召集；</w:t>
      </w:r>
    </w:p>
    <w:p>
      <w:pPr>
        <w:widowControl/>
        <w:adjustRightInd w:val="0"/>
        <w:snapToGrid w:val="0"/>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widowControl/>
        <w:adjustRightInd w:val="0"/>
        <w:snapToGrid w:val="0"/>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widowControl/>
        <w:adjustRightInd w:val="0"/>
        <w:snapToGrid w:val="0"/>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bCs/>
          <w:sz w:val="24"/>
        </w:rPr>
      </w:pPr>
      <w:r>
        <w:rPr>
          <w:rFonts w:hint="eastAsia"/>
          <w:bCs/>
          <w:sz w:val="24"/>
        </w:rPr>
        <w:t>（6）基金份额持有人会议的召集人负责选择确定开会时间、地点、方式和权益登记日。</w:t>
      </w:r>
    </w:p>
    <w:p>
      <w:pPr>
        <w:adjustRightInd w:val="0"/>
        <w:snapToGrid w:val="0"/>
        <w:spacing w:line="360" w:lineRule="auto"/>
        <w:ind w:firstLine="480" w:firstLineChars="200"/>
        <w:rPr>
          <w:bCs/>
          <w:sz w:val="24"/>
        </w:rPr>
      </w:pPr>
      <w:r>
        <w:rPr>
          <w:bCs/>
          <w:sz w:val="24"/>
        </w:rPr>
        <w:t>3、召开基金份额持有人大会的通知时间、通知内容、通知方式</w:t>
      </w:r>
    </w:p>
    <w:p>
      <w:pPr>
        <w:adjustRightInd w:val="0"/>
        <w:snapToGrid w:val="0"/>
        <w:spacing w:line="360" w:lineRule="auto"/>
        <w:ind w:firstLine="480" w:firstLineChars="200"/>
        <w:rPr>
          <w:bCs/>
          <w:sz w:val="24"/>
        </w:rPr>
      </w:pPr>
      <w:r>
        <w:rPr>
          <w:bCs/>
          <w:sz w:val="24"/>
        </w:rPr>
        <w:t>（1）</w:t>
      </w:r>
      <w:r>
        <w:rPr>
          <w:rFonts w:hint="eastAsia"/>
          <w:bCs/>
          <w:sz w:val="24"/>
        </w:rPr>
        <w:t>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bCs/>
          <w:sz w:val="24"/>
        </w:rPr>
      </w:pPr>
      <w:r>
        <w:rPr>
          <w:rFonts w:hint="eastAsia"/>
          <w:bCs/>
          <w:sz w:val="24"/>
        </w:rPr>
        <w:t>1）会议召开的时间、地点和会议形式；</w:t>
      </w:r>
    </w:p>
    <w:p>
      <w:pPr>
        <w:adjustRightInd w:val="0"/>
        <w:snapToGrid w:val="0"/>
        <w:spacing w:line="360" w:lineRule="auto"/>
        <w:ind w:firstLine="480" w:firstLineChars="200"/>
        <w:rPr>
          <w:bCs/>
          <w:sz w:val="24"/>
        </w:rPr>
      </w:pPr>
      <w:r>
        <w:rPr>
          <w:rFonts w:hint="eastAsia"/>
          <w:bCs/>
          <w:sz w:val="24"/>
        </w:rPr>
        <w:t>2）会议拟审议的事项、议事程序和表决方式；</w:t>
      </w:r>
    </w:p>
    <w:p>
      <w:pPr>
        <w:adjustRightInd w:val="0"/>
        <w:snapToGrid w:val="0"/>
        <w:spacing w:line="360" w:lineRule="auto"/>
        <w:ind w:firstLine="480" w:firstLineChars="200"/>
        <w:rPr>
          <w:bCs/>
          <w:sz w:val="24"/>
        </w:rPr>
      </w:pPr>
      <w:r>
        <w:rPr>
          <w:rFonts w:hint="eastAsia"/>
          <w:bCs/>
          <w:sz w:val="24"/>
        </w:rPr>
        <w:t>3）有权出席基金份额持有人大会的基金份额持有人的权益登记日；</w:t>
      </w:r>
    </w:p>
    <w:p>
      <w:pPr>
        <w:adjustRightInd w:val="0"/>
        <w:snapToGrid w:val="0"/>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adjustRightInd w:val="0"/>
        <w:snapToGrid w:val="0"/>
        <w:spacing w:line="360" w:lineRule="auto"/>
        <w:ind w:firstLine="480" w:firstLineChars="200"/>
        <w:rPr>
          <w:bCs/>
          <w:sz w:val="24"/>
        </w:rPr>
      </w:pPr>
      <w:r>
        <w:rPr>
          <w:rFonts w:hint="eastAsia"/>
          <w:bCs/>
          <w:sz w:val="24"/>
        </w:rPr>
        <w:t>5）会务常设联系人姓名及联系电话；</w:t>
      </w:r>
    </w:p>
    <w:p>
      <w:pPr>
        <w:adjustRightInd w:val="0"/>
        <w:snapToGrid w:val="0"/>
        <w:spacing w:line="360" w:lineRule="auto"/>
        <w:ind w:firstLine="480" w:firstLineChars="200"/>
        <w:rPr>
          <w:bCs/>
          <w:sz w:val="24"/>
        </w:rPr>
      </w:pPr>
      <w:r>
        <w:rPr>
          <w:rFonts w:hint="eastAsia"/>
          <w:bCs/>
          <w:sz w:val="24"/>
        </w:rPr>
        <w:t>6）出席会议者必须准备的文件和必须履行的手续；</w:t>
      </w:r>
    </w:p>
    <w:p>
      <w:pPr>
        <w:adjustRightInd w:val="0"/>
        <w:snapToGrid w:val="0"/>
        <w:spacing w:line="360" w:lineRule="auto"/>
        <w:ind w:firstLine="480" w:firstLineChars="200"/>
        <w:rPr>
          <w:bCs/>
          <w:sz w:val="24"/>
        </w:rPr>
      </w:pPr>
      <w:r>
        <w:rPr>
          <w:rFonts w:hint="eastAsia"/>
          <w:bCs/>
          <w:sz w:val="24"/>
        </w:rPr>
        <w:t>7）召集人需要通知的其他事项。</w:t>
      </w:r>
    </w:p>
    <w:p>
      <w:pPr>
        <w:adjustRightInd w:val="0"/>
        <w:snapToGrid w:val="0"/>
        <w:spacing w:line="360" w:lineRule="auto"/>
        <w:ind w:firstLine="480" w:firstLineChars="20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bCs/>
          <w:sz w:val="24"/>
        </w:rPr>
      </w:pPr>
      <w:r>
        <w:rPr>
          <w:bCs/>
          <w:sz w:val="24"/>
        </w:rPr>
        <w:t>4、基金份额持有人出席会议的方式</w:t>
      </w:r>
    </w:p>
    <w:p>
      <w:pPr>
        <w:adjustRightInd w:val="0"/>
        <w:snapToGrid w:val="0"/>
        <w:spacing w:line="360" w:lineRule="auto"/>
        <w:ind w:firstLine="480" w:firstLineChars="200"/>
        <w:rPr>
          <w:bCs/>
          <w:sz w:val="24"/>
        </w:rPr>
      </w:pPr>
      <w:r>
        <w:rPr>
          <w:rFonts w:hint="eastAsia"/>
          <w:bCs/>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bCs/>
          <w:sz w:val="24"/>
        </w:rPr>
      </w:pPr>
      <w:r>
        <w:rPr>
          <w:rFonts w:hint="eastAsia"/>
          <w:bCs/>
          <w:sz w:val="24"/>
        </w:rPr>
        <w:t>在同时符合以下条件时，通讯开会的方式视为有效：</w:t>
      </w:r>
    </w:p>
    <w:p>
      <w:pPr>
        <w:adjustRightInd w:val="0"/>
        <w:snapToGrid w:val="0"/>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adjustRightInd w:val="0"/>
        <w:snapToGrid w:val="0"/>
        <w:spacing w:line="360" w:lineRule="auto"/>
        <w:ind w:firstLine="480" w:firstLineChars="20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rPr>
          <w:bCs/>
          <w:sz w:val="24"/>
        </w:rPr>
      </w:pPr>
      <w:r>
        <w:rPr>
          <w:bCs/>
          <w:sz w:val="24"/>
        </w:rPr>
        <w:t>5、议事内容与程序</w:t>
      </w:r>
    </w:p>
    <w:p>
      <w:pPr>
        <w:adjustRightInd w:val="0"/>
        <w:snapToGrid w:val="0"/>
        <w:spacing w:line="360" w:lineRule="auto"/>
        <w:ind w:firstLine="480" w:firstLineChars="200"/>
        <w:outlineLvl w:val="2"/>
        <w:rPr>
          <w:bCs/>
          <w:sz w:val="24"/>
        </w:rPr>
      </w:pPr>
      <w:r>
        <w:rPr>
          <w:rFonts w:hint="eastAsia"/>
          <w:bCs/>
          <w:sz w:val="24"/>
        </w:rPr>
        <w:t>（1）议事内容及提案权</w:t>
      </w:r>
    </w:p>
    <w:p>
      <w:pPr>
        <w:adjustRightInd w:val="0"/>
        <w:snapToGrid w:val="0"/>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rFonts w:hint="eastAsia"/>
          <w:bCs/>
          <w:sz w:val="24"/>
        </w:rPr>
        <w:t>基金份额持有人大会不得对未事先公告的议事内容进行表决。</w:t>
      </w:r>
    </w:p>
    <w:p>
      <w:pPr>
        <w:adjustRightInd w:val="0"/>
        <w:snapToGrid w:val="0"/>
        <w:spacing w:line="360" w:lineRule="auto"/>
        <w:ind w:firstLine="480" w:firstLineChars="200"/>
        <w:outlineLvl w:val="2"/>
        <w:rPr>
          <w:bCs/>
          <w:sz w:val="24"/>
        </w:rPr>
      </w:pPr>
      <w:r>
        <w:rPr>
          <w:rFonts w:hint="eastAsia"/>
          <w:bCs/>
          <w:sz w:val="24"/>
        </w:rPr>
        <w:t>（2）议事程序</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rPr>
          <w:bCs/>
          <w:sz w:val="24"/>
        </w:rPr>
      </w:pPr>
      <w:r>
        <w:rPr>
          <w:bCs/>
          <w:sz w:val="24"/>
        </w:rPr>
        <w:t>6、表决</w:t>
      </w:r>
    </w:p>
    <w:p>
      <w:pPr>
        <w:adjustRightInd w:val="0"/>
        <w:snapToGrid w:val="0"/>
        <w:spacing w:line="360" w:lineRule="auto"/>
        <w:ind w:firstLine="480" w:firstLineChars="200"/>
        <w:rPr>
          <w:bCs/>
          <w:sz w:val="24"/>
        </w:rPr>
      </w:pPr>
      <w:r>
        <w:rPr>
          <w:rFonts w:hint="eastAsia"/>
          <w:bCs/>
          <w:sz w:val="24"/>
        </w:rPr>
        <w:t>基金份额持有人所持每份基金份额有一票表决权。</w:t>
      </w:r>
    </w:p>
    <w:p>
      <w:pPr>
        <w:adjustRightInd w:val="0"/>
        <w:snapToGrid w:val="0"/>
        <w:spacing w:line="360" w:lineRule="auto"/>
        <w:ind w:firstLine="480" w:firstLineChars="200"/>
        <w:rPr>
          <w:bCs/>
          <w:sz w:val="24"/>
        </w:rPr>
      </w:pPr>
      <w:r>
        <w:rPr>
          <w:rFonts w:hint="eastAsia"/>
          <w:bCs/>
          <w:sz w:val="24"/>
        </w:rPr>
        <w:t>基金份额持有人大会决议分为一般决议和特别决议：</w:t>
      </w:r>
    </w:p>
    <w:p>
      <w:pPr>
        <w:adjustRightInd w:val="0"/>
        <w:snapToGrid w:val="0"/>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bCs/>
          <w:sz w:val="24"/>
        </w:rPr>
      </w:pPr>
      <w:r>
        <w:rPr>
          <w:rFonts w:hint="eastAsia"/>
          <w:bCs/>
          <w:sz w:val="24"/>
        </w:rPr>
        <w:t>基金份额持有人大会采取记名方式进行投票表决。</w:t>
      </w:r>
    </w:p>
    <w:p>
      <w:pPr>
        <w:adjustRightInd w:val="0"/>
        <w:snapToGrid w:val="0"/>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adjustRightInd w:val="0"/>
        <w:snapToGrid w:val="0"/>
        <w:spacing w:line="360" w:lineRule="auto"/>
        <w:ind w:firstLine="480" w:firstLineChars="200"/>
        <w:rPr>
          <w:bCs/>
          <w:sz w:val="24"/>
        </w:rPr>
      </w:pPr>
      <w:r>
        <w:rPr>
          <w:bCs/>
          <w:sz w:val="24"/>
        </w:rPr>
        <w:t>7、计票</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rPr>
          <w:bCs/>
          <w:sz w:val="24"/>
        </w:rPr>
      </w:pPr>
      <w:r>
        <w:rPr>
          <w:bCs/>
          <w:sz w:val="24"/>
        </w:rPr>
        <w:t>8、生效与公告</w:t>
      </w:r>
    </w:p>
    <w:p>
      <w:pPr>
        <w:adjustRightInd w:val="0"/>
        <w:snapToGrid w:val="0"/>
        <w:spacing w:line="360" w:lineRule="auto"/>
        <w:ind w:firstLine="480" w:firstLineChars="200"/>
        <w:rPr>
          <w:bCs/>
          <w:sz w:val="24"/>
        </w:rPr>
      </w:pPr>
      <w:r>
        <w:rPr>
          <w:rFonts w:hint="eastAsia"/>
          <w:bCs/>
          <w:sz w:val="24"/>
        </w:rPr>
        <w:t>基金份额持有人大会的决议，召集人应当自通过之日起5日内报中国证监会备案。</w:t>
      </w:r>
    </w:p>
    <w:p>
      <w:pPr>
        <w:widowControl/>
        <w:adjustRightInd w:val="0"/>
        <w:snapToGrid w:val="0"/>
        <w:spacing w:line="360" w:lineRule="auto"/>
        <w:ind w:firstLine="480" w:firstLineChars="200"/>
        <w:rPr>
          <w:bCs/>
          <w:sz w:val="24"/>
        </w:rPr>
      </w:pPr>
      <w:r>
        <w:rPr>
          <w:rFonts w:hint="eastAsia"/>
          <w:bCs/>
          <w:sz w:val="24"/>
        </w:rPr>
        <w:t>基金份额持有人大会的决议自表决通过之日起生效。法律法规另有规定的，从其规定。</w:t>
      </w:r>
    </w:p>
    <w:p>
      <w:pPr>
        <w:widowControl/>
        <w:adjustRightInd w:val="0"/>
        <w:snapToGrid w:val="0"/>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widowControl/>
        <w:adjustRightInd w:val="0"/>
        <w:snapToGrid w:val="0"/>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widowControl/>
        <w:adjustRightInd w:val="0"/>
        <w:snapToGrid w:val="0"/>
        <w:spacing w:line="360" w:lineRule="auto"/>
        <w:ind w:firstLine="480" w:firstLineChars="200"/>
        <w:rPr>
          <w:bCs/>
          <w:sz w:val="24"/>
        </w:rPr>
      </w:pPr>
      <w:r>
        <w:rPr>
          <w:bCs/>
          <w:sz w:val="24"/>
        </w:rPr>
        <w:t>9、</w:t>
      </w:r>
      <w:r>
        <w:rPr>
          <w:rFonts w:hint="eastAsia"/>
          <w:bCs/>
          <w:sz w:val="24"/>
        </w:rPr>
        <w:t>实施侧袋机制期间基金份额持有人大会的特殊约定</w:t>
      </w:r>
    </w:p>
    <w:p>
      <w:pPr>
        <w:widowControl/>
        <w:adjustRightInd w:val="0"/>
        <w:snapToGrid w:val="0"/>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widowControl/>
        <w:adjustRightInd w:val="0"/>
        <w:snapToGrid w:val="0"/>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widowControl/>
        <w:adjustRightInd w:val="0"/>
        <w:snapToGrid w:val="0"/>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widowControl/>
        <w:adjustRightInd w:val="0"/>
        <w:snapToGrid w:val="0"/>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widowControl/>
        <w:adjustRightInd w:val="0"/>
        <w:snapToGrid w:val="0"/>
        <w:spacing w:line="360" w:lineRule="auto"/>
        <w:ind w:firstLine="480" w:firstLineChars="200"/>
        <w:rPr>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widowControl/>
        <w:adjustRightInd w:val="0"/>
        <w:snapToGrid w:val="0"/>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widowControl/>
        <w:adjustRightInd w:val="0"/>
        <w:snapToGrid w:val="0"/>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widowControl/>
        <w:adjustRightInd w:val="0"/>
        <w:snapToGrid w:val="0"/>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widowControl/>
        <w:adjustRightInd w:val="0"/>
        <w:snapToGrid w:val="0"/>
        <w:spacing w:line="360" w:lineRule="auto"/>
        <w:ind w:firstLine="480" w:firstLineChars="200"/>
        <w:rPr>
          <w:bCs/>
          <w:sz w:val="24"/>
        </w:rPr>
      </w:pPr>
      <w:r>
        <w:rPr>
          <w:rFonts w:hint="eastAsia"/>
          <w:bCs/>
          <w:sz w:val="24"/>
        </w:rPr>
        <w:t>同一主侧袋账户内的每份基金份额具有平等的表决权。</w:t>
      </w:r>
    </w:p>
    <w:p>
      <w:pPr>
        <w:widowControl/>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firstLineChars="200"/>
        <w:outlineLvl w:val="1"/>
        <w:rPr>
          <w:b/>
          <w:bCs/>
          <w:sz w:val="24"/>
        </w:rPr>
      </w:pPr>
      <w:r>
        <w:rPr>
          <w:b/>
          <w:bCs/>
          <w:sz w:val="24"/>
        </w:rPr>
        <w:t>（三）基金合同</w:t>
      </w:r>
      <w:r>
        <w:rPr>
          <w:rFonts w:hint="eastAsia"/>
          <w:b/>
          <w:bCs/>
          <w:sz w:val="24"/>
        </w:rPr>
        <w:t>解除和</w:t>
      </w:r>
      <w:r>
        <w:rPr>
          <w:b/>
          <w:bCs/>
          <w:sz w:val="24"/>
        </w:rPr>
        <w:t>终止</w:t>
      </w:r>
      <w:r>
        <w:rPr>
          <w:rFonts w:hint="eastAsia"/>
          <w:b/>
          <w:bCs/>
          <w:sz w:val="24"/>
        </w:rPr>
        <w:t>的事由、程序</w:t>
      </w:r>
    </w:p>
    <w:p>
      <w:pPr>
        <w:adjustRightInd w:val="0"/>
        <w:snapToGrid w:val="0"/>
        <w:spacing w:line="360" w:lineRule="auto"/>
        <w:ind w:firstLine="480" w:firstLineChars="200"/>
        <w:outlineLvl w:val="2"/>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outlineLvl w:val="2"/>
        <w:rPr>
          <w:bCs/>
          <w:sz w:val="24"/>
        </w:rPr>
      </w:pPr>
      <w:r>
        <w:rPr>
          <w:bCs/>
          <w:sz w:val="24"/>
        </w:rPr>
        <w:t>2、《基金合同》的终止事由</w:t>
      </w:r>
    </w:p>
    <w:p>
      <w:pPr>
        <w:adjustRightInd w:val="0"/>
        <w:snapToGrid w:val="0"/>
        <w:spacing w:line="360" w:lineRule="auto"/>
        <w:ind w:firstLine="480" w:firstLineChars="200"/>
        <w:rPr>
          <w:bCs/>
          <w:sz w:val="24"/>
        </w:rPr>
      </w:pPr>
      <w:r>
        <w:rPr>
          <w:rFonts w:hint="eastAsia"/>
          <w:bCs/>
          <w:sz w:val="24"/>
        </w:rPr>
        <w:t>有下列情形之一的，经履行相关程序后，《基金合同》应当终止：</w:t>
      </w:r>
    </w:p>
    <w:p>
      <w:pPr>
        <w:adjustRightInd w:val="0"/>
        <w:snapToGrid w:val="0"/>
        <w:spacing w:line="360" w:lineRule="auto"/>
        <w:ind w:firstLine="480" w:firstLineChars="200"/>
        <w:rPr>
          <w:bCs/>
          <w:sz w:val="24"/>
        </w:rPr>
      </w:pPr>
      <w:r>
        <w:rPr>
          <w:rFonts w:hint="eastAsia"/>
          <w:bCs/>
          <w:sz w:val="24"/>
        </w:rPr>
        <w:t>（1）基金份额持有人大会决定终止的；</w:t>
      </w:r>
    </w:p>
    <w:p>
      <w:pPr>
        <w:adjustRightInd w:val="0"/>
        <w:snapToGrid w:val="0"/>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（3）连续</w:t>
      </w:r>
      <w:r>
        <w:rPr>
          <w:bCs/>
          <w:sz w:val="24"/>
        </w:rPr>
        <w:t>50</w:t>
      </w:r>
      <w:r>
        <w:rPr>
          <w:rFonts w:hint="eastAsia"/>
          <w:bCs/>
          <w:sz w:val="24"/>
        </w:rPr>
        <w:t>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bCs/>
          <w:sz w:val="24"/>
        </w:rPr>
      </w:pPr>
      <w:r>
        <w:rPr>
          <w:rFonts w:hint="eastAsia"/>
          <w:bCs/>
          <w:sz w:val="24"/>
        </w:rPr>
        <w:t>（4）《基金合同》约定的其他情形；</w:t>
      </w:r>
    </w:p>
    <w:p>
      <w:pPr>
        <w:adjustRightInd w:val="0"/>
        <w:snapToGrid w:val="0"/>
        <w:spacing w:line="360" w:lineRule="auto"/>
        <w:ind w:firstLine="480" w:firstLineChars="200"/>
        <w:rPr>
          <w:bCs/>
          <w:sz w:val="24"/>
        </w:rPr>
      </w:pPr>
      <w:r>
        <w:rPr>
          <w:rFonts w:hint="eastAsia"/>
          <w:bCs/>
          <w:sz w:val="24"/>
        </w:rPr>
        <w:t>（5）相关法律法规和中国证监会规定的其他情况。</w:t>
      </w:r>
    </w:p>
    <w:p>
      <w:pPr>
        <w:adjustRightInd w:val="0"/>
        <w:snapToGrid w:val="0"/>
        <w:spacing w:line="360" w:lineRule="auto"/>
        <w:ind w:firstLine="480" w:firstLineChars="200"/>
        <w:outlineLvl w:val="2"/>
        <w:rPr>
          <w:bCs/>
          <w:sz w:val="24"/>
        </w:rPr>
      </w:pPr>
      <w:r>
        <w:rPr>
          <w:rFonts w:hint="eastAsia"/>
          <w:bCs/>
          <w:sz w:val="24"/>
        </w:rPr>
        <w:t>3</w:t>
      </w:r>
      <w:r>
        <w:rPr>
          <w:bCs/>
          <w:sz w:val="24"/>
        </w:rPr>
        <w:t>、基金财产的清算</w:t>
      </w:r>
    </w:p>
    <w:p>
      <w:pPr>
        <w:adjustRightInd w:val="0"/>
        <w:snapToGrid w:val="0"/>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bCs/>
          <w:sz w:val="24"/>
        </w:rPr>
      </w:pPr>
      <w:r>
        <w:rPr>
          <w:rFonts w:hint="eastAsia"/>
          <w:bCs/>
          <w:sz w:val="24"/>
        </w:rPr>
        <w:t>（</w:t>
      </w:r>
      <w:r>
        <w:rPr>
          <w:bCs/>
          <w:sz w:val="24"/>
        </w:rPr>
        <w:t>4</w:t>
      </w:r>
      <w:r>
        <w:rPr>
          <w:rFonts w:hint="eastAsia"/>
          <w:bCs/>
          <w:sz w:val="24"/>
        </w:rPr>
        <w:t>）</w:t>
      </w:r>
      <w:r>
        <w:rPr>
          <w:bCs/>
          <w:sz w:val="24"/>
        </w:rPr>
        <w:t>基金财产清算程序：</w:t>
      </w:r>
    </w:p>
    <w:p>
      <w:pPr>
        <w:adjustRightInd w:val="0"/>
        <w:snapToGrid w:val="0"/>
        <w:spacing w:line="360" w:lineRule="auto"/>
        <w:ind w:firstLine="480" w:firstLineChars="200"/>
        <w:rPr>
          <w:bCs/>
          <w:sz w:val="24"/>
        </w:rPr>
      </w:pPr>
      <w:r>
        <w:rPr>
          <w:rFonts w:hint="eastAsia"/>
          <w:bCs/>
          <w:sz w:val="24"/>
        </w:rPr>
        <w:t>1）《基金合同》终止情形出现时，由基金财产清算小组统一接管基金；</w:t>
      </w:r>
    </w:p>
    <w:p>
      <w:pPr>
        <w:adjustRightInd w:val="0"/>
        <w:snapToGrid w:val="0"/>
        <w:spacing w:line="360" w:lineRule="auto"/>
        <w:ind w:firstLine="480" w:firstLineChars="200"/>
        <w:rPr>
          <w:bCs/>
          <w:sz w:val="24"/>
        </w:rPr>
      </w:pPr>
      <w:r>
        <w:rPr>
          <w:rFonts w:hint="eastAsia"/>
          <w:bCs/>
          <w:sz w:val="24"/>
        </w:rPr>
        <w:t>2）对基金财产和债权债务进行清理和确认；</w:t>
      </w:r>
    </w:p>
    <w:p>
      <w:pPr>
        <w:adjustRightInd w:val="0"/>
        <w:snapToGrid w:val="0"/>
        <w:spacing w:line="360" w:lineRule="auto"/>
        <w:ind w:firstLine="480" w:firstLineChars="200"/>
        <w:rPr>
          <w:bCs/>
          <w:sz w:val="24"/>
        </w:rPr>
      </w:pPr>
      <w:r>
        <w:rPr>
          <w:rFonts w:hint="eastAsia"/>
          <w:bCs/>
          <w:sz w:val="24"/>
        </w:rPr>
        <w:t>3）对基金财产进行估值和变现；</w:t>
      </w:r>
    </w:p>
    <w:p>
      <w:pPr>
        <w:widowControl/>
        <w:adjustRightInd w:val="0"/>
        <w:snapToGrid w:val="0"/>
        <w:spacing w:line="360" w:lineRule="auto"/>
        <w:ind w:firstLine="480" w:firstLineChars="200"/>
        <w:rPr>
          <w:bCs/>
          <w:sz w:val="24"/>
        </w:rPr>
      </w:pPr>
      <w:r>
        <w:rPr>
          <w:rFonts w:hint="eastAsia"/>
          <w:bCs/>
          <w:sz w:val="24"/>
        </w:rPr>
        <w:t>4）制作清算报告；</w:t>
      </w:r>
    </w:p>
    <w:p>
      <w:pPr>
        <w:widowControl/>
        <w:adjustRightInd w:val="0"/>
        <w:snapToGrid w:val="0"/>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adjustRightInd w:val="0"/>
        <w:snapToGrid w:val="0"/>
        <w:spacing w:line="360" w:lineRule="auto"/>
        <w:ind w:firstLine="480" w:firstLineChars="200"/>
        <w:rPr>
          <w:bCs/>
          <w:sz w:val="24"/>
        </w:rPr>
      </w:pPr>
      <w:r>
        <w:rPr>
          <w:rFonts w:hint="eastAsia"/>
          <w:bCs/>
          <w:sz w:val="24"/>
        </w:rPr>
        <w:t>6）将清算报告报中国证监会备案并公告；</w:t>
      </w:r>
    </w:p>
    <w:p>
      <w:pPr>
        <w:adjustRightInd w:val="0"/>
        <w:snapToGrid w:val="0"/>
        <w:spacing w:line="360" w:lineRule="auto"/>
        <w:ind w:firstLine="480" w:firstLineChars="200"/>
        <w:rPr>
          <w:bCs/>
          <w:sz w:val="24"/>
        </w:rPr>
      </w:pPr>
      <w:r>
        <w:rPr>
          <w:rFonts w:hint="eastAsia"/>
          <w:bCs/>
          <w:sz w:val="24"/>
        </w:rPr>
        <w:t>7）对基金剩余财产进行分配。</w:t>
      </w:r>
    </w:p>
    <w:p>
      <w:pPr>
        <w:adjustRightInd w:val="0"/>
        <w:snapToGrid w:val="0"/>
        <w:spacing w:line="360" w:lineRule="auto"/>
        <w:ind w:firstLine="480" w:firstLineChars="200"/>
        <w:rPr>
          <w:bCs/>
          <w:sz w:val="24"/>
        </w:rPr>
      </w:pPr>
      <w:r>
        <w:rPr>
          <w:rFonts w:hint="eastAsia"/>
          <w:bCs/>
          <w:sz w:val="24"/>
        </w:rPr>
        <w:t>（</w:t>
      </w:r>
      <w:r>
        <w:rPr>
          <w:bCs/>
          <w:sz w:val="24"/>
        </w:rPr>
        <w:t>5</w:t>
      </w:r>
      <w:r>
        <w:rPr>
          <w:rFonts w:hint="eastAsia"/>
          <w:bCs/>
          <w:sz w:val="24"/>
        </w:rPr>
        <w:t>）基金财产清算的期限为6个月，但因本基金所持证券的流动性受到限制而不能及时变现的，清算期限相应顺延。</w:t>
      </w:r>
    </w:p>
    <w:p>
      <w:pPr>
        <w:adjustRightInd w:val="0"/>
        <w:snapToGrid w:val="0"/>
        <w:spacing w:line="360" w:lineRule="auto"/>
        <w:ind w:firstLine="480" w:firstLineChars="200"/>
        <w:outlineLvl w:val="2"/>
        <w:rPr>
          <w:bCs/>
          <w:sz w:val="24"/>
        </w:rPr>
      </w:pPr>
      <w:r>
        <w:rPr>
          <w:rFonts w:hint="eastAsia"/>
          <w:bCs/>
          <w:sz w:val="24"/>
        </w:rPr>
        <w:t>4</w:t>
      </w:r>
      <w:r>
        <w:rPr>
          <w:bCs/>
          <w:sz w:val="24"/>
        </w:rPr>
        <w:t>、清算费用</w:t>
      </w:r>
    </w:p>
    <w:p>
      <w:pPr>
        <w:adjustRightInd w:val="0"/>
        <w:snapToGrid w:val="0"/>
        <w:spacing w:line="360" w:lineRule="auto"/>
        <w:ind w:firstLine="480" w:firstLineChars="200"/>
        <w:rPr>
          <w:bCs/>
          <w:sz w:val="24"/>
        </w:rPr>
      </w:pPr>
      <w:r>
        <w:rPr>
          <w:rFonts w:hint="eastAsia"/>
          <w:bCs/>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outlineLvl w:val="2"/>
        <w:rPr>
          <w:bCs/>
          <w:sz w:val="24"/>
        </w:rPr>
      </w:pPr>
      <w:r>
        <w:rPr>
          <w:rFonts w:hint="eastAsia"/>
          <w:bCs/>
          <w:sz w:val="24"/>
        </w:rPr>
        <w:t>5</w:t>
      </w:r>
      <w:r>
        <w:rPr>
          <w:bCs/>
          <w:sz w:val="24"/>
        </w:rPr>
        <w:t>、基金财产清算剩余资产的分配</w:t>
      </w:r>
    </w:p>
    <w:p>
      <w:pPr>
        <w:adjustRightInd w:val="0"/>
        <w:snapToGrid w:val="0"/>
        <w:spacing w:line="360" w:lineRule="auto"/>
        <w:ind w:firstLine="480" w:firstLineChars="20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0" w:firstLineChars="200"/>
        <w:outlineLvl w:val="2"/>
        <w:rPr>
          <w:bCs/>
          <w:sz w:val="24"/>
        </w:rPr>
      </w:pPr>
      <w:r>
        <w:rPr>
          <w:rFonts w:hint="eastAsia"/>
          <w:bCs/>
          <w:sz w:val="24"/>
        </w:rPr>
        <w:t>6</w:t>
      </w:r>
      <w:r>
        <w:rPr>
          <w:bCs/>
          <w:sz w:val="24"/>
        </w:rPr>
        <w:t>、基金财产清算的公告</w:t>
      </w:r>
    </w:p>
    <w:p>
      <w:pPr>
        <w:adjustRightInd w:val="0"/>
        <w:snapToGrid w:val="0"/>
        <w:spacing w:line="360" w:lineRule="auto"/>
        <w:ind w:firstLine="480" w:firstLineChars="200"/>
        <w:rPr>
          <w:bCs/>
          <w:sz w:val="24"/>
        </w:rPr>
      </w:pPr>
      <w:r>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outlineLvl w:val="2"/>
        <w:rPr>
          <w:bCs/>
          <w:sz w:val="24"/>
        </w:rPr>
      </w:pPr>
      <w:r>
        <w:rPr>
          <w:rFonts w:hint="eastAsia"/>
          <w:bCs/>
          <w:sz w:val="24"/>
        </w:rPr>
        <w:t>7</w:t>
      </w:r>
      <w:r>
        <w:rPr>
          <w:bCs/>
          <w:sz w:val="24"/>
        </w:rPr>
        <w:t>、基金财产清算账册及文件的保存</w:t>
      </w:r>
    </w:p>
    <w:p>
      <w:pPr>
        <w:adjustRightInd w:val="0"/>
        <w:snapToGrid w:val="0"/>
        <w:spacing w:line="360" w:lineRule="auto"/>
        <w:ind w:firstLine="480" w:firstLineChars="200"/>
        <w:rPr>
          <w:bCs/>
          <w:sz w:val="24"/>
        </w:rPr>
      </w:pPr>
      <w:r>
        <w:rPr>
          <w:rFonts w:hint="eastAsia"/>
          <w:bCs/>
          <w:sz w:val="24"/>
        </w:rPr>
        <w:t>基金财产清算账册及有关文件由基金托管人保存不低于法律法规规定的最低期限。</w:t>
      </w:r>
    </w:p>
    <w:p>
      <w:pPr>
        <w:adjustRightInd w:val="0"/>
        <w:snapToGrid w:val="0"/>
        <w:spacing w:line="360" w:lineRule="auto"/>
        <w:ind w:firstLine="482" w:firstLineChars="200"/>
        <w:outlineLvl w:val="1"/>
        <w:rPr>
          <w:b/>
          <w:bCs/>
          <w:sz w:val="24"/>
        </w:rPr>
      </w:pPr>
      <w:r>
        <w:rPr>
          <w:b/>
          <w:bCs/>
          <w:sz w:val="24"/>
        </w:rPr>
        <w:t>（四）争议</w:t>
      </w:r>
      <w:r>
        <w:rPr>
          <w:rFonts w:hint="eastAsia"/>
          <w:b/>
          <w:bCs/>
          <w:sz w:val="24"/>
        </w:rPr>
        <w:t>解决方式</w:t>
      </w:r>
    </w:p>
    <w:p>
      <w:pPr>
        <w:widowControl/>
        <w:adjustRightInd w:val="0"/>
        <w:snapToGrid w:val="0"/>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pPr>
        <w:widowControl/>
        <w:adjustRightInd w:val="0"/>
        <w:snapToGrid w:val="0"/>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widowControl/>
        <w:adjustRightInd w:val="0"/>
        <w:snapToGrid w:val="0"/>
        <w:spacing w:line="360" w:lineRule="auto"/>
        <w:ind w:firstLine="480" w:firstLineChars="200"/>
        <w:rPr>
          <w:bCs/>
          <w:sz w:val="24"/>
        </w:rPr>
      </w:pPr>
      <w:r>
        <w:rPr>
          <w:rFonts w:hint="eastAsia"/>
          <w:bCs/>
          <w:sz w:val="24"/>
        </w:rPr>
        <w:t>《基金合同》受中国法律（不含港澳台地区法律）管辖。</w:t>
      </w:r>
    </w:p>
    <w:p>
      <w:pPr>
        <w:adjustRightInd w:val="0"/>
        <w:snapToGrid w:val="0"/>
        <w:spacing w:line="360" w:lineRule="auto"/>
        <w:ind w:firstLine="482" w:firstLineChars="200"/>
        <w:outlineLvl w:val="1"/>
        <w:rPr>
          <w:b/>
          <w:bCs/>
          <w:sz w:val="24"/>
        </w:rPr>
      </w:pPr>
      <w:bookmarkStart w:id="92" w:name="_Toc523711688"/>
      <w:r>
        <w:rPr>
          <w:b/>
          <w:bCs/>
          <w:sz w:val="24"/>
        </w:rPr>
        <w:t>（五）基金合同存放地和投资者取得基金合同的方式</w:t>
      </w:r>
    </w:p>
    <w:bookmarkEnd w:id="92"/>
    <w:p>
      <w:pPr>
        <w:widowControl/>
        <w:adjustRightInd w:val="0"/>
        <w:snapToGrid w:val="0"/>
        <w:spacing w:line="360" w:lineRule="auto"/>
        <w:ind w:firstLine="480" w:firstLineChars="200"/>
        <w:rPr>
          <w:bCs/>
          <w:sz w:val="24"/>
        </w:rPr>
      </w:pPr>
      <w:r>
        <w:rPr>
          <w:rFonts w:hint="eastAsia"/>
          <w:bCs/>
          <w:sz w:val="24"/>
        </w:rPr>
        <w:t>《基金合同》正本一式三份，除上报有关监管机构一式一份外，基金管理人、基金托管人各持有一份，每份具有同等的法律效力。</w:t>
      </w:r>
    </w:p>
    <w:p>
      <w:pPr>
        <w:widowControl/>
        <w:adjustRightInd w:val="0"/>
        <w:snapToGrid w:val="0"/>
        <w:spacing w:line="360" w:lineRule="auto"/>
        <w:ind w:firstLine="480" w:firstLineChars="200"/>
        <w:rPr>
          <w:bCs/>
          <w:sz w:val="24"/>
        </w:rPr>
      </w:pPr>
      <w:r>
        <w:rPr>
          <w:rFonts w:hint="eastAsia"/>
          <w:bCs/>
          <w:sz w:val="24"/>
        </w:rPr>
        <w:t>《基金合同》可印制成册，供投资者在基金管理人、基金托管人、销售机构的办公场所和营业场所查阅，但应以《基金合同》正本为准。</w:t>
      </w:r>
    </w:p>
    <w:p>
      <w:pPr>
        <w:adjustRightInd w:val="0"/>
        <w:snapToGrid w:val="0"/>
        <w:spacing w:line="360" w:lineRule="auto"/>
        <w:ind w:firstLine="480" w:firstLineChars="200"/>
        <w:rPr>
          <w:rFonts w:ascii="宋体" w:hAnsi="宋体"/>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3" w:name="_Toc62202558"/>
      <w:r>
        <w:rPr>
          <w:rFonts w:hint="eastAsia" w:ascii="宋体" w:hAnsi="宋体"/>
          <w:b/>
          <w:kern w:val="0"/>
          <w:sz w:val="30"/>
        </w:rPr>
        <w:t>二十、托管协议的内容摘要</w:t>
      </w:r>
      <w:bookmarkEnd w:id="93"/>
    </w:p>
    <w:p>
      <w:pPr>
        <w:adjustRightInd w:val="0"/>
        <w:snapToGrid w:val="0"/>
        <w:spacing w:line="360" w:lineRule="auto"/>
        <w:ind w:firstLine="482" w:firstLineChars="200"/>
        <w:outlineLvl w:val="1"/>
        <w:rPr>
          <w:b/>
          <w:bCs/>
          <w:sz w:val="24"/>
        </w:rPr>
      </w:pPr>
      <w:r>
        <w:rPr>
          <w:rFonts w:hint="eastAsia"/>
          <w:b/>
          <w:bCs/>
          <w:sz w:val="24"/>
        </w:rPr>
        <w:t>（</w:t>
      </w:r>
      <w:r>
        <w:rPr>
          <w:b/>
          <w:bCs/>
          <w:sz w:val="24"/>
        </w:rPr>
        <w:t>一</w:t>
      </w:r>
      <w:r>
        <w:rPr>
          <w:rFonts w:hint="eastAsia"/>
          <w:b/>
          <w:bCs/>
          <w:sz w:val="24"/>
        </w:rPr>
        <w:t>）</w:t>
      </w:r>
      <w:r>
        <w:rPr>
          <w:b/>
          <w:bCs/>
          <w:sz w:val="24"/>
        </w:rPr>
        <w:t>托管协议当事人</w:t>
      </w:r>
    </w:p>
    <w:p>
      <w:pPr>
        <w:widowControl/>
        <w:adjustRightInd w:val="0"/>
        <w:snapToGrid w:val="0"/>
        <w:spacing w:line="360" w:lineRule="auto"/>
        <w:ind w:firstLine="480" w:firstLineChars="200"/>
        <w:outlineLvl w:val="2"/>
        <w:rPr>
          <w:kern w:val="0"/>
          <w:sz w:val="24"/>
        </w:rPr>
      </w:pPr>
      <w:r>
        <w:rPr>
          <w:kern w:val="0"/>
          <w:sz w:val="24"/>
        </w:rPr>
        <w:t>1</w:t>
      </w:r>
      <w:r>
        <w:rPr>
          <w:rFonts w:hAnsi="宋体"/>
          <w:kern w:val="0"/>
          <w:sz w:val="24"/>
        </w:rPr>
        <w:t>、基金管理人</w:t>
      </w:r>
    </w:p>
    <w:p>
      <w:pPr>
        <w:widowControl/>
        <w:adjustRightInd w:val="0"/>
        <w:snapToGrid w:val="0"/>
        <w:spacing w:line="360" w:lineRule="auto"/>
        <w:ind w:firstLine="480" w:firstLineChars="200"/>
        <w:rPr>
          <w:bCs/>
          <w:sz w:val="24"/>
        </w:rPr>
      </w:pPr>
      <w:r>
        <w:rPr>
          <w:rFonts w:hint="eastAsia"/>
          <w:bCs/>
          <w:sz w:val="24"/>
        </w:rPr>
        <w:t>名称：交银施罗德基金管理有限公司</w:t>
      </w:r>
    </w:p>
    <w:p>
      <w:pPr>
        <w:widowControl/>
        <w:adjustRightInd w:val="0"/>
        <w:snapToGrid w:val="0"/>
        <w:spacing w:line="360" w:lineRule="auto"/>
        <w:ind w:firstLine="480" w:firstLineChars="200"/>
        <w:rPr>
          <w:bCs/>
          <w:sz w:val="24"/>
        </w:rPr>
      </w:pPr>
      <w:r>
        <w:rPr>
          <w:rFonts w:hint="eastAsia"/>
          <w:bCs/>
          <w:sz w:val="24"/>
        </w:rPr>
        <w:t>住所：中国（上海）自由贸易试验区银城中路188号交通银行大楼二层（裙）</w:t>
      </w:r>
    </w:p>
    <w:p>
      <w:pPr>
        <w:widowControl/>
        <w:adjustRightInd w:val="0"/>
        <w:snapToGrid w:val="0"/>
        <w:spacing w:line="360" w:lineRule="auto"/>
        <w:ind w:firstLine="480" w:firstLineChars="200"/>
        <w:rPr>
          <w:bCs/>
          <w:sz w:val="24"/>
        </w:rPr>
      </w:pPr>
      <w:r>
        <w:rPr>
          <w:rFonts w:hint="eastAsia"/>
          <w:bCs/>
          <w:sz w:val="24"/>
        </w:rPr>
        <w:t>办公地址：上海市浦东新区世纪大道8号国金中心二期21-22楼</w:t>
      </w:r>
    </w:p>
    <w:p>
      <w:pPr>
        <w:widowControl/>
        <w:adjustRightInd w:val="0"/>
        <w:snapToGrid w:val="0"/>
        <w:spacing w:line="360" w:lineRule="auto"/>
        <w:ind w:firstLine="480" w:firstLineChars="200"/>
        <w:rPr>
          <w:bCs/>
          <w:sz w:val="24"/>
        </w:rPr>
      </w:pPr>
      <w:r>
        <w:rPr>
          <w:rFonts w:hint="eastAsia"/>
          <w:bCs/>
          <w:sz w:val="24"/>
        </w:rPr>
        <w:t>邮政编码：200120</w:t>
      </w:r>
    </w:p>
    <w:p>
      <w:pPr>
        <w:widowControl/>
        <w:adjustRightInd w:val="0"/>
        <w:snapToGrid w:val="0"/>
        <w:spacing w:line="360" w:lineRule="auto"/>
        <w:ind w:firstLine="480" w:firstLineChars="200"/>
        <w:rPr>
          <w:bCs/>
          <w:sz w:val="24"/>
        </w:rPr>
      </w:pPr>
      <w:r>
        <w:rPr>
          <w:rFonts w:hint="eastAsia"/>
          <w:bCs/>
          <w:sz w:val="24"/>
        </w:rPr>
        <w:t>法定代表人：阮红</w:t>
      </w:r>
    </w:p>
    <w:p>
      <w:pPr>
        <w:widowControl/>
        <w:adjustRightInd w:val="0"/>
        <w:snapToGrid w:val="0"/>
        <w:spacing w:line="360" w:lineRule="auto"/>
        <w:ind w:firstLine="480" w:firstLineChars="200"/>
        <w:rPr>
          <w:bCs/>
          <w:sz w:val="24"/>
        </w:rPr>
      </w:pPr>
      <w:r>
        <w:rPr>
          <w:rFonts w:hint="eastAsia"/>
          <w:bCs/>
          <w:sz w:val="24"/>
        </w:rPr>
        <w:t>成立日期：2005年8月4日</w:t>
      </w:r>
    </w:p>
    <w:p>
      <w:pPr>
        <w:widowControl/>
        <w:adjustRightInd w:val="0"/>
        <w:snapToGrid w:val="0"/>
        <w:spacing w:line="360" w:lineRule="auto"/>
        <w:ind w:firstLine="480" w:firstLineChars="200"/>
        <w:rPr>
          <w:bCs/>
          <w:sz w:val="24"/>
        </w:rPr>
      </w:pPr>
      <w:r>
        <w:rPr>
          <w:rFonts w:hint="eastAsia"/>
          <w:bCs/>
          <w:sz w:val="24"/>
        </w:rPr>
        <w:t>批准设立机关及批准设立文号：中国证监会证监基金字[2005]128号</w:t>
      </w:r>
    </w:p>
    <w:p>
      <w:pPr>
        <w:widowControl/>
        <w:adjustRightInd w:val="0"/>
        <w:snapToGrid w:val="0"/>
        <w:spacing w:line="360" w:lineRule="auto"/>
        <w:ind w:firstLine="480" w:firstLineChars="200"/>
        <w:rPr>
          <w:bCs/>
          <w:sz w:val="24"/>
        </w:rPr>
      </w:pPr>
      <w:r>
        <w:rPr>
          <w:rFonts w:hint="eastAsia"/>
          <w:bCs/>
          <w:sz w:val="24"/>
        </w:rPr>
        <w:t>组织形式：有限责任公司</w:t>
      </w:r>
    </w:p>
    <w:p>
      <w:pPr>
        <w:widowControl/>
        <w:adjustRightInd w:val="0"/>
        <w:snapToGrid w:val="0"/>
        <w:spacing w:line="360" w:lineRule="auto"/>
        <w:ind w:firstLine="480" w:firstLineChars="200"/>
        <w:rPr>
          <w:bCs/>
          <w:sz w:val="24"/>
        </w:rPr>
      </w:pPr>
      <w:r>
        <w:rPr>
          <w:rFonts w:hint="eastAsia"/>
          <w:bCs/>
          <w:sz w:val="24"/>
        </w:rPr>
        <w:t>注册资本：2亿元人民币</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outlineLvl w:val="2"/>
        <w:rPr>
          <w:kern w:val="0"/>
          <w:sz w:val="24"/>
        </w:rPr>
      </w:pPr>
      <w:r>
        <w:rPr>
          <w:kern w:val="0"/>
          <w:sz w:val="24"/>
        </w:rPr>
        <w:t>2</w:t>
      </w:r>
      <w:r>
        <w:rPr>
          <w:rFonts w:hAnsi="宋体"/>
          <w:kern w:val="0"/>
          <w:sz w:val="24"/>
        </w:rPr>
        <w:t>、基金托管人</w:t>
      </w:r>
    </w:p>
    <w:p>
      <w:pPr>
        <w:adjustRightInd w:val="0"/>
        <w:snapToGrid w:val="0"/>
        <w:spacing w:line="360" w:lineRule="auto"/>
        <w:ind w:firstLine="480" w:firstLineChars="200"/>
        <w:rPr>
          <w:bCs/>
          <w:sz w:val="24"/>
        </w:rPr>
      </w:pPr>
      <w:r>
        <w:rPr>
          <w:rFonts w:hint="eastAsia"/>
          <w:bCs/>
          <w:sz w:val="24"/>
        </w:rPr>
        <w:t>名称：中信银行股份有限公司</w:t>
      </w:r>
    </w:p>
    <w:p>
      <w:pPr>
        <w:adjustRightInd w:val="0"/>
        <w:snapToGrid w:val="0"/>
        <w:spacing w:line="360" w:lineRule="auto"/>
        <w:ind w:firstLine="480" w:firstLineChars="200"/>
        <w:rPr>
          <w:bCs/>
          <w:sz w:val="24"/>
        </w:rPr>
      </w:pPr>
      <w:r>
        <w:rPr>
          <w:rFonts w:hint="eastAsia"/>
          <w:bCs/>
          <w:sz w:val="24"/>
        </w:rPr>
        <w:t>住所：北京市朝阳区光华路10号院1号楼</w:t>
      </w:r>
    </w:p>
    <w:p>
      <w:pPr>
        <w:adjustRightInd w:val="0"/>
        <w:snapToGrid w:val="0"/>
        <w:spacing w:line="360" w:lineRule="auto"/>
        <w:ind w:firstLine="480" w:firstLineChars="200"/>
        <w:rPr>
          <w:bCs/>
          <w:sz w:val="24"/>
        </w:rPr>
      </w:pPr>
      <w:r>
        <w:rPr>
          <w:rFonts w:hint="eastAsia"/>
          <w:bCs/>
          <w:sz w:val="24"/>
        </w:rPr>
        <w:t>法定代表人：李庆萍</w:t>
      </w:r>
    </w:p>
    <w:p>
      <w:pPr>
        <w:adjustRightInd w:val="0"/>
        <w:snapToGrid w:val="0"/>
        <w:spacing w:line="360" w:lineRule="auto"/>
        <w:ind w:firstLine="480" w:firstLineChars="200"/>
        <w:rPr>
          <w:bCs/>
          <w:sz w:val="24"/>
        </w:rPr>
      </w:pPr>
      <w:r>
        <w:rPr>
          <w:rFonts w:hint="eastAsia"/>
          <w:bCs/>
          <w:sz w:val="24"/>
        </w:rPr>
        <w:t>成立时间：1987年4月20日</w:t>
      </w:r>
    </w:p>
    <w:p>
      <w:pPr>
        <w:adjustRightInd w:val="0"/>
        <w:snapToGrid w:val="0"/>
        <w:spacing w:line="360" w:lineRule="auto"/>
        <w:ind w:firstLine="480" w:firstLineChars="200"/>
        <w:rPr>
          <w:bCs/>
          <w:sz w:val="24"/>
        </w:rPr>
      </w:pPr>
      <w:r>
        <w:rPr>
          <w:rFonts w:hint="eastAsia"/>
          <w:bCs/>
          <w:sz w:val="24"/>
        </w:rPr>
        <w:t>批准设立文号：中华人民共和国国务院办公厅国办函[1987]14号</w:t>
      </w:r>
    </w:p>
    <w:p>
      <w:pPr>
        <w:adjustRightInd w:val="0"/>
        <w:snapToGrid w:val="0"/>
        <w:spacing w:line="360" w:lineRule="auto"/>
        <w:ind w:firstLine="480" w:firstLineChars="200"/>
        <w:rPr>
          <w:bCs/>
          <w:sz w:val="24"/>
        </w:rPr>
      </w:pPr>
      <w:r>
        <w:rPr>
          <w:rFonts w:hint="eastAsia"/>
          <w:bCs/>
          <w:sz w:val="24"/>
        </w:rPr>
        <w:t>基金托管业务批准文号：中国证监会证监基金字[2004]125号</w:t>
      </w:r>
    </w:p>
    <w:p>
      <w:pPr>
        <w:adjustRightInd w:val="0"/>
        <w:snapToGrid w:val="0"/>
        <w:spacing w:line="360" w:lineRule="auto"/>
        <w:ind w:firstLine="480" w:firstLineChars="200"/>
        <w:rPr>
          <w:bCs/>
          <w:sz w:val="24"/>
        </w:rPr>
      </w:pPr>
      <w:r>
        <w:rPr>
          <w:rFonts w:hint="eastAsia"/>
          <w:bCs/>
          <w:sz w:val="24"/>
        </w:rPr>
        <w:t>组织形式：股份有限公司</w:t>
      </w:r>
    </w:p>
    <w:p>
      <w:pPr>
        <w:adjustRightInd w:val="0"/>
        <w:snapToGrid w:val="0"/>
        <w:spacing w:line="360" w:lineRule="auto"/>
        <w:ind w:firstLine="480" w:firstLineChars="200"/>
        <w:rPr>
          <w:bCs/>
          <w:sz w:val="24"/>
        </w:rPr>
      </w:pPr>
      <w:r>
        <w:rPr>
          <w:rFonts w:hint="eastAsia"/>
          <w:bCs/>
          <w:sz w:val="24"/>
        </w:rPr>
        <w:t>注册资本：489.35亿元人民币</w:t>
      </w:r>
    </w:p>
    <w:p>
      <w:pPr>
        <w:adjustRightInd w:val="0"/>
        <w:snapToGrid w:val="0"/>
        <w:spacing w:line="360" w:lineRule="auto"/>
        <w:ind w:firstLine="480" w:firstLineChars="200"/>
        <w:rPr>
          <w:bCs/>
          <w:sz w:val="24"/>
        </w:rPr>
      </w:pPr>
      <w:r>
        <w:rPr>
          <w:rFonts w:hint="eastAsia"/>
          <w:bCs/>
          <w:sz w:val="24"/>
        </w:rPr>
        <w:t>存续期间：持续经营</w:t>
      </w:r>
    </w:p>
    <w:p>
      <w:pPr>
        <w:adjustRightInd w:val="0"/>
        <w:snapToGrid w:val="0"/>
        <w:spacing w:line="360" w:lineRule="auto"/>
        <w:ind w:firstLine="480" w:firstLineChars="200"/>
        <w:rPr>
          <w:bCs/>
          <w:sz w:val="24"/>
        </w:rPr>
      </w:pPr>
      <w:r>
        <w:rPr>
          <w:rFonts w:hint="eastAsia"/>
          <w:bCs/>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pPr>
        <w:numPr>
          <w:ilvl w:val="0"/>
          <w:numId w:val="2"/>
        </w:numPr>
        <w:adjustRightInd w:val="0"/>
        <w:snapToGrid w:val="0"/>
        <w:spacing w:line="360" w:lineRule="auto"/>
        <w:ind w:firstLine="482" w:firstLineChars="200"/>
        <w:outlineLvl w:val="1"/>
        <w:rPr>
          <w:b/>
          <w:bCs/>
          <w:sz w:val="24"/>
        </w:rPr>
      </w:pPr>
      <w:r>
        <w:rPr>
          <w:b/>
          <w:bCs/>
          <w:sz w:val="24"/>
        </w:rPr>
        <w:t>基金托管人对基金管理人的业务监督和核查</w:t>
      </w:r>
    </w:p>
    <w:p>
      <w:pPr>
        <w:numPr>
          <w:ilvl w:val="255"/>
          <w:numId w:val="0"/>
        </w:numPr>
        <w:adjustRightInd w:val="0"/>
        <w:snapToGrid w:val="0"/>
        <w:spacing w:line="360" w:lineRule="auto"/>
        <w:ind w:firstLine="480" w:firstLineChars="200"/>
        <w:outlineLvl w:val="1"/>
        <w:rPr>
          <w:b/>
          <w:bCs/>
          <w:sz w:val="24"/>
        </w:rPr>
      </w:pPr>
      <w:r>
        <w:rPr>
          <w:rFonts w:hint="eastAsia" w:ascii="宋体" w:hAnsi="宋体"/>
          <w:sz w:val="24"/>
          <w:szCs w:val="24"/>
        </w:rPr>
        <w:t>1、基金托管人对基金管理人的投资行为行使监督权</w:t>
      </w:r>
    </w:p>
    <w:p>
      <w:pPr>
        <w:adjustRightInd w:val="0"/>
        <w:snapToGrid w:val="0"/>
        <w:spacing w:line="360" w:lineRule="auto"/>
        <w:ind w:firstLine="480" w:firstLineChars="200"/>
        <w:rPr>
          <w:bCs/>
          <w:sz w:val="24"/>
        </w:rPr>
      </w:pPr>
      <w:r>
        <w:rPr>
          <w:rFonts w:hint="eastAsia"/>
          <w:bCs/>
          <w:sz w:val="24"/>
        </w:rPr>
        <w:t>（1）基金托管人根据有关法律法规的规定和基金合同的约定，对下述基金投资范围、投资对象进行监督。本基金将投资于以下金融工具：</w:t>
      </w:r>
    </w:p>
    <w:p>
      <w:pPr>
        <w:adjustRightInd w:val="0"/>
        <w:snapToGrid w:val="0"/>
        <w:spacing w:line="360" w:lineRule="auto"/>
        <w:ind w:firstLine="480" w:firstLineChars="200"/>
        <w:rPr>
          <w:bCs/>
          <w:sz w:val="24"/>
        </w:rPr>
      </w:pPr>
      <w:r>
        <w:rPr>
          <w:rFonts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adjustRightInd w:val="0"/>
        <w:snapToGrid w:val="0"/>
        <w:spacing w:line="360" w:lineRule="auto"/>
        <w:ind w:firstLine="480" w:firstLineChars="200"/>
        <w:rPr>
          <w:bCs/>
          <w:sz w:val="24"/>
        </w:rPr>
      </w:pPr>
      <w:r>
        <w:rPr>
          <w:rFonts w:hint="eastAsia"/>
          <w:bCs/>
          <w:sz w:val="24"/>
        </w:rPr>
        <w:t>基金的投资组合比例为：股票投资（含存托凭证）占基金资产的比例为0%-30%（其中投资于港股通标的股票的比例占股票资产的0%-50%），同业存单投资占基金资产的比例不超过20%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0" w:firstLineChars="200"/>
        <w:rPr>
          <w:bCs/>
          <w:sz w:val="24"/>
        </w:rPr>
      </w:pPr>
      <w:r>
        <w:rPr>
          <w:rFonts w:hint="eastAsia"/>
          <w:bCs/>
          <w:sz w:val="24"/>
        </w:rPr>
        <w:t>（2）基金托管人根据有关法律法规的规定及基金合同的约定对下述基金投融资比例进行监督：</w:t>
      </w:r>
    </w:p>
    <w:p>
      <w:pPr>
        <w:adjustRightInd w:val="0"/>
        <w:snapToGrid w:val="0"/>
        <w:spacing w:line="360" w:lineRule="auto"/>
        <w:ind w:firstLine="480" w:firstLineChars="200"/>
        <w:rPr>
          <w:bCs/>
          <w:sz w:val="24"/>
        </w:rPr>
      </w:pPr>
      <w:r>
        <w:rPr>
          <w:rFonts w:hint="eastAsia"/>
          <w:bCs/>
          <w:sz w:val="24"/>
        </w:rPr>
        <w:t>1）股票投资（含存托凭证）占基金资产的比例为0%-30%（其中投资于港股通标的股票的比例占股票资产的0%-50%），同业存单投资占基金资产的比例不超过20%；</w:t>
      </w:r>
    </w:p>
    <w:p>
      <w:pPr>
        <w:adjustRightInd w:val="0"/>
        <w:snapToGrid w:val="0"/>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投资比例合计不低于基金资产净值的5%，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3）本基金持有一家公司发行的证券（同一家公司在内地和香港同时上市的A+H 股合计计算），其市值不超过基金资产净值的10％；</w:t>
      </w:r>
    </w:p>
    <w:p>
      <w:pPr>
        <w:adjustRightInd w:val="0"/>
        <w:snapToGrid w:val="0"/>
        <w:spacing w:line="360" w:lineRule="auto"/>
        <w:ind w:firstLine="480" w:firstLineChars="200"/>
        <w:rPr>
          <w:bCs/>
          <w:sz w:val="24"/>
        </w:rPr>
      </w:pPr>
      <w:r>
        <w:rPr>
          <w:rFonts w:hint="eastAsia"/>
          <w:bCs/>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6）本基金持有的全部资产支持证券，其市值不得超过基金资产净值的20％；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10）基金财产参与股票发行申购，本基金所申报的金额不超过本基金的总资产，本基金所申报的股票数量不超过拟发行股票公司本次发行股票的总量；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11）本基金进入全国银行间同业市场进行债券回购的最长期限为1年，债券回购到期后不得展期；</w:t>
      </w:r>
    </w:p>
    <w:p>
      <w:pPr>
        <w:adjustRightInd w:val="0"/>
        <w:snapToGrid w:val="0"/>
        <w:spacing w:line="360" w:lineRule="auto"/>
        <w:ind w:firstLine="480" w:firstLineChars="200"/>
        <w:rPr>
          <w:bCs/>
          <w:sz w:val="24"/>
        </w:rPr>
      </w:pPr>
      <w:r>
        <w:rPr>
          <w:rFonts w:hint="eastAsia"/>
          <w:bCs/>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14）本基金与私募类证券资管产品及中国证监会认定的其他主体为交易对手开展逆回购交易的，可接受质押品的资质要求应当与基金合同约定的投资范围保持一致；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15）本基金参与股指期货交易，则：</w:t>
      </w:r>
    </w:p>
    <w:p>
      <w:pPr>
        <w:adjustRightInd w:val="0"/>
        <w:snapToGrid w:val="0"/>
        <w:spacing w:line="360" w:lineRule="auto"/>
        <w:ind w:firstLine="480" w:firstLineChars="200"/>
        <w:rPr>
          <w:bCs/>
          <w:sz w:val="24"/>
        </w:rPr>
      </w:pPr>
      <w:r>
        <w:rPr>
          <w:rFonts w:hint="eastAsia"/>
          <w:bCs/>
          <w:sz w:val="24"/>
        </w:rPr>
        <w:t>a.本基金在任何交易日日终，持有的买入股指期货合约价值，不得超过基金资产净值的10%；</w:t>
      </w:r>
    </w:p>
    <w:p>
      <w:pPr>
        <w:adjustRightInd w:val="0"/>
        <w:snapToGrid w:val="0"/>
        <w:spacing w:line="360" w:lineRule="auto"/>
        <w:ind w:firstLine="480" w:firstLineChars="200"/>
        <w:rPr>
          <w:bCs/>
          <w:sz w:val="24"/>
        </w:rPr>
      </w:pPr>
      <w:r>
        <w:rPr>
          <w:rFonts w:hint="eastAsia"/>
          <w:bCs/>
          <w:sz w:val="24"/>
        </w:rPr>
        <w:t>b.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firstLineChars="200"/>
        <w:rPr>
          <w:bCs/>
          <w:sz w:val="24"/>
        </w:rPr>
      </w:pPr>
      <w:r>
        <w:rPr>
          <w:rFonts w:hint="eastAsia"/>
          <w:bCs/>
          <w:sz w:val="24"/>
        </w:rPr>
        <w:t>c.本基金在任何交易日日终，持有的卖出股指期货合约价值不得超过基金持有的股票总市值的20%；</w:t>
      </w:r>
    </w:p>
    <w:p>
      <w:pPr>
        <w:adjustRightInd w:val="0"/>
        <w:snapToGrid w:val="0"/>
        <w:spacing w:line="360" w:lineRule="auto"/>
        <w:ind w:firstLine="480" w:firstLineChars="200"/>
        <w:rPr>
          <w:bCs/>
          <w:sz w:val="24"/>
        </w:rPr>
      </w:pPr>
      <w:r>
        <w:rPr>
          <w:rFonts w:hint="eastAsia"/>
          <w:bCs/>
          <w:sz w:val="24"/>
        </w:rPr>
        <w:t>d.本基金所持有的股票市值和买入、卖出股指期货合约价值，合计（轧差计算）应当符合基金合同关于股票投资比例的有关约定；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rFonts w:hint="eastAsia"/>
          <w:bCs/>
          <w:sz w:val="24"/>
        </w:rPr>
        <w:t>e.本基金在任何交易日内交易（不包括平仓）的股指期货合约的成交金额不得超过上一交易日基金资产净值的20%；</w:t>
      </w:r>
    </w:p>
    <w:p>
      <w:pPr>
        <w:adjustRightInd w:val="0"/>
        <w:snapToGrid w:val="0"/>
        <w:spacing w:line="360" w:lineRule="auto"/>
        <w:ind w:firstLine="480" w:firstLineChars="200"/>
        <w:rPr>
          <w:bCs/>
          <w:sz w:val="24"/>
        </w:rPr>
      </w:pPr>
      <w:r>
        <w:rPr>
          <w:rFonts w:hint="eastAsia"/>
          <w:bCs/>
          <w:sz w:val="24"/>
        </w:rPr>
        <w:t>16）本基金资产总值不超过基金资产净值的140%；</w:t>
      </w:r>
    </w:p>
    <w:p>
      <w:pPr>
        <w:adjustRightInd w:val="0"/>
        <w:snapToGrid w:val="0"/>
        <w:spacing w:line="360" w:lineRule="auto"/>
        <w:ind w:firstLine="480" w:firstLineChars="200"/>
        <w:rPr>
          <w:bCs/>
          <w:sz w:val="24"/>
        </w:rPr>
      </w:pPr>
      <w:r>
        <w:rPr>
          <w:rFonts w:hint="eastAsia"/>
          <w:bCs/>
          <w:sz w:val="24"/>
        </w:rPr>
        <w:t>（17）本基金投资存托凭证的比例限制依照境内上市交易的股票执行；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18）法律法规及中国证监会规定的和《基金合同》约定的其他投资限制。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djustRightInd w:val="0"/>
        <w:snapToGrid w:val="0"/>
        <w:spacing w:line="360" w:lineRule="auto"/>
        <w:ind w:firstLine="480" w:firstLineChars="20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adjustRightInd w:val="0"/>
        <w:snapToGrid w:val="0"/>
        <w:spacing w:line="360" w:lineRule="auto"/>
        <w:ind w:firstLine="480" w:firstLineChars="200"/>
        <w:rPr>
          <w:bCs/>
          <w:sz w:val="24"/>
        </w:rPr>
      </w:pPr>
      <w:r>
        <w:rPr>
          <w:rFonts w:hint="eastAsia"/>
          <w:bCs/>
          <w:sz w:val="24"/>
        </w:rPr>
        <w:t>（3）基金托管人根据有关法律法规的规定及基金合同的约定对下述基金投资禁止行为进行监督：</w:t>
      </w:r>
    </w:p>
    <w:p>
      <w:pPr>
        <w:adjustRightInd w:val="0"/>
        <w:snapToGrid w:val="0"/>
        <w:spacing w:line="360" w:lineRule="auto"/>
        <w:ind w:firstLine="480" w:firstLineChars="200"/>
        <w:rPr>
          <w:bCs/>
          <w:sz w:val="24"/>
        </w:rPr>
      </w:pPr>
      <w:r>
        <w:rPr>
          <w:rFonts w:hint="eastAsia"/>
          <w:bCs/>
          <w:sz w:val="24"/>
        </w:rPr>
        <w:t>为维护基金份额持有人的合法权益，基金财产不得用于下列投资或者活动：</w:t>
      </w:r>
    </w:p>
    <w:p>
      <w:pPr>
        <w:adjustRightInd w:val="0"/>
        <w:snapToGrid w:val="0"/>
        <w:spacing w:line="360" w:lineRule="auto"/>
        <w:ind w:firstLine="480" w:firstLineChars="200"/>
        <w:rPr>
          <w:bCs/>
          <w:sz w:val="24"/>
        </w:rPr>
      </w:pPr>
      <w:r>
        <w:rPr>
          <w:rFonts w:hint="eastAsia"/>
          <w:bCs/>
          <w:sz w:val="24"/>
        </w:rPr>
        <w:t>1）承销证券；</w:t>
      </w:r>
    </w:p>
    <w:p>
      <w:pPr>
        <w:adjustRightInd w:val="0"/>
        <w:snapToGrid w:val="0"/>
        <w:spacing w:line="360" w:lineRule="auto"/>
        <w:ind w:firstLine="480" w:firstLineChars="200"/>
        <w:rPr>
          <w:bCs/>
          <w:sz w:val="24"/>
        </w:rPr>
      </w:pPr>
      <w:r>
        <w:rPr>
          <w:rFonts w:hint="eastAsia"/>
          <w:bCs/>
          <w:sz w:val="24"/>
        </w:rPr>
        <w:t>2）违反规定向他人贷款或者提供担保；</w:t>
      </w:r>
    </w:p>
    <w:p>
      <w:pPr>
        <w:adjustRightInd w:val="0"/>
        <w:snapToGrid w:val="0"/>
        <w:spacing w:line="360" w:lineRule="auto"/>
        <w:ind w:firstLine="480" w:firstLineChars="200"/>
        <w:rPr>
          <w:bCs/>
          <w:sz w:val="24"/>
        </w:rPr>
      </w:pPr>
      <w:r>
        <w:rPr>
          <w:rFonts w:hint="eastAsia"/>
          <w:bCs/>
          <w:sz w:val="24"/>
        </w:rPr>
        <w:t>3）从事承担无限责任的投资；</w:t>
      </w:r>
    </w:p>
    <w:p>
      <w:pPr>
        <w:adjustRightInd w:val="0"/>
        <w:snapToGrid w:val="0"/>
        <w:spacing w:line="360" w:lineRule="auto"/>
        <w:ind w:firstLine="480" w:firstLineChars="200"/>
        <w:rPr>
          <w:bCs/>
          <w:sz w:val="24"/>
        </w:rPr>
      </w:pPr>
      <w:r>
        <w:rPr>
          <w:rFonts w:hint="eastAsia"/>
          <w:bCs/>
          <w:sz w:val="24"/>
        </w:rPr>
        <w:t>4）买卖其他基金份额，但是中国证监会另有规定的除外；</w:t>
      </w:r>
    </w:p>
    <w:p>
      <w:pPr>
        <w:adjustRightInd w:val="0"/>
        <w:snapToGrid w:val="0"/>
        <w:spacing w:line="360" w:lineRule="auto"/>
        <w:ind w:firstLine="480" w:firstLineChars="200"/>
        <w:rPr>
          <w:bCs/>
          <w:sz w:val="24"/>
        </w:rPr>
      </w:pPr>
      <w:r>
        <w:rPr>
          <w:rFonts w:hint="eastAsia"/>
          <w:bCs/>
          <w:sz w:val="24"/>
        </w:rPr>
        <w:t>5）向其基金管理人、基金托管人出资；</w:t>
      </w:r>
    </w:p>
    <w:p>
      <w:pPr>
        <w:adjustRightInd w:val="0"/>
        <w:snapToGrid w:val="0"/>
        <w:spacing w:line="360" w:lineRule="auto"/>
        <w:ind w:firstLine="480" w:firstLineChars="200"/>
        <w:rPr>
          <w:bCs/>
          <w:sz w:val="24"/>
        </w:rPr>
      </w:pPr>
      <w:r>
        <w:rPr>
          <w:rFonts w:hint="eastAsia"/>
          <w:bCs/>
          <w:sz w:val="24"/>
        </w:rPr>
        <w:t>6）从事内幕交易、操纵证券交易价格及其他不正当的证券交易活动；</w:t>
      </w:r>
    </w:p>
    <w:p>
      <w:pPr>
        <w:adjustRightInd w:val="0"/>
        <w:snapToGrid w:val="0"/>
        <w:spacing w:line="360" w:lineRule="auto"/>
        <w:ind w:firstLine="480" w:firstLineChars="200"/>
        <w:rPr>
          <w:bCs/>
          <w:sz w:val="24"/>
        </w:rPr>
      </w:pPr>
      <w:r>
        <w:rPr>
          <w:rFonts w:hint="eastAsia"/>
          <w:bCs/>
          <w:sz w:val="24"/>
        </w:rPr>
        <w:t>7）法律、行政法规和中国证监会规定禁止的其他活动。</w:t>
      </w:r>
    </w:p>
    <w:p>
      <w:pPr>
        <w:adjustRightInd w:val="0"/>
        <w:snapToGrid w:val="0"/>
        <w:spacing w:line="360" w:lineRule="auto"/>
        <w:ind w:firstLine="480" w:firstLineChars="200"/>
        <w:rPr>
          <w:bCs/>
          <w:sz w:val="24"/>
        </w:rPr>
      </w:pPr>
      <w:r>
        <w:rPr>
          <w:rFonts w:hint="eastAsia"/>
          <w:bCs/>
          <w:sz w:val="24"/>
        </w:rPr>
        <w:t>如法律、行政法规或监管部门取消上述规定，如适用于本基金，基金管理人在履行适当程序后，本基金可不受上述规定的限制。</w:t>
      </w:r>
    </w:p>
    <w:p>
      <w:pPr>
        <w:adjustRightInd w:val="0"/>
        <w:snapToGrid w:val="0"/>
        <w:spacing w:line="360" w:lineRule="auto"/>
        <w:ind w:firstLine="480" w:firstLineChars="200"/>
        <w:rPr>
          <w:bCs/>
          <w:sz w:val="24"/>
        </w:rPr>
      </w:pPr>
      <w:r>
        <w:rPr>
          <w:rFonts w:hint="eastAsia"/>
          <w:bCs/>
          <w:sz w:val="24"/>
        </w:rPr>
        <w:t>（4）基金托管人依据有关法律法规的规定和基金合同的约定对于基金关联投资进行监督。</w:t>
      </w:r>
    </w:p>
    <w:p>
      <w:pPr>
        <w:adjustRightInd w:val="0"/>
        <w:snapToGrid w:val="0"/>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firstLineChars="200"/>
        <w:rPr>
          <w:bCs/>
          <w:sz w:val="24"/>
        </w:rPr>
      </w:pPr>
      <w:r>
        <w:rPr>
          <w:rFonts w:hint="eastAsia"/>
          <w:bCs/>
          <w:sz w:val="24"/>
        </w:rPr>
        <w:t>如法律、行政法规或监管部门取消上述规定，如适用于本基金，基金管理人在履行适当程序后，本基金可不受上述规定的限制。</w:t>
      </w:r>
    </w:p>
    <w:p>
      <w:pPr>
        <w:adjustRightInd w:val="0"/>
        <w:snapToGrid w:val="0"/>
        <w:spacing w:line="360" w:lineRule="auto"/>
        <w:ind w:firstLine="480" w:firstLineChars="200"/>
        <w:rPr>
          <w:bCs/>
          <w:sz w:val="24"/>
        </w:rPr>
      </w:pPr>
      <w:r>
        <w:rPr>
          <w:rFonts w:hint="eastAsia"/>
          <w:bCs/>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pPr>
        <w:adjustRightInd w:val="0"/>
        <w:snapToGrid w:val="0"/>
        <w:spacing w:line="360" w:lineRule="auto"/>
        <w:ind w:firstLine="480" w:firstLineChars="200"/>
        <w:rPr>
          <w:bCs/>
          <w:sz w:val="24"/>
        </w:rPr>
      </w:pPr>
      <w:r>
        <w:rPr>
          <w:rFonts w:hint="eastAsia"/>
          <w:bCs/>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pPr>
        <w:adjustRightInd w:val="0"/>
        <w:snapToGrid w:val="0"/>
        <w:spacing w:line="360" w:lineRule="auto"/>
        <w:ind w:firstLine="480" w:firstLineChars="200"/>
        <w:rPr>
          <w:bCs/>
          <w:sz w:val="24"/>
        </w:rPr>
      </w:pPr>
      <w:r>
        <w:rPr>
          <w:rFonts w:hint="eastAsia"/>
          <w:bCs/>
          <w:sz w:val="24"/>
        </w:rPr>
        <w:t>（5）基金托管人依据有关法律法规的规定和基金合同的约定对基金管理人参与银行间债券市场进行监督。</w:t>
      </w:r>
    </w:p>
    <w:p>
      <w:pPr>
        <w:adjustRightInd w:val="0"/>
        <w:snapToGrid w:val="0"/>
        <w:spacing w:line="360" w:lineRule="auto"/>
        <w:ind w:firstLine="480" w:firstLineChars="200"/>
        <w:rPr>
          <w:bCs/>
          <w:sz w:val="24"/>
        </w:rPr>
      </w:pPr>
      <w:r>
        <w:rPr>
          <w:rFonts w:hint="eastAsia"/>
          <w:bCs/>
          <w:sz w:val="24"/>
        </w:rPr>
        <w:t>1）基金托管人依据有关法律法规的规定和基金合同的约定对于基金管理人参与银行间债券市场交易时面临的交易对手资信风险进行监督。</w:t>
      </w:r>
    </w:p>
    <w:p>
      <w:pPr>
        <w:adjustRightInd w:val="0"/>
        <w:snapToGrid w:val="0"/>
        <w:spacing w:line="360" w:lineRule="auto"/>
        <w:ind w:firstLine="480" w:firstLineChars="200"/>
        <w:rPr>
          <w:bCs/>
          <w:sz w:val="24"/>
        </w:rPr>
      </w:pPr>
      <w:r>
        <w:rPr>
          <w:rFonts w:hint="eastAsia"/>
          <w:bCs/>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pPr>
        <w:adjustRightInd w:val="0"/>
        <w:snapToGrid w:val="0"/>
        <w:spacing w:line="360" w:lineRule="auto"/>
        <w:ind w:firstLine="480" w:firstLineChars="200"/>
        <w:rPr>
          <w:bCs/>
          <w:sz w:val="24"/>
        </w:rPr>
      </w:pPr>
      <w:r>
        <w:rPr>
          <w:rFonts w:hint="eastAsia"/>
          <w:bCs/>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pPr>
        <w:adjustRightInd w:val="0"/>
        <w:snapToGrid w:val="0"/>
        <w:spacing w:line="360" w:lineRule="auto"/>
        <w:ind w:firstLine="480" w:firstLineChars="200"/>
        <w:rPr>
          <w:bCs/>
          <w:sz w:val="24"/>
        </w:rPr>
      </w:pPr>
      <w:r>
        <w:rPr>
          <w:rFonts w:hint="eastAsia"/>
          <w:bCs/>
          <w:sz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adjustRightInd w:val="0"/>
        <w:snapToGrid w:val="0"/>
        <w:spacing w:line="360" w:lineRule="auto"/>
        <w:ind w:firstLine="480" w:firstLineChars="200"/>
        <w:rPr>
          <w:bCs/>
          <w:sz w:val="24"/>
        </w:rPr>
      </w:pPr>
      <w:r>
        <w:rPr>
          <w:rFonts w:hint="eastAsia"/>
          <w:bCs/>
          <w:sz w:val="24"/>
        </w:rPr>
        <w:t>（6）基金托管人对基金投资流通受限证券的监督</w:t>
      </w:r>
    </w:p>
    <w:p>
      <w:pPr>
        <w:adjustRightInd w:val="0"/>
        <w:snapToGrid w:val="0"/>
        <w:spacing w:line="360" w:lineRule="auto"/>
        <w:ind w:firstLine="480" w:firstLineChars="200"/>
        <w:rPr>
          <w:bCs/>
          <w:sz w:val="24"/>
        </w:rPr>
      </w:pPr>
      <w:r>
        <w:rPr>
          <w:rFonts w:hint="eastAsia"/>
          <w:bCs/>
          <w:sz w:val="24"/>
        </w:rPr>
        <w:t>1）基金投资流通受限证券，应遵守有关法律法规规定。流通受限证券包括由《上市公司证券发行管理办法》规范的在发行时明确一定期限锁定期的可交易证券，不包括由于发布重大消息或其他原因而临时停牌的证券、已发行未上市证券、回购交易中的质押券等流通受限证券。</w:t>
      </w:r>
    </w:p>
    <w:p>
      <w:pPr>
        <w:adjustRightInd w:val="0"/>
        <w:snapToGrid w:val="0"/>
        <w:spacing w:line="360" w:lineRule="auto"/>
        <w:ind w:firstLine="480" w:firstLineChars="200"/>
        <w:rPr>
          <w:bCs/>
          <w:sz w:val="24"/>
        </w:rPr>
      </w:pPr>
      <w:r>
        <w:rPr>
          <w:rFonts w:hint="eastAsia"/>
          <w:bCs/>
          <w:sz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pPr>
        <w:adjustRightInd w:val="0"/>
        <w:snapToGrid w:val="0"/>
        <w:spacing w:line="360" w:lineRule="auto"/>
        <w:ind w:firstLine="480" w:firstLineChars="200"/>
        <w:rPr>
          <w:bCs/>
          <w:sz w:val="24"/>
        </w:rPr>
      </w:pPr>
      <w:r>
        <w:rPr>
          <w:rFonts w:hint="eastAsia"/>
          <w:bCs/>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adjustRightInd w:val="0"/>
        <w:snapToGrid w:val="0"/>
        <w:spacing w:line="360" w:lineRule="auto"/>
        <w:ind w:firstLine="480" w:firstLineChars="200"/>
        <w:rPr>
          <w:bCs/>
          <w:sz w:val="24"/>
        </w:rPr>
      </w:pPr>
      <w:r>
        <w:rPr>
          <w:rFonts w:hint="eastAsia"/>
          <w:bCs/>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pPr>
        <w:adjustRightInd w:val="0"/>
        <w:snapToGrid w:val="0"/>
        <w:spacing w:line="360" w:lineRule="auto"/>
        <w:ind w:firstLine="480" w:firstLineChars="200"/>
        <w:rPr>
          <w:bCs/>
          <w:sz w:val="24"/>
        </w:rPr>
      </w:pPr>
      <w:r>
        <w:rPr>
          <w:rFonts w:hint="eastAsia"/>
          <w:bCs/>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w:t>
      </w:r>
      <w:r>
        <w:rPr>
          <w:rFonts w:hint="eastAsia"/>
          <w:bCs/>
          <w:sz w:val="24"/>
          <w:lang w:val="zh-CN"/>
        </w:rPr>
        <w:t>因拒绝执行该指令造成基金财产损失的，基金托管人不承担任何责任，但基金托管人未经提前告知基金管理人于合理时间内提供说明的除外。</w:t>
      </w:r>
    </w:p>
    <w:p>
      <w:pPr>
        <w:adjustRightInd w:val="0"/>
        <w:snapToGrid w:val="0"/>
        <w:spacing w:line="360" w:lineRule="auto"/>
        <w:ind w:firstLine="480" w:firstLineChars="200"/>
        <w:rPr>
          <w:bCs/>
          <w:sz w:val="24"/>
        </w:rPr>
      </w:pPr>
      <w:r>
        <w:rPr>
          <w:rFonts w:hint="eastAsia"/>
          <w:bCs/>
          <w:sz w:val="24"/>
        </w:rPr>
        <w:t>如基金管理人和基金托管人无法达成一致，应及时上报中国证监会请求解决。</w:t>
      </w:r>
    </w:p>
    <w:p>
      <w:pPr>
        <w:adjustRightInd w:val="0"/>
        <w:snapToGrid w:val="0"/>
        <w:spacing w:line="360" w:lineRule="auto"/>
        <w:ind w:firstLine="480" w:firstLineChars="200"/>
        <w:rPr>
          <w:bCs/>
          <w:sz w:val="24"/>
        </w:rPr>
      </w:pPr>
      <w:r>
        <w:rPr>
          <w:rFonts w:hint="eastAsia"/>
          <w:bCs/>
          <w:sz w:val="24"/>
        </w:rPr>
        <w:t>（7）基金托管人根据有关法律法规的规定及基金合同的约定，对基金管理人选择存款银行进行监督。</w:t>
      </w:r>
    </w:p>
    <w:p>
      <w:pPr>
        <w:adjustRightInd w:val="0"/>
        <w:snapToGrid w:val="0"/>
        <w:spacing w:line="360" w:lineRule="auto"/>
        <w:ind w:firstLine="480" w:firstLineChars="200"/>
        <w:rPr>
          <w:bCs/>
          <w:sz w:val="24"/>
        </w:rPr>
      </w:pPr>
      <w:r>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pPr>
        <w:adjustRightInd w:val="0"/>
        <w:snapToGrid w:val="0"/>
        <w:spacing w:line="360" w:lineRule="auto"/>
        <w:ind w:firstLine="480" w:firstLineChars="200"/>
        <w:rPr>
          <w:bCs/>
          <w:sz w:val="24"/>
        </w:rPr>
      </w:pPr>
      <w:r>
        <w:rPr>
          <w:rFonts w:hint="eastAsia"/>
          <w:bCs/>
          <w:sz w:val="24"/>
        </w:rPr>
        <w:t>本基金投资银行存款应符合如下规定：</w:t>
      </w:r>
    </w:p>
    <w:p>
      <w:pPr>
        <w:adjustRightInd w:val="0"/>
        <w:snapToGrid w:val="0"/>
        <w:spacing w:line="360" w:lineRule="auto"/>
        <w:ind w:firstLine="480" w:firstLineChars="200"/>
        <w:rPr>
          <w:bCs/>
          <w:sz w:val="24"/>
        </w:rPr>
      </w:pPr>
      <w:r>
        <w:rPr>
          <w:rFonts w:hint="eastAsia"/>
          <w:bCs/>
          <w:sz w:val="24"/>
        </w:rPr>
        <w:t>1）基金管理人、基金托管人应当与存款银行建立定期对账机制，确保基金银行存款业务账目及核算的真实、准确。</w:t>
      </w:r>
    </w:p>
    <w:p>
      <w:pPr>
        <w:adjustRightInd w:val="0"/>
        <w:snapToGrid w:val="0"/>
        <w:spacing w:line="360" w:lineRule="auto"/>
        <w:ind w:firstLine="480" w:firstLineChars="200"/>
        <w:rPr>
          <w:bCs/>
          <w:sz w:val="24"/>
        </w:rPr>
      </w:pPr>
      <w:r>
        <w:rPr>
          <w:rFonts w:hint="eastAsia"/>
          <w:bCs/>
          <w:sz w:val="24"/>
        </w:rPr>
        <w:t>2）基金托管人应加强对基金银行存款业务的监督与核查，严格审查、复核相关协议、账户资料、投资指令、存款证实书等有关文件，切实履行托管职责。</w:t>
      </w:r>
    </w:p>
    <w:p>
      <w:pPr>
        <w:adjustRightInd w:val="0"/>
        <w:snapToGrid w:val="0"/>
        <w:spacing w:line="360" w:lineRule="auto"/>
        <w:ind w:firstLine="480" w:firstLineChars="200"/>
        <w:rPr>
          <w:bCs/>
          <w:sz w:val="24"/>
        </w:rPr>
      </w:pPr>
      <w:r>
        <w:rPr>
          <w:rFonts w:hint="eastAsia"/>
          <w:bCs/>
          <w:sz w:val="24"/>
        </w:rPr>
        <w:t>3）基金管理人与基金托管人在开展基金存款业务时，应严格遵守《基金法》、《运作办法》等有关法律法规，以及国家有关账户管理、利率管理、支付结算等的各项规定。</w:t>
      </w:r>
    </w:p>
    <w:p>
      <w:pPr>
        <w:adjustRightInd w:val="0"/>
        <w:snapToGrid w:val="0"/>
        <w:spacing w:line="360" w:lineRule="auto"/>
        <w:ind w:firstLine="480" w:firstLineChars="200"/>
        <w:rPr>
          <w:bCs/>
          <w:sz w:val="24"/>
        </w:rPr>
      </w:pPr>
      <w:r>
        <w:rPr>
          <w:rFonts w:hint="eastAsia"/>
          <w:bCs/>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pPr>
        <w:adjustRightInd w:val="0"/>
        <w:snapToGrid w:val="0"/>
        <w:spacing w:line="360" w:lineRule="auto"/>
        <w:ind w:firstLine="480" w:firstLineChars="200"/>
        <w:rPr>
          <w:bCs/>
          <w:sz w:val="24"/>
        </w:rPr>
      </w:pPr>
      <w:r>
        <w:rPr>
          <w:rFonts w:hint="eastAsia"/>
          <w:bCs/>
          <w:sz w:val="24"/>
        </w:rPr>
        <w:t>2、基金托管人应根据有关法律法规的规定及基金合同的约定，对基金资产净值计算、基金份额累计净值、基金份额净值计算、应收资金到账、基金费用开支及收入确定、基金收益分配、相关信息披露、基金宣传推介材料中登载基金业绩表现数据等进行监督和核查。</w:t>
      </w:r>
    </w:p>
    <w:p>
      <w:pPr>
        <w:adjustRightInd w:val="0"/>
        <w:snapToGrid w:val="0"/>
        <w:spacing w:line="360" w:lineRule="auto"/>
        <w:ind w:firstLine="480" w:firstLineChars="200"/>
        <w:rPr>
          <w:bCs/>
          <w:sz w:val="24"/>
        </w:rPr>
      </w:pPr>
      <w:r>
        <w:rPr>
          <w:rFonts w:hint="eastAsia"/>
          <w:bCs/>
          <w:sz w:val="24"/>
        </w:rPr>
        <w:t>3、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pPr>
        <w:adjustRightInd w:val="0"/>
        <w:snapToGrid w:val="0"/>
        <w:spacing w:line="360" w:lineRule="auto"/>
        <w:ind w:firstLine="480" w:firstLineChars="200"/>
        <w:rPr>
          <w:bCs/>
          <w:sz w:val="24"/>
        </w:rPr>
      </w:pPr>
      <w:r>
        <w:rPr>
          <w:rFonts w:hint="eastAsia"/>
          <w:bCs/>
          <w:sz w:val="24"/>
        </w:rPr>
        <w:t>在限期内，基金托管人有权随时对通知事项进行复查，督促基金管理人改正。基金管理人对基金托管人通知的违规事项未能在限期内纠正的，基金托管人应报告中国证监会。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0" w:firstLineChars="200"/>
        <w:rPr>
          <w:bCs/>
          <w:sz w:val="24"/>
        </w:rPr>
      </w:pPr>
      <w:r>
        <w:rPr>
          <w:rFonts w:hint="eastAsia"/>
          <w:bCs/>
          <w:sz w:val="24"/>
        </w:rPr>
        <w:t>基金托管人发现基金管理人的投资指令违反关法律法规规定或者违反基金合同约定的，应当拒绝执行，立即通知基金管理人。</w:t>
      </w:r>
    </w:p>
    <w:p>
      <w:pPr>
        <w:adjustRightInd w:val="0"/>
        <w:snapToGrid w:val="0"/>
        <w:spacing w:line="360" w:lineRule="auto"/>
        <w:ind w:firstLine="480" w:firstLineChars="200"/>
        <w:rPr>
          <w:bCs/>
          <w:sz w:val="24"/>
        </w:rPr>
      </w:pPr>
      <w:r>
        <w:rPr>
          <w:rFonts w:hint="eastAsia"/>
          <w:bCs/>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pPr>
        <w:adjustRightInd w:val="0"/>
        <w:snapToGrid w:val="0"/>
        <w:spacing w:line="360" w:lineRule="auto"/>
        <w:ind w:firstLine="480" w:firstLineChars="200"/>
        <w:rPr>
          <w:bCs/>
          <w:sz w:val="24"/>
        </w:rPr>
      </w:pPr>
      <w:r>
        <w:rPr>
          <w:rFonts w:hint="eastAsia"/>
          <w:bCs/>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pPr>
        <w:adjustRightInd w:val="0"/>
        <w:snapToGrid w:val="0"/>
        <w:spacing w:line="360" w:lineRule="auto"/>
        <w:ind w:firstLine="480" w:firstLineChars="200"/>
        <w:rPr>
          <w:bCs/>
          <w:sz w:val="24"/>
        </w:rPr>
      </w:pPr>
      <w:r>
        <w:rPr>
          <w:rFonts w:hint="eastAsia"/>
          <w:bCs/>
          <w:sz w:val="24"/>
        </w:rPr>
        <w:t>基金托管人发现基金管理人有重大违规行为，应立即报告中国证监会，同时通知基金管理人限期纠正。</w:t>
      </w:r>
    </w:p>
    <w:p>
      <w:pPr>
        <w:adjustRightInd w:val="0"/>
        <w:snapToGrid w:val="0"/>
        <w:spacing w:line="360" w:lineRule="auto"/>
        <w:ind w:firstLine="480" w:firstLineChars="200"/>
        <w:rPr>
          <w:bCs/>
          <w:sz w:val="24"/>
        </w:rPr>
      </w:pPr>
      <w:r>
        <w:rPr>
          <w:rFonts w:hint="eastAsia"/>
          <w:bCs/>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adjustRightInd w:val="0"/>
        <w:snapToGrid w:val="0"/>
        <w:spacing w:line="360" w:lineRule="auto"/>
        <w:ind w:firstLine="480" w:firstLineChars="200"/>
        <w:rPr>
          <w:bCs/>
          <w:sz w:val="24"/>
        </w:rPr>
      </w:pPr>
      <w:r>
        <w:rPr>
          <w:rFonts w:hint="eastAsia"/>
          <w:bCs/>
          <w:sz w:val="24"/>
        </w:rPr>
        <w:t>基金管理人应遵守中华人民共和国反洗钱法律法规，不参与涉嫌洗钱、恐怖融资、扩散融资等违法犯罪活动；主动配合基金托管人客户身份识别与尽职调查，提供真实、准确、完整客户资料，遵守反洗钱与反恐怖融资相关管理规定。对具备合理理由怀疑涉嫌洗钱、恐怖融资的客户，基金托管人将按照中国人民银行反洗钱监管规定采取必要管控措施。</w:t>
      </w:r>
    </w:p>
    <w:p>
      <w:pPr>
        <w:adjustRightInd w:val="0"/>
        <w:snapToGrid w:val="0"/>
        <w:spacing w:line="360" w:lineRule="auto"/>
        <w:ind w:firstLine="482" w:firstLineChars="200"/>
        <w:outlineLvl w:val="1"/>
        <w:rPr>
          <w:b/>
          <w:bCs/>
          <w:sz w:val="24"/>
        </w:rPr>
      </w:pPr>
      <w:r>
        <w:rPr>
          <w:b/>
          <w:bCs/>
          <w:sz w:val="24"/>
        </w:rPr>
        <w:t>（三）基金管理人对基金托管人的业务核查</w:t>
      </w:r>
    </w:p>
    <w:p>
      <w:pPr>
        <w:pStyle w:val="63"/>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对基金托管人履行托管职责情况进行核查，核查事项包括但不限于基金托管人安全保管基金财产、开设基金财产的资金账户和证券账户等投资所需账户、复核基金管理人计算的基金资产净值、基金份额累计净值和基金份额净值、根据基金管理人指令办理清算交收、相关信息披露和监督基金投资运作等行为。</w:t>
      </w:r>
    </w:p>
    <w:p>
      <w:pPr>
        <w:pStyle w:val="63"/>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pPr>
        <w:pStyle w:val="63"/>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基金管理人发现基金托管人有重大违规行为，应立即报告中国证监会和银行业监督管理机构，同时通知基金托管人限期纠正。</w:t>
      </w:r>
    </w:p>
    <w:p>
      <w:pPr>
        <w:pStyle w:val="63"/>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基金托管人应积极配合基金管理人的核查行为，包括但不限于：提交相关资料以供基金管理人核查托管财产的完整性和真实性，在规定时间内答复基金管理人并改正。</w:t>
      </w:r>
    </w:p>
    <w:p>
      <w:pPr>
        <w:pStyle w:val="63"/>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adjustRightInd w:val="0"/>
        <w:snapToGrid w:val="0"/>
        <w:spacing w:line="360" w:lineRule="auto"/>
        <w:ind w:firstLine="482" w:firstLineChars="200"/>
        <w:outlineLvl w:val="1"/>
        <w:rPr>
          <w:b/>
          <w:bCs/>
          <w:sz w:val="24"/>
        </w:rPr>
      </w:pPr>
      <w:r>
        <w:rPr>
          <w:b/>
          <w:bCs/>
          <w:sz w:val="24"/>
        </w:rPr>
        <w:t>（四）基金财产保管</w:t>
      </w:r>
    </w:p>
    <w:p>
      <w:pPr>
        <w:adjustRightInd w:val="0"/>
        <w:snapToGrid w:val="0"/>
        <w:spacing w:line="360" w:lineRule="auto"/>
        <w:ind w:firstLine="480" w:firstLineChars="200"/>
        <w:outlineLvl w:val="2"/>
        <w:rPr>
          <w:sz w:val="24"/>
        </w:rPr>
      </w:pPr>
      <w:r>
        <w:rPr>
          <w:sz w:val="24"/>
        </w:rPr>
        <w:t>1</w:t>
      </w:r>
      <w:r>
        <w:rPr>
          <w:rFonts w:hAnsi="宋体"/>
          <w:sz w:val="24"/>
        </w:rPr>
        <w:t>、基金财产保管的原则</w:t>
      </w:r>
    </w:p>
    <w:p>
      <w:pPr>
        <w:adjustRightInd w:val="0"/>
        <w:snapToGrid w:val="0"/>
        <w:spacing w:line="360" w:lineRule="auto"/>
        <w:ind w:firstLine="480" w:firstLineChars="200"/>
        <w:outlineLvl w:val="2"/>
        <w:rPr>
          <w:sz w:val="24"/>
        </w:rPr>
      </w:pPr>
      <w:r>
        <w:rPr>
          <w:rFonts w:hint="eastAsia"/>
          <w:sz w:val="24"/>
        </w:rPr>
        <w:t>（1）基金财产应独立于基金管理人、基金托管人的固有财产。</w:t>
      </w:r>
    </w:p>
    <w:p>
      <w:pPr>
        <w:adjustRightInd w:val="0"/>
        <w:snapToGrid w:val="0"/>
        <w:spacing w:line="360" w:lineRule="auto"/>
        <w:ind w:firstLine="480" w:firstLineChars="200"/>
        <w:outlineLvl w:val="2"/>
        <w:rPr>
          <w:sz w:val="24"/>
        </w:rPr>
      </w:pPr>
      <w:r>
        <w:rPr>
          <w:rFonts w:hint="eastAsia"/>
          <w:sz w:val="24"/>
        </w:rPr>
        <w:t>（2）基金托管人应安全保管基金财产。除依据法律法规规定、基金合同和本托管协议约定及基金管理人的正当指令外，不得自行运用、处分、分配基金的任何财产。</w:t>
      </w:r>
    </w:p>
    <w:p>
      <w:pPr>
        <w:adjustRightInd w:val="0"/>
        <w:snapToGrid w:val="0"/>
        <w:spacing w:line="360" w:lineRule="auto"/>
        <w:ind w:firstLine="480" w:firstLineChars="200"/>
        <w:outlineLvl w:val="2"/>
        <w:rPr>
          <w:sz w:val="24"/>
        </w:rPr>
      </w:pPr>
      <w:r>
        <w:rPr>
          <w:rFonts w:hint="eastAsia"/>
          <w:sz w:val="24"/>
        </w:rPr>
        <w:t>（3）基金托管人按照规定开设基金财产的资金账户和证券账户等投资所需账户。</w:t>
      </w:r>
    </w:p>
    <w:p>
      <w:pPr>
        <w:adjustRightInd w:val="0"/>
        <w:snapToGrid w:val="0"/>
        <w:spacing w:line="360" w:lineRule="auto"/>
        <w:ind w:firstLine="480" w:firstLineChars="200"/>
        <w:outlineLvl w:val="2"/>
        <w:rPr>
          <w:sz w:val="24"/>
        </w:rPr>
      </w:pPr>
      <w:r>
        <w:rPr>
          <w:rFonts w:hint="eastAsia"/>
          <w:sz w:val="24"/>
        </w:rPr>
        <w:t>（4）基金托管人对所托管的不同基金财产分别设置账户，与基金托管人的其他业务和其他基金的托管业务实行严格的分账管理，确保基金财产的完整与独立。</w:t>
      </w:r>
    </w:p>
    <w:p>
      <w:pPr>
        <w:adjustRightInd w:val="0"/>
        <w:snapToGrid w:val="0"/>
        <w:spacing w:line="360" w:lineRule="auto"/>
        <w:ind w:firstLine="480" w:firstLineChars="200"/>
        <w:outlineLvl w:val="2"/>
        <w:rPr>
          <w:sz w:val="24"/>
        </w:rPr>
      </w:pPr>
      <w:r>
        <w:rPr>
          <w:rFonts w:hint="eastAsia"/>
          <w:sz w:val="24"/>
        </w:rPr>
        <w:t>（5）基金托管人根据基金管理人的指令，按照基金合同和本协议的约定保管基金财产，如有特殊情况双方可另行协商解决。</w:t>
      </w:r>
    </w:p>
    <w:p>
      <w:pPr>
        <w:adjustRightInd w:val="0"/>
        <w:snapToGrid w:val="0"/>
        <w:spacing w:line="360" w:lineRule="auto"/>
        <w:ind w:firstLine="480" w:firstLineChars="200"/>
        <w:outlineLvl w:val="2"/>
        <w:rPr>
          <w:sz w:val="24"/>
        </w:rPr>
      </w:pPr>
      <w:r>
        <w:rPr>
          <w:rFonts w:hint="eastAsia"/>
          <w:sz w:val="24"/>
        </w:rPr>
        <w:t>（6）除依据法律法规和基金合同的规定外，基金托管人不得委托第三人托管基金资产。</w:t>
      </w:r>
    </w:p>
    <w:p>
      <w:pPr>
        <w:adjustRightInd w:val="0"/>
        <w:snapToGrid w:val="0"/>
        <w:spacing w:line="360" w:lineRule="auto"/>
        <w:ind w:firstLine="480" w:firstLineChars="200"/>
        <w:outlineLvl w:val="2"/>
        <w:rPr>
          <w:sz w:val="24"/>
        </w:rPr>
      </w:pPr>
      <w:r>
        <w:rPr>
          <w:sz w:val="24"/>
        </w:rPr>
        <w:t>2</w:t>
      </w:r>
      <w:r>
        <w:rPr>
          <w:rFonts w:hAnsi="宋体"/>
          <w:sz w:val="24"/>
        </w:rPr>
        <w:t>、</w:t>
      </w:r>
      <w:r>
        <w:rPr>
          <w:rFonts w:hint="eastAsia" w:ascii="宋体" w:hAnsi="宋体"/>
          <w:color w:val="0D0D0D"/>
          <w:sz w:val="24"/>
          <w:szCs w:val="24"/>
        </w:rPr>
        <w:t>募集资金的验资</w:t>
      </w:r>
    </w:p>
    <w:p>
      <w:pPr>
        <w:adjustRightInd w:val="0"/>
        <w:snapToGrid w:val="0"/>
        <w:spacing w:line="360" w:lineRule="auto"/>
        <w:ind w:firstLine="480"/>
        <w:rPr>
          <w:sz w:val="24"/>
        </w:rPr>
      </w:pPr>
      <w:r>
        <w:rPr>
          <w:rFonts w:hint="eastAsia"/>
          <w:sz w:val="24"/>
        </w:rPr>
        <w:t>基金募集期间募集认购款项应存于基金认购专用账户，该账户由基金管理人或基金管理人委托的登记机构开立并管理。</w:t>
      </w:r>
    </w:p>
    <w:p>
      <w:pPr>
        <w:adjustRightInd w:val="0"/>
        <w:snapToGrid w:val="0"/>
        <w:spacing w:line="360" w:lineRule="auto"/>
        <w:ind w:firstLine="480"/>
        <w:rPr>
          <w:sz w:val="24"/>
        </w:rPr>
      </w:pPr>
      <w:r>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符合《中华人民共和国证券法》规定的会计师事务所进行验资，出具验资报告，出具的验资报告应由参加验资的2名以上（含2名）中国注册会计师签字有效。</w:t>
      </w:r>
    </w:p>
    <w:p>
      <w:pPr>
        <w:adjustRightInd w:val="0"/>
        <w:snapToGrid w:val="0"/>
        <w:spacing w:line="360" w:lineRule="auto"/>
        <w:ind w:firstLine="480"/>
        <w:rPr>
          <w:sz w:val="24"/>
        </w:rPr>
      </w:pPr>
      <w:r>
        <w:rPr>
          <w:rFonts w:hint="eastAsia"/>
          <w:sz w:val="24"/>
        </w:rPr>
        <w:t>若基金募集期限届满，未能达到基金备案条件，由基金管理人按规定办理退款事宜，基金托管人应提供充分协助。</w:t>
      </w:r>
    </w:p>
    <w:p>
      <w:pPr>
        <w:adjustRightInd w:val="0"/>
        <w:snapToGrid w:val="0"/>
        <w:spacing w:line="360" w:lineRule="auto"/>
        <w:ind w:firstLine="480" w:firstLineChars="200"/>
        <w:outlineLvl w:val="2"/>
        <w:rPr>
          <w:sz w:val="24"/>
        </w:rPr>
      </w:pPr>
      <w:r>
        <w:rPr>
          <w:sz w:val="24"/>
        </w:rPr>
        <w:t>3</w:t>
      </w:r>
      <w:r>
        <w:rPr>
          <w:rFonts w:hAnsi="宋体"/>
          <w:sz w:val="24"/>
        </w:rPr>
        <w:t>、</w:t>
      </w:r>
      <w:r>
        <w:rPr>
          <w:rFonts w:hint="eastAsia" w:ascii="宋体" w:hAnsi="宋体"/>
          <w:color w:val="0D0D0D"/>
          <w:sz w:val="24"/>
          <w:szCs w:val="24"/>
        </w:rPr>
        <w:t>基金的银行账户的开立和管理</w:t>
      </w:r>
    </w:p>
    <w:p>
      <w:pPr>
        <w:adjustRightInd w:val="0"/>
        <w:snapToGrid w:val="0"/>
        <w:spacing w:line="360" w:lineRule="auto"/>
        <w:ind w:firstLine="480" w:firstLineChars="200"/>
        <w:rPr>
          <w:rFonts w:ascii="宋体" w:hAnsi="宋体"/>
          <w:sz w:val="24"/>
          <w:szCs w:val="24"/>
        </w:rPr>
      </w:pPr>
      <w:r>
        <w:rPr>
          <w:rFonts w:hint="eastAsia"/>
          <w:sz w:val="24"/>
        </w:rPr>
        <w:t>（1）</w:t>
      </w:r>
      <w:r>
        <w:rPr>
          <w:rFonts w:hint="eastAsia" w:ascii="宋体" w:hAnsi="宋体"/>
          <w:sz w:val="24"/>
          <w:szCs w:val="24"/>
        </w:rPr>
        <w:t>基金托管人以本基金的名义在其营业机构开立基金的银行账户，并根据基金管理人合法合规的指令办理资金收付。本基金的银行预留印鉴由基金托管人刻制、保管和使用。</w:t>
      </w:r>
    </w:p>
    <w:p>
      <w:pPr>
        <w:adjustRightInd w:val="0"/>
        <w:snapToGrid w:val="0"/>
        <w:spacing w:line="360" w:lineRule="auto"/>
        <w:ind w:firstLine="480" w:firstLineChars="200"/>
        <w:rPr>
          <w:rFonts w:ascii="宋体" w:hAnsi="宋体"/>
          <w:sz w:val="24"/>
          <w:szCs w:val="24"/>
        </w:rPr>
      </w:pPr>
      <w:r>
        <w:rPr>
          <w:rFonts w:hint="eastAsia"/>
          <w:sz w:val="24"/>
        </w:rPr>
        <w:t>（2）</w:t>
      </w:r>
      <w:r>
        <w:rPr>
          <w:rFonts w:hint="eastAsia" w:ascii="宋体" w:hAnsi="宋体"/>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pPr>
        <w:adjustRightInd w:val="0"/>
        <w:snapToGrid w:val="0"/>
        <w:spacing w:line="360" w:lineRule="auto"/>
        <w:ind w:firstLine="480" w:firstLineChars="200"/>
        <w:rPr>
          <w:rFonts w:ascii="宋体" w:hAnsi="宋体"/>
          <w:sz w:val="24"/>
          <w:szCs w:val="24"/>
        </w:rPr>
      </w:pPr>
      <w:r>
        <w:rPr>
          <w:rFonts w:hint="eastAsia"/>
          <w:sz w:val="24"/>
        </w:rPr>
        <w:t>（3）</w:t>
      </w:r>
      <w:r>
        <w:rPr>
          <w:rFonts w:hint="eastAsia" w:ascii="宋体" w:hAnsi="宋体"/>
          <w:sz w:val="24"/>
          <w:szCs w:val="24"/>
        </w:rPr>
        <w:t>基金银行账户的开立和管理应符合有关法律法规以及银行业监督管理机构的有关规定。</w:t>
      </w:r>
    </w:p>
    <w:p>
      <w:pPr>
        <w:adjustRightInd w:val="0"/>
        <w:snapToGrid w:val="0"/>
        <w:spacing w:line="360" w:lineRule="auto"/>
        <w:ind w:firstLine="480" w:firstLineChars="200"/>
        <w:outlineLvl w:val="2"/>
        <w:rPr>
          <w:sz w:val="24"/>
        </w:rPr>
      </w:pPr>
      <w:r>
        <w:rPr>
          <w:sz w:val="24"/>
        </w:rPr>
        <w:t>4</w:t>
      </w:r>
      <w:r>
        <w:rPr>
          <w:rFonts w:hAnsi="宋体"/>
          <w:sz w:val="24"/>
        </w:rPr>
        <w:t>、</w:t>
      </w:r>
      <w:r>
        <w:rPr>
          <w:rFonts w:hint="eastAsia" w:ascii="宋体" w:hAnsi="宋体"/>
          <w:color w:val="0D0D0D"/>
          <w:sz w:val="24"/>
          <w:szCs w:val="24"/>
        </w:rPr>
        <w:t>基金证券账户与证券交易资金账户的开设和管理</w:t>
      </w:r>
    </w:p>
    <w:p>
      <w:pPr>
        <w:adjustRightInd w:val="0"/>
        <w:snapToGrid w:val="0"/>
        <w:spacing w:line="360" w:lineRule="auto"/>
        <w:ind w:firstLine="480"/>
        <w:rPr>
          <w:sz w:val="24"/>
        </w:rPr>
      </w:pPr>
      <w:r>
        <w:rPr>
          <w:rFonts w:hint="eastAsia"/>
          <w:sz w:val="24"/>
        </w:rPr>
        <w:t>基金托管人以基金托管人和本基金联名的方式在中国证券登记结算有限责任公司上海分公司/深圳分公司开设证券账户。</w:t>
      </w:r>
    </w:p>
    <w:p>
      <w:pPr>
        <w:adjustRightInd w:val="0"/>
        <w:snapToGrid w:val="0"/>
        <w:spacing w:line="360" w:lineRule="auto"/>
        <w:ind w:firstLine="480"/>
        <w:rPr>
          <w:sz w:val="24"/>
        </w:rPr>
      </w:pPr>
      <w:r>
        <w:rPr>
          <w:rFonts w:hint="eastAsia"/>
          <w:sz w:val="24"/>
        </w:rPr>
        <w:t>基金托管人以基金托管人的名义在中国证券登记结算有限责任公司上海分公司/深圳分公司开立基金证券交易资金账户，用于证券清算。</w:t>
      </w:r>
    </w:p>
    <w:p>
      <w:pPr>
        <w:adjustRightInd w:val="0"/>
        <w:snapToGrid w:val="0"/>
        <w:spacing w:line="360" w:lineRule="auto"/>
        <w:ind w:firstLine="480"/>
        <w:rPr>
          <w:sz w:val="24"/>
        </w:rPr>
      </w:pPr>
      <w:r>
        <w:rPr>
          <w:rFonts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pPr>
        <w:adjustRightInd w:val="0"/>
        <w:snapToGrid w:val="0"/>
        <w:spacing w:line="360" w:lineRule="auto"/>
        <w:ind w:firstLine="480" w:firstLineChars="200"/>
        <w:outlineLvl w:val="2"/>
        <w:rPr>
          <w:sz w:val="24"/>
        </w:rPr>
      </w:pPr>
      <w:r>
        <w:rPr>
          <w:sz w:val="24"/>
        </w:rPr>
        <w:t>5</w:t>
      </w:r>
      <w:r>
        <w:rPr>
          <w:rFonts w:hAnsi="宋体"/>
          <w:sz w:val="24"/>
        </w:rPr>
        <w:t>、</w:t>
      </w:r>
      <w:r>
        <w:rPr>
          <w:rFonts w:hint="eastAsia" w:ascii="宋体" w:hAnsi="宋体"/>
          <w:color w:val="0D0D0D"/>
          <w:sz w:val="24"/>
          <w:szCs w:val="24"/>
        </w:rPr>
        <w:t>债券托管账户的开立和管理</w:t>
      </w:r>
    </w:p>
    <w:p>
      <w:pPr>
        <w:adjustRightInd w:val="0"/>
        <w:snapToGrid w:val="0"/>
        <w:spacing w:line="360" w:lineRule="auto"/>
        <w:ind w:firstLine="480" w:firstLineChars="200"/>
        <w:rPr>
          <w:rFonts w:ascii="宋体" w:hAnsi="宋体"/>
          <w:sz w:val="24"/>
          <w:szCs w:val="24"/>
        </w:rPr>
      </w:pPr>
      <w:r>
        <w:rPr>
          <w:rFonts w:hint="eastAsia"/>
          <w:sz w:val="24"/>
        </w:rPr>
        <w:t>（1）</w:t>
      </w:r>
      <w:r>
        <w:rPr>
          <w:rFonts w:hint="eastAsia" w:ascii="宋体" w:hAnsi="宋体"/>
          <w:sz w:val="24"/>
          <w:szCs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pPr>
        <w:adjustRightInd w:val="0"/>
        <w:snapToGrid w:val="0"/>
        <w:spacing w:line="360" w:lineRule="auto"/>
        <w:ind w:firstLine="480" w:firstLineChars="200"/>
        <w:rPr>
          <w:rFonts w:ascii="宋体" w:hAnsi="宋体"/>
          <w:sz w:val="24"/>
          <w:szCs w:val="24"/>
        </w:rPr>
      </w:pPr>
      <w:r>
        <w:rPr>
          <w:rFonts w:hint="eastAsia"/>
          <w:sz w:val="24"/>
        </w:rPr>
        <w:t>（2）</w:t>
      </w:r>
      <w:r>
        <w:rPr>
          <w:rFonts w:hint="eastAsia" w:ascii="宋体" w:hAnsi="宋体"/>
          <w:sz w:val="24"/>
          <w:szCs w:val="24"/>
        </w:rPr>
        <w:t>基金管理人和基金托管人应一起负责为本基金对外签订全国银行间国债市场回购主协议，正本由基金托管人保管，基金管理人保存副本。</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6、</w:t>
      </w:r>
      <w:r>
        <w:rPr>
          <w:rFonts w:hint="eastAsia" w:ascii="宋体" w:hAnsi="宋体"/>
          <w:color w:val="0D0D0D"/>
          <w:sz w:val="24"/>
          <w:szCs w:val="24"/>
        </w:rPr>
        <w:t>其他账户的开设和管理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w:t>
      </w:r>
    </w:p>
    <w:p>
      <w:pPr>
        <w:numPr>
          <w:ilvl w:val="0"/>
          <w:numId w:val="3"/>
        </w:numPr>
        <w:adjustRightInd w:val="0"/>
        <w:snapToGrid w:val="0"/>
        <w:spacing w:line="360" w:lineRule="auto"/>
        <w:ind w:firstLine="480" w:firstLineChars="200"/>
        <w:outlineLvl w:val="2"/>
        <w:rPr>
          <w:rFonts w:ascii="宋体" w:hAnsi="宋体"/>
          <w:sz w:val="24"/>
          <w:szCs w:val="24"/>
        </w:rPr>
      </w:pPr>
      <w:r>
        <w:rPr>
          <w:rFonts w:hint="eastAsia" w:ascii="宋体" w:hAnsi="宋体"/>
          <w:color w:val="0D0D0D"/>
          <w:sz w:val="24"/>
          <w:szCs w:val="24"/>
        </w:rPr>
        <w:t>基金财产投资的有关实物证券、银行定期存款存单等有价凭证的保管</w:t>
      </w:r>
    </w:p>
    <w:p>
      <w:pPr>
        <w:adjustRightInd w:val="0"/>
        <w:snapToGrid w:val="0"/>
        <w:spacing w:line="360" w:lineRule="auto"/>
        <w:ind w:firstLine="480" w:firstLineChars="200"/>
        <w:rPr>
          <w:rFonts w:ascii="宋体" w:hAnsi="宋体"/>
          <w:sz w:val="24"/>
          <w:szCs w:val="24"/>
        </w:rPr>
      </w:pPr>
      <w:r>
        <w:rPr>
          <w:rFonts w:ascii="宋体" w:hAnsi="宋体"/>
          <w:sz w:val="24"/>
          <w:szCs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r>
        <w:rPr>
          <w:rFonts w:hint="eastAsia" w:ascii="宋体" w:hAnsi="宋体"/>
          <w:sz w:val="24"/>
          <w:szCs w:val="24"/>
        </w:rPr>
        <w:t>。</w:t>
      </w:r>
    </w:p>
    <w:p>
      <w:pPr>
        <w:adjustRightInd w:val="0"/>
        <w:snapToGrid w:val="0"/>
        <w:spacing w:line="360" w:lineRule="auto"/>
        <w:ind w:left="420" w:leftChars="200"/>
        <w:outlineLvl w:val="2"/>
        <w:rPr>
          <w:sz w:val="24"/>
        </w:rPr>
      </w:pPr>
      <w:r>
        <w:rPr>
          <w:rFonts w:hint="eastAsia" w:ascii="宋体" w:hAnsi="宋体"/>
          <w:sz w:val="24"/>
          <w:szCs w:val="24"/>
        </w:rPr>
        <w:t>8</w:t>
      </w:r>
      <w:r>
        <w:rPr>
          <w:rFonts w:hAnsi="宋体"/>
          <w:sz w:val="24"/>
        </w:rPr>
        <w:t>、</w:t>
      </w:r>
      <w:r>
        <w:rPr>
          <w:rFonts w:hint="eastAsia" w:ascii="宋体" w:hAnsi="宋体"/>
          <w:color w:val="0D0D0D"/>
          <w:sz w:val="24"/>
          <w:szCs w:val="24"/>
        </w:rPr>
        <w:t>与基金财产有关的重大合同的保管</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不低于法律法规规定的最低期限。对于无法取得二份以上的正本的，基金管理人应向基金托管人提供加盖授权业务章的合同传真件，未经双方协商或未在合同约定范围内，合同原件不得转移，由基金管理人保管。</w:t>
      </w:r>
    </w:p>
    <w:p>
      <w:pPr>
        <w:adjustRightInd w:val="0"/>
        <w:snapToGrid w:val="0"/>
        <w:spacing w:line="360" w:lineRule="auto"/>
        <w:ind w:firstLine="482" w:firstLineChars="200"/>
        <w:outlineLvl w:val="1"/>
        <w:rPr>
          <w:b/>
          <w:bCs/>
          <w:sz w:val="24"/>
        </w:rPr>
      </w:pPr>
      <w:r>
        <w:rPr>
          <w:b/>
          <w:bCs/>
          <w:sz w:val="24"/>
        </w:rPr>
        <w:t>（五）基金资产净值计算</w:t>
      </w:r>
      <w:r>
        <w:rPr>
          <w:rFonts w:hint="eastAsia"/>
          <w:b/>
          <w:bCs/>
          <w:sz w:val="24"/>
        </w:rPr>
        <w:t>与复核</w:t>
      </w:r>
    </w:p>
    <w:p>
      <w:pPr>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1、基金资产净值的计算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（1）基金资产净值的计算、复核的时间和程序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基金资产净值是指基金资产总值减去基金负债后的价值。各类基金份额的基金份额净值是指每个工作日闭市后，该类基金份额的基金资产净值除以当日该类基金份额的</w:t>
      </w:r>
      <w:r>
        <w:rPr>
          <w:rFonts w:ascii="宋体" w:hAnsi="宋体"/>
          <w:sz w:val="24"/>
          <w:szCs w:val="24"/>
        </w:rPr>
        <w:t>余额数量计算</w:t>
      </w:r>
      <w:r>
        <w:rPr>
          <w:rFonts w:hint="eastAsia" w:ascii="宋体" w:hAnsi="宋体"/>
          <w:sz w:val="24"/>
          <w:szCs w:val="24"/>
        </w:rPr>
        <w:t>。基金份额净值的计算保留到小数点后4位，小数点后第5位四舍五入。基金管理人可以设立大额赎回情形下的净值精度应急调整机制，具体可参见相关公告。</w:t>
      </w:r>
      <w:r>
        <w:rPr>
          <w:rFonts w:ascii="宋体" w:hAnsi="宋体"/>
          <w:sz w:val="24"/>
          <w:szCs w:val="24"/>
        </w:rPr>
        <w:t>国家另有规定的，从其规定。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基金管理人应每个估值日对基金资产估值，</w:t>
      </w:r>
      <w:r>
        <w:rPr>
          <w:rFonts w:ascii="宋体" w:hAnsi="宋体"/>
          <w:sz w:val="24"/>
          <w:szCs w:val="24"/>
        </w:rPr>
        <w:t>但基金管理人根据法律法规或基金合同的规定暂停估值时除外</w:t>
      </w:r>
      <w:r>
        <w:rPr>
          <w:rFonts w:hint="eastAsia" w:ascii="宋体" w:hAnsi="宋体"/>
          <w:sz w:val="24"/>
          <w:szCs w:val="24"/>
        </w:rPr>
        <w:t>。估值原则应符合基金合同及相关法律、法规的规定。基金资产净值和基金份额净值由基金管理人负责计算，基金托管人复核。基金管理人应于每个估值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w:t>
      </w:r>
    </w:p>
    <w:p>
      <w:pPr>
        <w:widowControl/>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2、基金资产估值方法</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（1）估值对象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基金所拥有的股票、债券、资产支持证券、衍生工具和其他投资等持续以公允价值计量的金融资产及负债。</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（2）估值原则</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基金管理人在确定相关金融资产和金融负债的公允价值时，应符合《企业会计准则》、监管部门有关规定。</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3）如经济环境发生重大变化或证券发行人发生影响证券价格的重大事件，使潜在估值调整对前一估值日的基金资产净值的影响在0.25%以上的，应对估值进行调整并确定公允价值。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（3）估值方法</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1）证券交易所上市的有价证券的估值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①</w:t>
      </w:r>
      <w:r>
        <w:rPr>
          <w:rFonts w:ascii="宋体" w:hAnsi="宋体"/>
          <w:sz w:val="24"/>
          <w:szCs w:val="24"/>
        </w:rPr>
        <w:t>交易所上市的有价证券（包括股票等），以其估值日在证券交易所挂牌的市价（收盘价）估值；估值日无交易的，且最近交易日后经济环境未发生重大变化</w:t>
      </w:r>
      <w:r>
        <w:rPr>
          <w:rFonts w:hint="eastAsia" w:ascii="宋体" w:hAnsi="宋体"/>
          <w:sz w:val="24"/>
          <w:szCs w:val="24"/>
        </w:rPr>
        <w:t>或</w:t>
      </w:r>
      <w:r>
        <w:rPr>
          <w:rFonts w:ascii="宋体" w:hAnsi="宋体"/>
          <w:sz w:val="24"/>
          <w:szCs w:val="24"/>
        </w:rPr>
        <w:t>证券发行机构未发生影响证券价格的重大事件的，以最近交易日的市价（收盘价）估值；如最近交易日后经济环境发生了重大变化</w:t>
      </w:r>
      <w:r>
        <w:rPr>
          <w:rFonts w:hint="eastAsia" w:ascii="宋体" w:hAnsi="宋体"/>
          <w:sz w:val="24"/>
          <w:szCs w:val="24"/>
        </w:rPr>
        <w:t>或</w:t>
      </w:r>
      <w:r>
        <w:rPr>
          <w:rFonts w:ascii="宋体" w:hAnsi="宋体"/>
          <w:sz w:val="24"/>
          <w:szCs w:val="24"/>
        </w:rPr>
        <w:t>证券发行机构发生影响证券价格的重大事件的，可参考类似投资品种的现行市价及重大变化因素，调整最近交易市价，确定公允价格</w:t>
      </w:r>
      <w:r>
        <w:rPr>
          <w:rFonts w:hint="eastAsia" w:ascii="宋体" w:hAnsi="宋体"/>
          <w:sz w:val="24"/>
          <w:szCs w:val="24"/>
        </w:rPr>
        <w:t>；</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②</w:t>
      </w:r>
      <w:r>
        <w:rPr>
          <w:rFonts w:ascii="宋体" w:hAnsi="宋体"/>
          <w:sz w:val="24"/>
          <w:szCs w:val="24"/>
        </w:rPr>
        <w:t>交易所上市交易或挂牌转让的固定收益品种</w:t>
      </w:r>
      <w:r>
        <w:rPr>
          <w:rFonts w:hint="eastAsia" w:ascii="宋体" w:hAnsi="宋体"/>
          <w:sz w:val="24"/>
          <w:szCs w:val="24"/>
        </w:rPr>
        <w:t>（另有规定的除外）</w:t>
      </w:r>
      <w:r>
        <w:rPr>
          <w:rFonts w:ascii="宋体" w:hAnsi="宋体"/>
          <w:sz w:val="24"/>
          <w:szCs w:val="24"/>
        </w:rPr>
        <w:t>，选取估值日第三方估值机构提供的相应品种当日的估值净价进行估值</w:t>
      </w:r>
      <w:r>
        <w:rPr>
          <w:rFonts w:hint="eastAsia" w:ascii="宋体" w:hAnsi="宋体"/>
          <w:sz w:val="24"/>
          <w:szCs w:val="24"/>
        </w:rPr>
        <w:t>；</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④交易所上市实行全价交易的债券（可转债除外），选取第三方估值机构提供的估值全价减去估值全价中所含的债券（税后）应收利息得到的净价进行估值；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⑤</w:t>
      </w:r>
      <w:r>
        <w:rPr>
          <w:rFonts w:ascii="宋体" w:hAnsi="宋体"/>
          <w:sz w:val="24"/>
          <w:szCs w:val="24"/>
        </w:rPr>
        <w:t>交易所上市不存在活跃市场的有价证券，采用估值技术确定公允价值。</w:t>
      </w:r>
      <w:r>
        <w:rPr>
          <w:rFonts w:hint="eastAsia" w:ascii="宋体" w:hAnsi="宋体"/>
          <w:sz w:val="24"/>
          <w:szCs w:val="24"/>
        </w:rPr>
        <w:t>交易所市场挂牌转让</w:t>
      </w:r>
      <w:r>
        <w:rPr>
          <w:rFonts w:ascii="宋体" w:hAnsi="宋体"/>
          <w:sz w:val="24"/>
          <w:szCs w:val="24"/>
        </w:rPr>
        <w:t>的资产支持证券，采用估值技术确定公允价值</w:t>
      </w:r>
      <w:r>
        <w:rPr>
          <w:rFonts w:hint="eastAsia" w:ascii="宋体" w:hAnsi="宋体"/>
          <w:sz w:val="24"/>
          <w:szCs w:val="24"/>
        </w:rPr>
        <w:t>；</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⑥</w:t>
      </w:r>
      <w:r>
        <w:rPr>
          <w:rFonts w:ascii="宋体" w:hAnsi="宋体"/>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ascii="宋体" w:hAnsi="宋体"/>
          <w:sz w:val="24"/>
          <w:szCs w:val="24"/>
        </w:rPr>
        <w:t>市场活动</w:t>
      </w:r>
      <w:r>
        <w:rPr>
          <w:rFonts w:ascii="宋体" w:hAnsi="宋体"/>
          <w:sz w:val="24"/>
          <w:szCs w:val="24"/>
        </w:rPr>
        <w:t>或市场活动很少的情况下，应采用估值技术确定其公允价值。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处于未上市期间的有价证券应区分如下情况处理：</w:t>
      </w:r>
    </w:p>
    <w:p>
      <w:pPr>
        <w:widowControl/>
        <w:adjustRightInd w:val="0"/>
        <w:snapToGrid w:val="0"/>
        <w:spacing w:line="360" w:lineRule="auto"/>
        <w:ind w:firstLine="480" w:firstLineChars="200"/>
        <w:rPr>
          <w:rFonts w:ascii="宋体" w:hAnsi="宋体"/>
          <w:sz w:val="24"/>
          <w:szCs w:val="24"/>
        </w:rPr>
      </w:pPr>
      <w:r>
        <w:rPr>
          <w:rFonts w:ascii="宋体" w:hAnsi="宋体"/>
          <w:sz w:val="24"/>
          <w:szCs w:val="24"/>
        </w:rPr>
        <w:t>①送股、转增股、配股和公开增发的新股，按估值日在证券交易所挂牌的同一股票的估值方法估值；该日无交易的，以最近一日的市价（收盘价）估值；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②</w:t>
      </w:r>
      <w:r>
        <w:rPr>
          <w:rFonts w:ascii="宋体" w:hAnsi="宋体"/>
          <w:sz w:val="24"/>
          <w:szCs w:val="24"/>
        </w:rPr>
        <w:t>首次公开发行未上市的股票</w:t>
      </w:r>
      <w:r>
        <w:rPr>
          <w:rFonts w:hint="eastAsia" w:ascii="宋体" w:hAnsi="宋体"/>
          <w:sz w:val="24"/>
          <w:szCs w:val="24"/>
        </w:rPr>
        <w:t>和</w:t>
      </w:r>
      <w:r>
        <w:rPr>
          <w:rFonts w:ascii="宋体" w:hAnsi="宋体"/>
          <w:sz w:val="24"/>
          <w:szCs w:val="24"/>
        </w:rPr>
        <w:t>债券，采用估值技术确定公允价值，在估值技术难以可靠计量公允价值的情况下，按成本估值</w:t>
      </w:r>
      <w:r>
        <w:rPr>
          <w:rFonts w:hint="eastAsia" w:ascii="宋体" w:hAnsi="宋体"/>
          <w:sz w:val="24"/>
          <w:szCs w:val="24"/>
        </w:rPr>
        <w:t>；</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③</w:t>
      </w:r>
      <w:r>
        <w:rPr>
          <w:rFonts w:ascii="宋体" w:hAnsi="宋体"/>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4）本基金投资股指期货合约，一般以估值当日结算价进行估值，估值当日无结算价的，且最近交易日后经济环境未发生重大变化的，采用最近交易日结算价估值。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5）同一证券同时在两个或两个以上市场交易的，按证券所处的市场分别估值。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估值计算中涉及港币对人民币汇率的，将依据下列信息提供机构所提供的汇率为基准：当日中国人民银行或其授权机构公布的人民币汇率中间价。</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6）如有确凿证据表明按上述方法进行估值不能客观反映其公允价值的，基金管理人可根据具体情况与基金托管人商定后，按最能反映公允价值的价格估值。</w:t>
      </w:r>
    </w:p>
    <w:p>
      <w:pPr>
        <w:widowControl/>
        <w:adjustRightInd w:val="0"/>
        <w:snapToGrid w:val="0"/>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）当发生大额申购或赎回情形时，基金管理人可以采用摆动定价机制，以确保基金估值的公平性。</w:t>
      </w:r>
    </w:p>
    <w:p>
      <w:pPr>
        <w:widowControl/>
        <w:adjustRightInd w:val="0"/>
        <w:snapToGrid w:val="0"/>
        <w:spacing w:line="360"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rPr>
        <w:t>）本基金投资存托凭证的估值核算依照境内上市交易的股票执行。</w:t>
      </w:r>
    </w:p>
    <w:p>
      <w:pPr>
        <w:widowControl/>
        <w:adjustRightInd w:val="0"/>
        <w:snapToGrid w:val="0"/>
        <w:spacing w:line="360"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rPr>
        <w:t>）相关法律法规以及监管部门有强制规定的，从其规定。如有新增事项，按国家最新规定估值。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widowControl/>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3、估值错误处理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基金管理人与基金托管人按照过错程度各自承担相应的责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基金管理人或基金托管人按估值方法的第（6）项进行估值的，所造成的误差不作为基金资产估值错误处理。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pPr>
        <w:widowControl/>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4、基金账册的建立</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widowControl/>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5、基金定期报告的编制和复核</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基金财务报表由基金管理人和基金托管人每月分别独立编制。月度报表的编制，应于每月终了后5个工作日内完成。</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在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p>
    <w:p>
      <w:pPr>
        <w:widowControl/>
        <w:adjustRightInd w:val="0"/>
        <w:snapToGrid w:val="0"/>
        <w:spacing w:line="360" w:lineRule="auto"/>
        <w:ind w:firstLine="480" w:firstLineChars="200"/>
        <w:rPr>
          <w:rFonts w:ascii="宋体" w:hAnsi="宋体"/>
          <w:sz w:val="24"/>
          <w:szCs w:val="24"/>
        </w:rPr>
      </w:pPr>
      <w:bookmarkStart w:id="94" w:name="_DV_C270"/>
      <w:r>
        <w:rPr>
          <w:rFonts w:hint="eastAsia" w:ascii="宋体" w:hAnsi="宋体"/>
          <w:sz w:val="24"/>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w:t>
      </w:r>
      <w:bookmarkEnd w:id="94"/>
      <w:r>
        <w:rPr>
          <w:rFonts w:hint="eastAsia" w:ascii="宋体" w:hAnsi="宋体"/>
          <w:sz w:val="24"/>
          <w:szCs w:val="24"/>
        </w:rPr>
        <w:t>复核。基金托管人在复核过程中，发现双方的报表存在不符时，基金管理人和基金托管人应共同查明原因，进行调整，调整以国家有关规定为准。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核对无误后，基金托管人在基金管理人提供的报告上加盖业务印鉴或者出具加盖托管业务部门公章的复核意见书，相关各方各自留存一份。</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基金托管人在对月度报表、季度、中期报告或年度报告复核完毕后，需盖章确认或出具相应的复核确认书，以备有权机构对相关文件审核时提示。</w:t>
      </w:r>
    </w:p>
    <w:p>
      <w:pPr>
        <w:widowControl/>
        <w:adjustRightInd w:val="0"/>
        <w:snapToGrid w:val="0"/>
        <w:spacing w:line="360" w:lineRule="auto"/>
        <w:ind w:firstLine="480" w:firstLineChars="200"/>
        <w:outlineLvl w:val="2"/>
        <w:rPr>
          <w:rFonts w:ascii="宋体" w:hAnsi="宋体"/>
          <w:sz w:val="24"/>
          <w:szCs w:val="24"/>
        </w:rPr>
      </w:pPr>
      <w:r>
        <w:rPr>
          <w:rFonts w:hint="eastAsia" w:ascii="宋体" w:hAnsi="宋体"/>
          <w:sz w:val="24"/>
          <w:szCs w:val="24"/>
        </w:rPr>
        <w:t>6、暂停估值的情形</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1、基金投资所涉及的证券、期货交易市场遇法定节假日或因其他原因暂停营业时；</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2、因不可抗力致使基金管理人、基金托管人无法准确评估基金资产价值时；</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3、当特定资产占前一估值日基金资产净值50%以上的，经与基金托管人协商确认后，基金管理人应当暂停估值；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4、法律法规、中国证监会和基金合同认定的其它情形。</w:t>
      </w:r>
    </w:p>
    <w:p>
      <w:pPr>
        <w:adjustRightInd w:val="0"/>
        <w:snapToGrid w:val="0"/>
        <w:spacing w:line="360" w:lineRule="auto"/>
        <w:ind w:firstLine="482" w:firstLineChars="200"/>
        <w:outlineLvl w:val="1"/>
        <w:rPr>
          <w:b/>
          <w:bCs/>
          <w:sz w:val="24"/>
        </w:rPr>
      </w:pPr>
      <w:r>
        <w:rPr>
          <w:b/>
          <w:bCs/>
          <w:sz w:val="24"/>
        </w:rPr>
        <w:t>（六）基金份额持有人名册的保管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基金管理人和基金托管人须分别妥善保管的基金份额持有人名册，基金份额持有人名册的内容必须包括基金份额持有人的名称和持有的基金份额。</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份额持有人名册由基金的登记机构根据基金管理人的指令编制和保管，基金管理人和基金托管人应按照目前相关规则分别保管基金份额持有人名册。保管方式可以采用电子或文档的形式。保管期限不低于法律法规规定的最低期限。</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若基金管理人或基金托管人由于自身原因无法妥善保管基金份额持有人名册，应按有关法规规定各自承担相应的责任。</w:t>
      </w:r>
    </w:p>
    <w:p>
      <w:pPr>
        <w:adjustRightInd w:val="0"/>
        <w:snapToGrid w:val="0"/>
        <w:spacing w:line="360" w:lineRule="auto"/>
        <w:ind w:firstLine="482" w:firstLineChars="200"/>
        <w:outlineLvl w:val="1"/>
        <w:rPr>
          <w:b/>
          <w:bCs/>
          <w:sz w:val="24"/>
        </w:rPr>
      </w:pPr>
      <w:r>
        <w:rPr>
          <w:b/>
          <w:bCs/>
          <w:sz w:val="24"/>
        </w:rPr>
        <w:t>（七）争议解决方式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双方当事人同意，因本协议而产生的或与本协议有关的一切争议，</w:t>
      </w:r>
      <w:r>
        <w:rPr>
          <w:rFonts w:ascii="宋体" w:hAnsi="宋体"/>
          <w:sz w:val="24"/>
          <w:szCs w:val="24"/>
        </w:rPr>
        <w:t>如经友好协商未能解决的，</w:t>
      </w:r>
      <w:r>
        <w:rPr>
          <w:rFonts w:hint="eastAsia" w:ascii="宋体" w:hAnsi="宋体"/>
          <w:sz w:val="24"/>
          <w:szCs w:val="24"/>
        </w:rPr>
        <w:t>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争议处理期间，双方当事人应恪守基金管理人和基金托管人职责，继续忠实、勤勉、尽责地履行基金合同和托管协议规定的义务，维护基金份额持有人的合法权益。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本协议受中国法律（不含港澳台地区法律）管辖。</w:t>
      </w:r>
    </w:p>
    <w:p>
      <w:pPr>
        <w:adjustRightInd w:val="0"/>
        <w:snapToGrid w:val="0"/>
        <w:spacing w:line="360" w:lineRule="auto"/>
        <w:ind w:firstLine="482" w:firstLineChars="200"/>
        <w:outlineLvl w:val="1"/>
        <w:rPr>
          <w:b/>
          <w:bCs/>
          <w:sz w:val="24"/>
        </w:rPr>
      </w:pPr>
      <w:r>
        <w:rPr>
          <w:b/>
          <w:bCs/>
          <w:sz w:val="24"/>
        </w:rPr>
        <w:t>（八）托管协议的</w:t>
      </w:r>
      <w:r>
        <w:rPr>
          <w:rFonts w:hint="eastAsia"/>
          <w:b/>
          <w:bCs/>
          <w:sz w:val="24"/>
        </w:rPr>
        <w:t>变更</w:t>
      </w:r>
      <w:r>
        <w:rPr>
          <w:b/>
          <w:bCs/>
          <w:sz w:val="24"/>
        </w:rPr>
        <w:t>与终止</w:t>
      </w:r>
    </w:p>
    <w:p>
      <w:pPr>
        <w:widowControl/>
        <w:adjustRightInd w:val="0"/>
        <w:snapToGrid w:val="0"/>
        <w:spacing w:line="360" w:lineRule="auto"/>
        <w:ind w:firstLine="480" w:firstLineChars="200"/>
        <w:outlineLvl w:val="2"/>
        <w:rPr>
          <w:rFonts w:ascii="宋体" w:hAnsi="宋体"/>
          <w:kern w:val="0"/>
          <w:sz w:val="24"/>
        </w:rPr>
      </w:pPr>
      <w:r>
        <w:rPr>
          <w:rFonts w:hint="eastAsia" w:ascii="宋体" w:hAnsi="宋体"/>
          <w:kern w:val="0"/>
          <w:sz w:val="24"/>
        </w:rPr>
        <w:t>1、托管协议的变更与终止</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（1）托管协议的变更程序</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本协议双方当事人经协商一致，可以对协议的内容进行变更。变更后的托管协议，其内容不得与基金合同的规定有任何冲突。本托管协议的变更报中国证监会备案。</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（2）基金托管协议终止的情形</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发生以下情况，本托管协议终止：</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1）基金合同终止；</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2）基金托管人解散、依法被撤销、破产或由其他基金托管人接管基金资产；</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3）基金管理人解散、依法被撤销、破产或由其他基金管理人接管基金管理权；</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4）发生法律法规或基金合同规定的终止事项。</w:t>
      </w:r>
    </w:p>
    <w:p>
      <w:pPr>
        <w:widowControl/>
        <w:adjustRightInd w:val="0"/>
        <w:snapToGrid w:val="0"/>
        <w:spacing w:line="360" w:lineRule="auto"/>
        <w:ind w:firstLine="480" w:firstLineChars="200"/>
        <w:outlineLvl w:val="2"/>
        <w:rPr>
          <w:rFonts w:ascii="宋体" w:hAnsi="宋体"/>
          <w:kern w:val="0"/>
          <w:sz w:val="24"/>
        </w:rPr>
      </w:pPr>
      <w:r>
        <w:rPr>
          <w:rFonts w:hint="eastAsia" w:ascii="宋体" w:hAnsi="宋体"/>
          <w:kern w:val="0"/>
          <w:sz w:val="24"/>
        </w:rPr>
        <w:t>2、基金财产的清算</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（1）基金财产的清算</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1）基金财产清算小组：自出现《基金合同》终止事由之日起30个工作日内成立清算小组，基金管理人组织基金财产清算小组并在中国证监会的监督下进行基金清算。</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3）基金财产清算小组职责：基金财产清算小组负责基金财产的保管、清理、估价、变现和分配。基金财产清算小组可以依法进行必要的民事活动。</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4）基金财产清算程序：</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①《基金合同》终止情形出现时，由基金财产清算小组统一接管基金；</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②对基金财产和债权债务进行清理和确认；</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③对基金财产进行估值和变现；</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④制作清算报告；</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⑤聘请会计师事务所对清算报告进行外部审计，聘请律师事务所对清算报告出具法律意见书；</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⑥将清算报告报中国证监会备案并公告；</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⑦对基金剩余财产进行分配。</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5）基金财产清算的期限为6个月，但因本基金所持证券的流动性受到限制而不能及时变现的，清算期限相应顺延。</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（2）清算费用</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清算费用是指基金财产清算小组在进行基金清算过程中发生的所有合理费用，清算费用由基金财产清算小组优先从基金财产中支付。</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（3）基金财产清算剩余资产的分配</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（4）基金财产清算的公告</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（5）基金财产清算账册及文件的保存</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基金财产清算账册及有关文件由基金托管人保存不低于法律法规规定的最低期限。</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5" w:name="_Toc62202559"/>
      <w:r>
        <w:rPr>
          <w:rFonts w:hint="eastAsia" w:ascii="宋体" w:hAnsi="宋体"/>
          <w:b/>
          <w:kern w:val="0"/>
          <w:sz w:val="30"/>
        </w:rPr>
        <w:t>二十一、对基金份额持有人的服务</w:t>
      </w:r>
      <w:bookmarkEnd w:id="95"/>
    </w:p>
    <w:p>
      <w:pPr>
        <w:widowControl/>
        <w:adjustRightInd w:val="0"/>
        <w:snapToGrid w:val="0"/>
        <w:spacing w:line="360" w:lineRule="auto"/>
        <w:ind w:firstLine="480" w:firstLineChars="20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p>
    <w:p>
      <w:pPr>
        <w:widowControl/>
        <w:adjustRightInd w:val="0"/>
        <w:snapToGrid w:val="0"/>
        <w:spacing w:line="360" w:lineRule="auto"/>
        <w:ind w:firstLine="482" w:firstLineChars="200"/>
        <w:rPr>
          <w:b/>
          <w:kern w:val="0"/>
          <w:sz w:val="24"/>
        </w:rPr>
      </w:pPr>
      <w:r>
        <w:rPr>
          <w:b/>
          <w:kern w:val="0"/>
          <w:sz w:val="24"/>
        </w:rPr>
        <w:t>（一）</w:t>
      </w:r>
      <w:r>
        <w:rPr>
          <w:rFonts w:hint="eastAsia"/>
          <w:b/>
          <w:kern w:val="0"/>
          <w:sz w:val="24"/>
        </w:rPr>
        <w:t>基金募集客户服务相关准备工作</w:t>
      </w:r>
    </w:p>
    <w:p>
      <w:pPr>
        <w:widowControl/>
        <w:adjustRightInd w:val="0"/>
        <w:snapToGrid w:val="0"/>
        <w:spacing w:line="360" w:lineRule="auto"/>
        <w:ind w:firstLine="480" w:firstLineChars="200"/>
        <w:rPr>
          <w:kern w:val="0"/>
          <w:sz w:val="24"/>
        </w:rPr>
      </w:pPr>
      <w:bookmarkStart w:id="96" w:name="_Toc109537400"/>
      <w:r>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6"/>
    <w:p>
      <w:pPr>
        <w:widowControl/>
        <w:adjustRightInd w:val="0"/>
        <w:snapToGrid w:val="0"/>
        <w:spacing w:line="360" w:lineRule="auto"/>
        <w:ind w:firstLine="482" w:firstLineChars="200"/>
        <w:rPr>
          <w:b/>
          <w:kern w:val="0"/>
          <w:sz w:val="24"/>
        </w:rPr>
      </w:pPr>
      <w:r>
        <w:rPr>
          <w:b/>
          <w:kern w:val="0"/>
          <w:sz w:val="24"/>
        </w:rPr>
        <w:t>（二）网上</w:t>
      </w:r>
      <w:r>
        <w:rPr>
          <w:rFonts w:hint="eastAsia"/>
          <w:b/>
          <w:kern w:val="0"/>
          <w:sz w:val="24"/>
        </w:rPr>
        <w:t>直销</w:t>
      </w:r>
      <w:r>
        <w:rPr>
          <w:b/>
          <w:kern w:val="0"/>
          <w:sz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kern w:val="0"/>
          <w:sz w:val="24"/>
        </w:rPr>
      </w:pPr>
      <w:r>
        <w:rPr>
          <w:rFonts w:hAnsi="宋体"/>
          <w:sz w:val="24"/>
        </w:rPr>
        <w:t>在条件成熟的时候，</w:t>
      </w:r>
      <w:r>
        <w:rPr>
          <w:rFonts w:hAnsi="宋体"/>
          <w:kern w:val="0"/>
          <w:sz w:val="24"/>
        </w:rPr>
        <w:t>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rPr>
          <w:b/>
          <w:kern w:val="0"/>
          <w:sz w:val="24"/>
        </w:rPr>
      </w:pPr>
      <w:r>
        <w:rPr>
          <w:b/>
          <w:kern w:val="0"/>
          <w:sz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投资人如果想查询申购和赎回等交易情况、分红方式状态、基金账户余额、基金产品与服务等信息，请拨打本基金管理人客户服务电话（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www.fund001.com</w:t>
      </w:r>
      <w:r>
        <w:rPr>
          <w:rFonts w:hAnsi="宋体"/>
          <w:kern w:val="0"/>
          <w:sz w:val="24"/>
        </w:rPr>
        <w:t>）进行咨询、查询。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widowControl/>
        <w:adjustRightInd w:val="0"/>
        <w:snapToGrid w:val="0"/>
        <w:spacing w:line="360" w:lineRule="auto"/>
        <w:ind w:firstLine="482" w:firstLineChars="200"/>
        <w:rPr>
          <w:b/>
          <w:kern w:val="0"/>
          <w:sz w:val="24"/>
        </w:rPr>
      </w:pPr>
      <w:r>
        <w:rPr>
          <w:b/>
          <w:kern w:val="0"/>
          <w:sz w:val="24"/>
        </w:rPr>
        <w:t>（四）</w:t>
      </w:r>
      <w:r>
        <w:rPr>
          <w:rFonts w:hint="eastAsia"/>
          <w:b/>
          <w:kern w:val="0"/>
          <w:sz w:val="24"/>
        </w:rPr>
        <w:t>基金红利再投资</w:t>
      </w:r>
    </w:p>
    <w:p>
      <w:pPr>
        <w:widowControl/>
        <w:adjustRightInd w:val="0"/>
        <w:snapToGrid w:val="0"/>
        <w:spacing w:line="360" w:lineRule="auto"/>
        <w:ind w:firstLine="480" w:firstLineChars="200"/>
        <w:rPr>
          <w:kern w:val="0"/>
          <w:sz w:val="24"/>
        </w:rPr>
      </w:pPr>
      <w:r>
        <w:rPr>
          <w:rFonts w:hint="eastAsia" w:hAnsi="宋体"/>
          <w:kern w:val="0"/>
          <w:sz w:val="24"/>
        </w:rPr>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pPr>
        <w:widowControl/>
        <w:adjustRightInd w:val="0"/>
        <w:snapToGrid w:val="0"/>
        <w:spacing w:line="360" w:lineRule="auto"/>
        <w:ind w:firstLine="482" w:firstLineChars="200"/>
        <w:rPr>
          <w:b/>
          <w:kern w:val="0"/>
          <w:sz w:val="24"/>
        </w:rPr>
      </w:pPr>
      <w:r>
        <w:rPr>
          <w:b/>
          <w:kern w:val="0"/>
          <w:sz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97" w:name="OLE_LINK11"/>
      <w:r>
        <w:rPr>
          <w:kern w:val="0"/>
          <w:sz w:val="24"/>
        </w:rPr>
        <w:t>管理人可通过销售机构为投资人提供定期定额投资的服务。通过定期定额</w:t>
      </w:r>
      <w:bookmarkEnd w:id="97"/>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kern w:val="0"/>
          <w:sz w:val="24"/>
        </w:rPr>
        <w:t>www.fund001.com</w:t>
      </w:r>
      <w:r>
        <w:rPr>
          <w:kern w:val="0"/>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widowControl/>
        <w:adjustRightInd w:val="0"/>
        <w:snapToGrid w:val="0"/>
        <w:spacing w:line="360" w:lineRule="auto"/>
        <w:ind w:firstLine="482" w:firstLineChars="200"/>
        <w:rPr>
          <w:b/>
          <w:kern w:val="0"/>
          <w:sz w:val="24"/>
        </w:rPr>
      </w:pPr>
      <w:r>
        <w:rPr>
          <w:rFonts w:hint="eastAsia"/>
          <w:b/>
          <w:kern w:val="0"/>
          <w:sz w:val="24"/>
        </w:rPr>
        <w:t>（六）如本招募说明书存在任何您/贵机构无法理解的内容，请通过上述方式联系基金管理人。请确保投资前，您/贵机构已经全面理解了本招募说明书。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8" w:name="_Toc62202560"/>
      <w:r>
        <w:rPr>
          <w:rFonts w:hint="eastAsia" w:ascii="宋体" w:hAnsi="宋体"/>
          <w:b/>
          <w:kern w:val="0"/>
          <w:sz w:val="30"/>
        </w:rPr>
        <w:t>二十二、其他应披露事项</w:t>
      </w:r>
      <w:bookmarkEnd w:id="98"/>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9" w:name="_Toc62202561"/>
      <w:r>
        <w:rPr>
          <w:rFonts w:hint="eastAsia" w:ascii="宋体" w:hAnsi="宋体"/>
          <w:b/>
          <w:kern w:val="0"/>
          <w:sz w:val="30"/>
        </w:rPr>
        <w:t>二十三、招募说明书的存放及查阅方式</w:t>
      </w:r>
      <w:bookmarkEnd w:id="99"/>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100" w:name="_Toc109537401"/>
      <w:r>
        <w:rPr>
          <w:rFonts w:ascii="宋体" w:hAnsi="宋体"/>
          <w:kern w:val="0"/>
          <w:sz w:val="24"/>
        </w:rPr>
        <w:t>间内取得上述文件复制件</w:t>
      </w:r>
      <w:bookmarkEnd w:id="100"/>
      <w:r>
        <w:rPr>
          <w:rFonts w:ascii="宋体" w:hAnsi="宋体"/>
          <w:kern w:val="0"/>
          <w:sz w:val="24"/>
        </w:rPr>
        <w:t>或复印件。对投资人按此种方式所获得的文件及其复印件，基金管理人和基金托管人</w:t>
      </w:r>
      <w:bookmarkStart w:id="101" w:name="_Toc109537402"/>
      <w:r>
        <w:rPr>
          <w:rFonts w:ascii="宋体" w:hAnsi="宋体"/>
          <w:kern w:val="0"/>
          <w:sz w:val="24"/>
        </w:rPr>
        <w:t>保证文本的内容与所公告的内容完全一</w:t>
      </w:r>
      <w:bookmarkEnd w:id="101"/>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3"/>
          <w:color w:val="auto"/>
          <w:sz w:val="24"/>
          <w:u w:val="none"/>
        </w:rPr>
        <w:t>www.fund001.com</w:t>
      </w:r>
      <w:r>
        <w:rPr>
          <w:rStyle w:val="33"/>
          <w:color w:val="auto"/>
          <w:sz w:val="24"/>
          <w:u w:val="none"/>
        </w:rPr>
        <w:fldChar w:fldCharType="end"/>
      </w:r>
      <w:r>
        <w:rPr>
          <w:rStyle w:val="33"/>
          <w:color w:val="auto"/>
          <w:u w:val="none"/>
        </w:rPr>
        <w:t>）</w:t>
      </w:r>
      <w:r>
        <w:rPr>
          <w:rFonts w:ascii="宋体" w:hAnsi="宋体"/>
          <w:kern w:val="0"/>
          <w:sz w:val="24"/>
        </w:rPr>
        <w:t>查阅和下载招募说明书。</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2" w:name="_Toc62202562"/>
      <w:r>
        <w:rPr>
          <w:rFonts w:hint="eastAsia" w:ascii="宋体" w:hAnsi="宋体"/>
          <w:b/>
          <w:kern w:val="0"/>
          <w:sz w:val="30"/>
        </w:rPr>
        <w:t>二十四、备查文件</w:t>
      </w:r>
      <w:bookmarkEnd w:id="102"/>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w:t>
      </w:r>
      <w:r>
        <w:rPr>
          <w:rFonts w:hint="eastAsia" w:ascii="宋体" w:hAnsi="宋体"/>
          <w:kern w:val="0"/>
          <w:sz w:val="24"/>
        </w:rPr>
        <w:t>鸿信一年持有期混合型</w:t>
      </w:r>
      <w:r>
        <w:rPr>
          <w:rFonts w:ascii="宋体" w:hAnsi="宋体"/>
          <w:kern w:val="0"/>
          <w:sz w:val="24"/>
        </w:rPr>
        <w:t>证券投资基金募集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（二）《交银施罗德</w:t>
      </w:r>
      <w:r>
        <w:rPr>
          <w:rFonts w:hint="eastAsia" w:ascii="宋体" w:hAnsi="宋体"/>
          <w:kern w:val="0"/>
          <w:sz w:val="24"/>
        </w:rPr>
        <w:t>鸿信一年持有期混合型</w:t>
      </w:r>
      <w:r>
        <w:rPr>
          <w:rFonts w:ascii="宋体" w:hAnsi="宋体"/>
          <w:kern w:val="0"/>
          <w:sz w:val="24"/>
        </w:rPr>
        <w:t>证券投资基金基金合同》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《交银施罗德</w:t>
      </w:r>
      <w:r>
        <w:rPr>
          <w:rFonts w:hint="eastAsia" w:ascii="宋体" w:hAnsi="宋体"/>
          <w:kern w:val="0"/>
          <w:sz w:val="24"/>
        </w:rPr>
        <w:t>鸿信一年持有期混合型</w:t>
      </w:r>
      <w:r>
        <w:rPr>
          <w:rFonts w:ascii="宋体" w:hAnsi="宋体"/>
          <w:kern w:val="0"/>
          <w:sz w:val="24"/>
        </w:rPr>
        <w:t>证券投资基金托管协议》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w:t>
      </w:r>
      <w:r>
        <w:rPr>
          <w:rFonts w:hint="eastAsia" w:ascii="宋体" w:hAnsi="宋体"/>
          <w:kern w:val="0"/>
          <w:sz w:val="24"/>
        </w:rPr>
        <w:t>德鸿信一年持有期混合型</w:t>
      </w:r>
      <w:r>
        <w:rPr>
          <w:rFonts w:ascii="宋体" w:hAnsi="宋体"/>
          <w:kern w:val="0"/>
          <w:sz w:val="24"/>
        </w:rPr>
        <w:t>证券投资基金</w:t>
      </w:r>
      <w:r>
        <w:rPr>
          <w:rFonts w:hint="eastAsia" w:ascii="宋体" w:hAnsi="宋体"/>
          <w:kern w:val="0"/>
          <w:sz w:val="24"/>
        </w:rPr>
        <w:t>的</w:t>
      </w:r>
      <w:r>
        <w:rPr>
          <w:rFonts w:ascii="宋体" w:hAnsi="宋体"/>
          <w:kern w:val="0"/>
          <w:sz w:val="24"/>
        </w:rPr>
        <w:t>法律意见书</w:t>
      </w:r>
    </w:p>
    <w:p>
      <w:pPr>
        <w:widowControl/>
        <w:adjustRightInd w:val="0"/>
        <w:snapToGrid w:val="0"/>
        <w:spacing w:line="360" w:lineRule="auto"/>
        <w:ind w:firstLine="480" w:firstLineChars="200"/>
        <w:rPr>
          <w:rFonts w:hAnsi="宋体"/>
          <w:i/>
          <w:kern w:val="0"/>
          <w:sz w:val="24"/>
          <w:u w:val="single"/>
        </w:rPr>
      </w:pPr>
    </w:p>
    <w:p>
      <w:pPr>
        <w:ind w:firstLine="420" w:firstLineChars="200"/>
      </w:pP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五">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33</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交银施罗德鸿信</w:t>
    </w:r>
    <w:r>
      <w:t>一年持有期混合型证券投资基金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992981"/>
    <w:multiLevelType w:val="multilevel"/>
    <w:tmpl w:val="1D99298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24C5E4DA"/>
    <w:multiLevelType w:val="singleLevel"/>
    <w:tmpl w:val="24C5E4DA"/>
    <w:lvl w:ilvl="0" w:tentative="0">
      <w:start w:val="7"/>
      <w:numFmt w:val="decimal"/>
      <w:suff w:val="nothing"/>
      <w:lvlText w:val="%1、"/>
      <w:lvlJc w:val="left"/>
    </w:lvl>
  </w:abstractNum>
  <w:abstractNum w:abstractNumId="2">
    <w:nsid w:val="4F9CE7C4"/>
    <w:multiLevelType w:val="singleLevel"/>
    <w:tmpl w:val="4F9CE7C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0414"/>
    <w:rsid w:val="00012036"/>
    <w:rsid w:val="00013380"/>
    <w:rsid w:val="000141E9"/>
    <w:rsid w:val="000142FC"/>
    <w:rsid w:val="00014A8B"/>
    <w:rsid w:val="00015379"/>
    <w:rsid w:val="00015550"/>
    <w:rsid w:val="00015DB8"/>
    <w:rsid w:val="000164F6"/>
    <w:rsid w:val="00016BA8"/>
    <w:rsid w:val="00017790"/>
    <w:rsid w:val="00021295"/>
    <w:rsid w:val="0002132B"/>
    <w:rsid w:val="00021950"/>
    <w:rsid w:val="00023693"/>
    <w:rsid w:val="00023871"/>
    <w:rsid w:val="00023E32"/>
    <w:rsid w:val="00023E75"/>
    <w:rsid w:val="000248AB"/>
    <w:rsid w:val="00025D7E"/>
    <w:rsid w:val="00026566"/>
    <w:rsid w:val="0003244B"/>
    <w:rsid w:val="00032B65"/>
    <w:rsid w:val="00033D71"/>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4F"/>
    <w:rsid w:val="00053490"/>
    <w:rsid w:val="00054043"/>
    <w:rsid w:val="00055357"/>
    <w:rsid w:val="000563F7"/>
    <w:rsid w:val="00056533"/>
    <w:rsid w:val="0005668A"/>
    <w:rsid w:val="000568D7"/>
    <w:rsid w:val="00057796"/>
    <w:rsid w:val="00057815"/>
    <w:rsid w:val="00061974"/>
    <w:rsid w:val="000635F3"/>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4EF9"/>
    <w:rsid w:val="000758B6"/>
    <w:rsid w:val="00075DD9"/>
    <w:rsid w:val="000766E4"/>
    <w:rsid w:val="00080148"/>
    <w:rsid w:val="0008018D"/>
    <w:rsid w:val="000808ED"/>
    <w:rsid w:val="000816D0"/>
    <w:rsid w:val="00081717"/>
    <w:rsid w:val="000825D3"/>
    <w:rsid w:val="00082AB1"/>
    <w:rsid w:val="000838AA"/>
    <w:rsid w:val="00084506"/>
    <w:rsid w:val="00084CED"/>
    <w:rsid w:val="00085045"/>
    <w:rsid w:val="000866EF"/>
    <w:rsid w:val="00087169"/>
    <w:rsid w:val="00090A95"/>
    <w:rsid w:val="00090DE7"/>
    <w:rsid w:val="00091D59"/>
    <w:rsid w:val="000925B0"/>
    <w:rsid w:val="00092E94"/>
    <w:rsid w:val="00092EBF"/>
    <w:rsid w:val="00093020"/>
    <w:rsid w:val="00094D28"/>
    <w:rsid w:val="00095954"/>
    <w:rsid w:val="00095A8B"/>
    <w:rsid w:val="00096172"/>
    <w:rsid w:val="00096665"/>
    <w:rsid w:val="000967B0"/>
    <w:rsid w:val="000967C1"/>
    <w:rsid w:val="0009775F"/>
    <w:rsid w:val="00097984"/>
    <w:rsid w:val="00097B77"/>
    <w:rsid w:val="000A1C07"/>
    <w:rsid w:val="000A1DC7"/>
    <w:rsid w:val="000A21D3"/>
    <w:rsid w:val="000A2DC0"/>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E79BF"/>
    <w:rsid w:val="000F1899"/>
    <w:rsid w:val="000F1B4A"/>
    <w:rsid w:val="000F2783"/>
    <w:rsid w:val="000F419C"/>
    <w:rsid w:val="000F47FE"/>
    <w:rsid w:val="000F5072"/>
    <w:rsid w:val="000F525A"/>
    <w:rsid w:val="000F5363"/>
    <w:rsid w:val="000F603F"/>
    <w:rsid w:val="000F66FF"/>
    <w:rsid w:val="000F6855"/>
    <w:rsid w:val="00100052"/>
    <w:rsid w:val="0010062F"/>
    <w:rsid w:val="00100DB6"/>
    <w:rsid w:val="00100FB6"/>
    <w:rsid w:val="00101DDD"/>
    <w:rsid w:val="00102F17"/>
    <w:rsid w:val="001032A4"/>
    <w:rsid w:val="0010389E"/>
    <w:rsid w:val="00103B2F"/>
    <w:rsid w:val="0010403C"/>
    <w:rsid w:val="00104092"/>
    <w:rsid w:val="00105E2F"/>
    <w:rsid w:val="00106936"/>
    <w:rsid w:val="00106E70"/>
    <w:rsid w:val="00107C20"/>
    <w:rsid w:val="00107D4B"/>
    <w:rsid w:val="00107EED"/>
    <w:rsid w:val="00111801"/>
    <w:rsid w:val="00112984"/>
    <w:rsid w:val="00113571"/>
    <w:rsid w:val="0011591F"/>
    <w:rsid w:val="0011593B"/>
    <w:rsid w:val="00115C4B"/>
    <w:rsid w:val="00115DD2"/>
    <w:rsid w:val="001166C2"/>
    <w:rsid w:val="00116B1B"/>
    <w:rsid w:val="00116FE6"/>
    <w:rsid w:val="00117D50"/>
    <w:rsid w:val="00120A92"/>
    <w:rsid w:val="001211C6"/>
    <w:rsid w:val="001214B9"/>
    <w:rsid w:val="0012238B"/>
    <w:rsid w:val="00122CF1"/>
    <w:rsid w:val="00122E51"/>
    <w:rsid w:val="00122FD4"/>
    <w:rsid w:val="0012332F"/>
    <w:rsid w:val="00123DF4"/>
    <w:rsid w:val="0012435E"/>
    <w:rsid w:val="00124732"/>
    <w:rsid w:val="0012504C"/>
    <w:rsid w:val="00125194"/>
    <w:rsid w:val="001266C3"/>
    <w:rsid w:val="0012671A"/>
    <w:rsid w:val="00126BA9"/>
    <w:rsid w:val="001325E6"/>
    <w:rsid w:val="00132970"/>
    <w:rsid w:val="00132D76"/>
    <w:rsid w:val="001336A1"/>
    <w:rsid w:val="00134304"/>
    <w:rsid w:val="001347F3"/>
    <w:rsid w:val="00134ABC"/>
    <w:rsid w:val="00136501"/>
    <w:rsid w:val="00136C37"/>
    <w:rsid w:val="00136D14"/>
    <w:rsid w:val="00140C46"/>
    <w:rsid w:val="001411CF"/>
    <w:rsid w:val="00141A31"/>
    <w:rsid w:val="00141A52"/>
    <w:rsid w:val="001436C4"/>
    <w:rsid w:val="00143BD1"/>
    <w:rsid w:val="00146C8F"/>
    <w:rsid w:val="0014735A"/>
    <w:rsid w:val="001473F8"/>
    <w:rsid w:val="001479F5"/>
    <w:rsid w:val="001504A3"/>
    <w:rsid w:val="0015091E"/>
    <w:rsid w:val="00150999"/>
    <w:rsid w:val="00150B74"/>
    <w:rsid w:val="001513EE"/>
    <w:rsid w:val="00151D76"/>
    <w:rsid w:val="00151FEC"/>
    <w:rsid w:val="001529D5"/>
    <w:rsid w:val="00153CA3"/>
    <w:rsid w:val="00154147"/>
    <w:rsid w:val="0015477B"/>
    <w:rsid w:val="001551F2"/>
    <w:rsid w:val="00155489"/>
    <w:rsid w:val="0015580D"/>
    <w:rsid w:val="0015580E"/>
    <w:rsid w:val="00155C9F"/>
    <w:rsid w:val="00156CDE"/>
    <w:rsid w:val="0015723E"/>
    <w:rsid w:val="001577C7"/>
    <w:rsid w:val="001579A3"/>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4B5"/>
    <w:rsid w:val="00186FD4"/>
    <w:rsid w:val="00190429"/>
    <w:rsid w:val="001907EB"/>
    <w:rsid w:val="0019090C"/>
    <w:rsid w:val="00190E90"/>
    <w:rsid w:val="0019213F"/>
    <w:rsid w:val="001923D6"/>
    <w:rsid w:val="001940CA"/>
    <w:rsid w:val="001942B2"/>
    <w:rsid w:val="0019505F"/>
    <w:rsid w:val="0019658D"/>
    <w:rsid w:val="00196B8C"/>
    <w:rsid w:val="0019719A"/>
    <w:rsid w:val="00197746"/>
    <w:rsid w:val="001A1652"/>
    <w:rsid w:val="001A3878"/>
    <w:rsid w:val="001A39CE"/>
    <w:rsid w:val="001A401D"/>
    <w:rsid w:val="001A49AE"/>
    <w:rsid w:val="001A57CF"/>
    <w:rsid w:val="001B0E9A"/>
    <w:rsid w:val="001B220B"/>
    <w:rsid w:val="001B2567"/>
    <w:rsid w:val="001B33A8"/>
    <w:rsid w:val="001B4357"/>
    <w:rsid w:val="001B46A1"/>
    <w:rsid w:val="001B480D"/>
    <w:rsid w:val="001B5948"/>
    <w:rsid w:val="001B65BB"/>
    <w:rsid w:val="001B7CA2"/>
    <w:rsid w:val="001C062E"/>
    <w:rsid w:val="001C3484"/>
    <w:rsid w:val="001C5648"/>
    <w:rsid w:val="001C651B"/>
    <w:rsid w:val="001C655C"/>
    <w:rsid w:val="001D0792"/>
    <w:rsid w:val="001D0A65"/>
    <w:rsid w:val="001D125E"/>
    <w:rsid w:val="001D156B"/>
    <w:rsid w:val="001D187F"/>
    <w:rsid w:val="001D23C8"/>
    <w:rsid w:val="001D3529"/>
    <w:rsid w:val="001D39C0"/>
    <w:rsid w:val="001D4771"/>
    <w:rsid w:val="001D49D6"/>
    <w:rsid w:val="001D55B4"/>
    <w:rsid w:val="001D5F76"/>
    <w:rsid w:val="001D6138"/>
    <w:rsid w:val="001D6690"/>
    <w:rsid w:val="001D6A52"/>
    <w:rsid w:val="001D7E20"/>
    <w:rsid w:val="001E1159"/>
    <w:rsid w:val="001E1DAC"/>
    <w:rsid w:val="001E3944"/>
    <w:rsid w:val="001E3FDB"/>
    <w:rsid w:val="001E4091"/>
    <w:rsid w:val="001E4801"/>
    <w:rsid w:val="001F0FB8"/>
    <w:rsid w:val="001F1BCF"/>
    <w:rsid w:val="001F21F0"/>
    <w:rsid w:val="001F267C"/>
    <w:rsid w:val="001F2812"/>
    <w:rsid w:val="001F3D5E"/>
    <w:rsid w:val="001F4DF7"/>
    <w:rsid w:val="001F4EF2"/>
    <w:rsid w:val="001F52BC"/>
    <w:rsid w:val="001F6638"/>
    <w:rsid w:val="001F6E63"/>
    <w:rsid w:val="001F7C3B"/>
    <w:rsid w:val="002004E4"/>
    <w:rsid w:val="00200729"/>
    <w:rsid w:val="0020102F"/>
    <w:rsid w:val="00201A69"/>
    <w:rsid w:val="002022D7"/>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1127"/>
    <w:rsid w:val="0022127F"/>
    <w:rsid w:val="002213BF"/>
    <w:rsid w:val="0022188D"/>
    <w:rsid w:val="002229B0"/>
    <w:rsid w:val="00222DC0"/>
    <w:rsid w:val="00225114"/>
    <w:rsid w:val="0022586B"/>
    <w:rsid w:val="00227112"/>
    <w:rsid w:val="002339A6"/>
    <w:rsid w:val="002344C9"/>
    <w:rsid w:val="00234677"/>
    <w:rsid w:val="0023502A"/>
    <w:rsid w:val="00236DFE"/>
    <w:rsid w:val="0023706F"/>
    <w:rsid w:val="0023763D"/>
    <w:rsid w:val="00237DF6"/>
    <w:rsid w:val="002411D2"/>
    <w:rsid w:val="00242F19"/>
    <w:rsid w:val="0024511C"/>
    <w:rsid w:val="002466BD"/>
    <w:rsid w:val="00246BFC"/>
    <w:rsid w:val="00246F1D"/>
    <w:rsid w:val="0024712B"/>
    <w:rsid w:val="00247E3B"/>
    <w:rsid w:val="00250E84"/>
    <w:rsid w:val="00251677"/>
    <w:rsid w:val="00251F06"/>
    <w:rsid w:val="0025234F"/>
    <w:rsid w:val="00253250"/>
    <w:rsid w:val="0025340B"/>
    <w:rsid w:val="002535F7"/>
    <w:rsid w:val="002553F3"/>
    <w:rsid w:val="00256021"/>
    <w:rsid w:val="00256473"/>
    <w:rsid w:val="002564B8"/>
    <w:rsid w:val="00256ACE"/>
    <w:rsid w:val="0025795A"/>
    <w:rsid w:val="0026254E"/>
    <w:rsid w:val="002635EC"/>
    <w:rsid w:val="00264191"/>
    <w:rsid w:val="00264AD1"/>
    <w:rsid w:val="0026591A"/>
    <w:rsid w:val="00265A1F"/>
    <w:rsid w:val="00265FD2"/>
    <w:rsid w:val="002661A3"/>
    <w:rsid w:val="00266ACE"/>
    <w:rsid w:val="00272220"/>
    <w:rsid w:val="00273181"/>
    <w:rsid w:val="00281F8E"/>
    <w:rsid w:val="00284595"/>
    <w:rsid w:val="002860B5"/>
    <w:rsid w:val="002869FF"/>
    <w:rsid w:val="00287E74"/>
    <w:rsid w:val="00290B48"/>
    <w:rsid w:val="002920F3"/>
    <w:rsid w:val="00292156"/>
    <w:rsid w:val="00292A50"/>
    <w:rsid w:val="0029355B"/>
    <w:rsid w:val="00293BC8"/>
    <w:rsid w:val="00296193"/>
    <w:rsid w:val="002965D0"/>
    <w:rsid w:val="0029691D"/>
    <w:rsid w:val="002979EB"/>
    <w:rsid w:val="002A1944"/>
    <w:rsid w:val="002A25B1"/>
    <w:rsid w:val="002A2F25"/>
    <w:rsid w:val="002A4A10"/>
    <w:rsid w:val="002A4E3E"/>
    <w:rsid w:val="002A5387"/>
    <w:rsid w:val="002A6364"/>
    <w:rsid w:val="002A651E"/>
    <w:rsid w:val="002B02A1"/>
    <w:rsid w:val="002B0DD7"/>
    <w:rsid w:val="002B0F37"/>
    <w:rsid w:val="002B180D"/>
    <w:rsid w:val="002B2A1C"/>
    <w:rsid w:val="002B2AC2"/>
    <w:rsid w:val="002B2F63"/>
    <w:rsid w:val="002B37CD"/>
    <w:rsid w:val="002B537B"/>
    <w:rsid w:val="002B59AF"/>
    <w:rsid w:val="002B7181"/>
    <w:rsid w:val="002B78F9"/>
    <w:rsid w:val="002C05FA"/>
    <w:rsid w:val="002C08AA"/>
    <w:rsid w:val="002C0BB9"/>
    <w:rsid w:val="002C4278"/>
    <w:rsid w:val="002C6411"/>
    <w:rsid w:val="002C77BA"/>
    <w:rsid w:val="002C7A89"/>
    <w:rsid w:val="002D17E5"/>
    <w:rsid w:val="002D193A"/>
    <w:rsid w:val="002D19CB"/>
    <w:rsid w:val="002D1D28"/>
    <w:rsid w:val="002D2DD0"/>
    <w:rsid w:val="002D4CAA"/>
    <w:rsid w:val="002D541C"/>
    <w:rsid w:val="002D55B3"/>
    <w:rsid w:val="002D5E5D"/>
    <w:rsid w:val="002D6A23"/>
    <w:rsid w:val="002D781E"/>
    <w:rsid w:val="002E0AE6"/>
    <w:rsid w:val="002E1513"/>
    <w:rsid w:val="002E1AC9"/>
    <w:rsid w:val="002E2738"/>
    <w:rsid w:val="002E2ACB"/>
    <w:rsid w:val="002E4942"/>
    <w:rsid w:val="002E4A43"/>
    <w:rsid w:val="002E50C1"/>
    <w:rsid w:val="002E609E"/>
    <w:rsid w:val="002E72C3"/>
    <w:rsid w:val="002E7F7C"/>
    <w:rsid w:val="002F0BA6"/>
    <w:rsid w:val="002F12C9"/>
    <w:rsid w:val="002F185E"/>
    <w:rsid w:val="002F270F"/>
    <w:rsid w:val="002F3CDD"/>
    <w:rsid w:val="002F3DC0"/>
    <w:rsid w:val="002F5679"/>
    <w:rsid w:val="002F579F"/>
    <w:rsid w:val="002F5CD3"/>
    <w:rsid w:val="002F60EF"/>
    <w:rsid w:val="0030037A"/>
    <w:rsid w:val="00300BD1"/>
    <w:rsid w:val="00301328"/>
    <w:rsid w:val="00302D39"/>
    <w:rsid w:val="00302EB3"/>
    <w:rsid w:val="00304168"/>
    <w:rsid w:val="0030420A"/>
    <w:rsid w:val="00306245"/>
    <w:rsid w:val="00306876"/>
    <w:rsid w:val="00307210"/>
    <w:rsid w:val="00310001"/>
    <w:rsid w:val="00310863"/>
    <w:rsid w:val="00310A0A"/>
    <w:rsid w:val="00310C7F"/>
    <w:rsid w:val="00311756"/>
    <w:rsid w:val="003117C0"/>
    <w:rsid w:val="003117F5"/>
    <w:rsid w:val="003122E8"/>
    <w:rsid w:val="003122FA"/>
    <w:rsid w:val="00312A59"/>
    <w:rsid w:val="00312D62"/>
    <w:rsid w:val="0031526E"/>
    <w:rsid w:val="00316510"/>
    <w:rsid w:val="00316FC1"/>
    <w:rsid w:val="00317903"/>
    <w:rsid w:val="00320B50"/>
    <w:rsid w:val="00322B67"/>
    <w:rsid w:val="00322DA4"/>
    <w:rsid w:val="00323072"/>
    <w:rsid w:val="00323779"/>
    <w:rsid w:val="00327520"/>
    <w:rsid w:val="0033142F"/>
    <w:rsid w:val="003315C6"/>
    <w:rsid w:val="00332F02"/>
    <w:rsid w:val="00332FA9"/>
    <w:rsid w:val="00333470"/>
    <w:rsid w:val="0033396F"/>
    <w:rsid w:val="0033398B"/>
    <w:rsid w:val="00333C94"/>
    <w:rsid w:val="003343B7"/>
    <w:rsid w:val="00334DC0"/>
    <w:rsid w:val="00335497"/>
    <w:rsid w:val="003403CE"/>
    <w:rsid w:val="00340B73"/>
    <w:rsid w:val="00341663"/>
    <w:rsid w:val="00341688"/>
    <w:rsid w:val="00342792"/>
    <w:rsid w:val="0034326C"/>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75F1"/>
    <w:rsid w:val="00357A1D"/>
    <w:rsid w:val="00357DC4"/>
    <w:rsid w:val="00357EBD"/>
    <w:rsid w:val="00360AFF"/>
    <w:rsid w:val="00362C07"/>
    <w:rsid w:val="00362F93"/>
    <w:rsid w:val="003634CE"/>
    <w:rsid w:val="00363BA1"/>
    <w:rsid w:val="00364553"/>
    <w:rsid w:val="00364DFA"/>
    <w:rsid w:val="00365D8B"/>
    <w:rsid w:val="00366575"/>
    <w:rsid w:val="003665B0"/>
    <w:rsid w:val="00367342"/>
    <w:rsid w:val="003709B2"/>
    <w:rsid w:val="00370A24"/>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3134"/>
    <w:rsid w:val="00384AEF"/>
    <w:rsid w:val="00384D22"/>
    <w:rsid w:val="003859EB"/>
    <w:rsid w:val="00385CDC"/>
    <w:rsid w:val="00387671"/>
    <w:rsid w:val="003909E2"/>
    <w:rsid w:val="00390F58"/>
    <w:rsid w:val="00391677"/>
    <w:rsid w:val="00392C8E"/>
    <w:rsid w:val="00393344"/>
    <w:rsid w:val="003946F2"/>
    <w:rsid w:val="003950D0"/>
    <w:rsid w:val="003956C4"/>
    <w:rsid w:val="003957F2"/>
    <w:rsid w:val="00395800"/>
    <w:rsid w:val="00395B30"/>
    <w:rsid w:val="00396296"/>
    <w:rsid w:val="00397050"/>
    <w:rsid w:val="00397CD6"/>
    <w:rsid w:val="003A13EF"/>
    <w:rsid w:val="003A167C"/>
    <w:rsid w:val="003A1D49"/>
    <w:rsid w:val="003A2026"/>
    <w:rsid w:val="003A2955"/>
    <w:rsid w:val="003A2B26"/>
    <w:rsid w:val="003A333A"/>
    <w:rsid w:val="003A36DB"/>
    <w:rsid w:val="003A5CAC"/>
    <w:rsid w:val="003A63FD"/>
    <w:rsid w:val="003A74EE"/>
    <w:rsid w:val="003B0B0C"/>
    <w:rsid w:val="003B2E0B"/>
    <w:rsid w:val="003B401C"/>
    <w:rsid w:val="003B4E37"/>
    <w:rsid w:val="003B66E3"/>
    <w:rsid w:val="003B7286"/>
    <w:rsid w:val="003C0901"/>
    <w:rsid w:val="003C0ED9"/>
    <w:rsid w:val="003C0F87"/>
    <w:rsid w:val="003C2778"/>
    <w:rsid w:val="003C2DAE"/>
    <w:rsid w:val="003C354F"/>
    <w:rsid w:val="003C42AA"/>
    <w:rsid w:val="003C4D79"/>
    <w:rsid w:val="003C5CB7"/>
    <w:rsid w:val="003D0009"/>
    <w:rsid w:val="003D086B"/>
    <w:rsid w:val="003D08F8"/>
    <w:rsid w:val="003D0EF7"/>
    <w:rsid w:val="003D1A34"/>
    <w:rsid w:val="003D1CBA"/>
    <w:rsid w:val="003D1D93"/>
    <w:rsid w:val="003D5261"/>
    <w:rsid w:val="003D5457"/>
    <w:rsid w:val="003D54ED"/>
    <w:rsid w:val="003D5728"/>
    <w:rsid w:val="003D5A80"/>
    <w:rsid w:val="003D7221"/>
    <w:rsid w:val="003D746C"/>
    <w:rsid w:val="003E0172"/>
    <w:rsid w:val="003E1676"/>
    <w:rsid w:val="003E1CAC"/>
    <w:rsid w:val="003E2863"/>
    <w:rsid w:val="003E44F3"/>
    <w:rsid w:val="003E47F7"/>
    <w:rsid w:val="003E5507"/>
    <w:rsid w:val="003E5855"/>
    <w:rsid w:val="003E5FEA"/>
    <w:rsid w:val="003E63B2"/>
    <w:rsid w:val="003E6434"/>
    <w:rsid w:val="003E6C43"/>
    <w:rsid w:val="003F003E"/>
    <w:rsid w:val="003F0BB2"/>
    <w:rsid w:val="003F0BCA"/>
    <w:rsid w:val="003F14E9"/>
    <w:rsid w:val="003F4168"/>
    <w:rsid w:val="003F416E"/>
    <w:rsid w:val="003F5225"/>
    <w:rsid w:val="003F5D2E"/>
    <w:rsid w:val="003F6DDA"/>
    <w:rsid w:val="003F6DDC"/>
    <w:rsid w:val="0040058D"/>
    <w:rsid w:val="004007B8"/>
    <w:rsid w:val="0040380B"/>
    <w:rsid w:val="004058F5"/>
    <w:rsid w:val="00406408"/>
    <w:rsid w:val="00406ED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3010"/>
    <w:rsid w:val="00434113"/>
    <w:rsid w:val="00437030"/>
    <w:rsid w:val="004370A4"/>
    <w:rsid w:val="00437AD4"/>
    <w:rsid w:val="004403D5"/>
    <w:rsid w:val="0044052F"/>
    <w:rsid w:val="00440BB2"/>
    <w:rsid w:val="00440F8C"/>
    <w:rsid w:val="004414C4"/>
    <w:rsid w:val="0044187C"/>
    <w:rsid w:val="004419AE"/>
    <w:rsid w:val="004420AA"/>
    <w:rsid w:val="00443C68"/>
    <w:rsid w:val="004457B1"/>
    <w:rsid w:val="00445D20"/>
    <w:rsid w:val="00446061"/>
    <w:rsid w:val="004461DC"/>
    <w:rsid w:val="004465B3"/>
    <w:rsid w:val="00447B3F"/>
    <w:rsid w:val="004509A7"/>
    <w:rsid w:val="0045195C"/>
    <w:rsid w:val="0045254B"/>
    <w:rsid w:val="00452574"/>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137"/>
    <w:rsid w:val="0048596C"/>
    <w:rsid w:val="00485CB4"/>
    <w:rsid w:val="00486983"/>
    <w:rsid w:val="00486AEC"/>
    <w:rsid w:val="00490989"/>
    <w:rsid w:val="00490994"/>
    <w:rsid w:val="00490A0E"/>
    <w:rsid w:val="004915F3"/>
    <w:rsid w:val="00491993"/>
    <w:rsid w:val="00493339"/>
    <w:rsid w:val="004939E0"/>
    <w:rsid w:val="004955C1"/>
    <w:rsid w:val="00495EAB"/>
    <w:rsid w:val="0049664E"/>
    <w:rsid w:val="0049680E"/>
    <w:rsid w:val="00496815"/>
    <w:rsid w:val="0049701D"/>
    <w:rsid w:val="004971B4"/>
    <w:rsid w:val="004974EB"/>
    <w:rsid w:val="004978F0"/>
    <w:rsid w:val="0049792D"/>
    <w:rsid w:val="004979B6"/>
    <w:rsid w:val="004A07F8"/>
    <w:rsid w:val="004A1D8A"/>
    <w:rsid w:val="004A1DE3"/>
    <w:rsid w:val="004A32C4"/>
    <w:rsid w:val="004A3306"/>
    <w:rsid w:val="004A48B6"/>
    <w:rsid w:val="004A4FD3"/>
    <w:rsid w:val="004A5896"/>
    <w:rsid w:val="004A5A4F"/>
    <w:rsid w:val="004A69C3"/>
    <w:rsid w:val="004A6F6A"/>
    <w:rsid w:val="004A70BC"/>
    <w:rsid w:val="004B0A0B"/>
    <w:rsid w:val="004B10BE"/>
    <w:rsid w:val="004B1B07"/>
    <w:rsid w:val="004B33D0"/>
    <w:rsid w:val="004B35FB"/>
    <w:rsid w:val="004B3EF9"/>
    <w:rsid w:val="004B4B71"/>
    <w:rsid w:val="004B550D"/>
    <w:rsid w:val="004B6532"/>
    <w:rsid w:val="004B6C55"/>
    <w:rsid w:val="004B7D31"/>
    <w:rsid w:val="004B7DC4"/>
    <w:rsid w:val="004C36B3"/>
    <w:rsid w:val="004C36BB"/>
    <w:rsid w:val="004C3A7E"/>
    <w:rsid w:val="004C3BF1"/>
    <w:rsid w:val="004C3D0A"/>
    <w:rsid w:val="004C5241"/>
    <w:rsid w:val="004C5F6D"/>
    <w:rsid w:val="004C7F8A"/>
    <w:rsid w:val="004D161E"/>
    <w:rsid w:val="004D22EC"/>
    <w:rsid w:val="004D340D"/>
    <w:rsid w:val="004D34F3"/>
    <w:rsid w:val="004D5C36"/>
    <w:rsid w:val="004D5DCD"/>
    <w:rsid w:val="004D675C"/>
    <w:rsid w:val="004E29FD"/>
    <w:rsid w:val="004E47B0"/>
    <w:rsid w:val="004E5302"/>
    <w:rsid w:val="004E592A"/>
    <w:rsid w:val="004E6CFB"/>
    <w:rsid w:val="004E708A"/>
    <w:rsid w:val="004E7380"/>
    <w:rsid w:val="004E758C"/>
    <w:rsid w:val="004E7A10"/>
    <w:rsid w:val="004E7FB4"/>
    <w:rsid w:val="004F0D4B"/>
    <w:rsid w:val="004F2C9E"/>
    <w:rsid w:val="004F30F2"/>
    <w:rsid w:val="004F3655"/>
    <w:rsid w:val="004F3CB8"/>
    <w:rsid w:val="004F4D77"/>
    <w:rsid w:val="004F4D8F"/>
    <w:rsid w:val="004F5D44"/>
    <w:rsid w:val="004F72EB"/>
    <w:rsid w:val="004F7BFD"/>
    <w:rsid w:val="004F7F45"/>
    <w:rsid w:val="00501C88"/>
    <w:rsid w:val="00502B26"/>
    <w:rsid w:val="00502BFA"/>
    <w:rsid w:val="005036C2"/>
    <w:rsid w:val="00504BDF"/>
    <w:rsid w:val="00505A18"/>
    <w:rsid w:val="00505AE1"/>
    <w:rsid w:val="00505F1A"/>
    <w:rsid w:val="0050666F"/>
    <w:rsid w:val="0050679A"/>
    <w:rsid w:val="00506A30"/>
    <w:rsid w:val="00506A86"/>
    <w:rsid w:val="00507136"/>
    <w:rsid w:val="005119F7"/>
    <w:rsid w:val="005120D4"/>
    <w:rsid w:val="005135AA"/>
    <w:rsid w:val="005145B4"/>
    <w:rsid w:val="00515D02"/>
    <w:rsid w:val="005176CA"/>
    <w:rsid w:val="00517775"/>
    <w:rsid w:val="00517AF3"/>
    <w:rsid w:val="00520361"/>
    <w:rsid w:val="00522E7B"/>
    <w:rsid w:val="0052347F"/>
    <w:rsid w:val="00523E95"/>
    <w:rsid w:val="005245FB"/>
    <w:rsid w:val="00526D70"/>
    <w:rsid w:val="00530A28"/>
    <w:rsid w:val="00531600"/>
    <w:rsid w:val="00531CA1"/>
    <w:rsid w:val="00533A67"/>
    <w:rsid w:val="00533B6B"/>
    <w:rsid w:val="00534271"/>
    <w:rsid w:val="0053442C"/>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88E"/>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4190"/>
    <w:rsid w:val="0057555C"/>
    <w:rsid w:val="00575FD9"/>
    <w:rsid w:val="005778A7"/>
    <w:rsid w:val="0058033F"/>
    <w:rsid w:val="00580DE7"/>
    <w:rsid w:val="00582518"/>
    <w:rsid w:val="005829DC"/>
    <w:rsid w:val="00583F3A"/>
    <w:rsid w:val="00585772"/>
    <w:rsid w:val="005857B3"/>
    <w:rsid w:val="0058672E"/>
    <w:rsid w:val="0058765F"/>
    <w:rsid w:val="005906B2"/>
    <w:rsid w:val="005907BE"/>
    <w:rsid w:val="0059094D"/>
    <w:rsid w:val="005914C2"/>
    <w:rsid w:val="00592EA6"/>
    <w:rsid w:val="00593CEF"/>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D34"/>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69"/>
    <w:rsid w:val="005F4D9E"/>
    <w:rsid w:val="005F505B"/>
    <w:rsid w:val="005F7265"/>
    <w:rsid w:val="0060096B"/>
    <w:rsid w:val="0060212D"/>
    <w:rsid w:val="00602A20"/>
    <w:rsid w:val="00602EFA"/>
    <w:rsid w:val="00603435"/>
    <w:rsid w:val="00604BB2"/>
    <w:rsid w:val="0060555B"/>
    <w:rsid w:val="00605792"/>
    <w:rsid w:val="00606059"/>
    <w:rsid w:val="00607BFE"/>
    <w:rsid w:val="0061036D"/>
    <w:rsid w:val="00610C0C"/>
    <w:rsid w:val="00611F66"/>
    <w:rsid w:val="00614214"/>
    <w:rsid w:val="00614256"/>
    <w:rsid w:val="00614933"/>
    <w:rsid w:val="00614FB2"/>
    <w:rsid w:val="00615406"/>
    <w:rsid w:val="00615C41"/>
    <w:rsid w:val="006175E7"/>
    <w:rsid w:val="00620F08"/>
    <w:rsid w:val="00621D49"/>
    <w:rsid w:val="0062244C"/>
    <w:rsid w:val="00623914"/>
    <w:rsid w:val="0062463B"/>
    <w:rsid w:val="00624A86"/>
    <w:rsid w:val="0062563A"/>
    <w:rsid w:val="00625BD1"/>
    <w:rsid w:val="00626415"/>
    <w:rsid w:val="00626C74"/>
    <w:rsid w:val="00626E14"/>
    <w:rsid w:val="00627D7E"/>
    <w:rsid w:val="00630233"/>
    <w:rsid w:val="006336B5"/>
    <w:rsid w:val="0063411D"/>
    <w:rsid w:val="006342EB"/>
    <w:rsid w:val="0063466A"/>
    <w:rsid w:val="00634A6B"/>
    <w:rsid w:val="0063532E"/>
    <w:rsid w:val="0063638D"/>
    <w:rsid w:val="00636B31"/>
    <w:rsid w:val="0064002B"/>
    <w:rsid w:val="0064179F"/>
    <w:rsid w:val="00641DE5"/>
    <w:rsid w:val="006423D5"/>
    <w:rsid w:val="00643430"/>
    <w:rsid w:val="00643AD4"/>
    <w:rsid w:val="00645542"/>
    <w:rsid w:val="006456EC"/>
    <w:rsid w:val="00645B82"/>
    <w:rsid w:val="00645D5F"/>
    <w:rsid w:val="0065008F"/>
    <w:rsid w:val="00650237"/>
    <w:rsid w:val="00650D60"/>
    <w:rsid w:val="00650E37"/>
    <w:rsid w:val="00652829"/>
    <w:rsid w:val="006529B8"/>
    <w:rsid w:val="00652EE1"/>
    <w:rsid w:val="00653919"/>
    <w:rsid w:val="00653AE2"/>
    <w:rsid w:val="00654F6A"/>
    <w:rsid w:val="00654FC7"/>
    <w:rsid w:val="00655E5A"/>
    <w:rsid w:val="00656830"/>
    <w:rsid w:val="00657FA5"/>
    <w:rsid w:val="0066106E"/>
    <w:rsid w:val="00661737"/>
    <w:rsid w:val="006621AB"/>
    <w:rsid w:val="0066474C"/>
    <w:rsid w:val="00665BB1"/>
    <w:rsid w:val="00666A5B"/>
    <w:rsid w:val="00666AB3"/>
    <w:rsid w:val="006674A2"/>
    <w:rsid w:val="00667F13"/>
    <w:rsid w:val="0067087C"/>
    <w:rsid w:val="00670F48"/>
    <w:rsid w:val="00673FFB"/>
    <w:rsid w:val="0067415B"/>
    <w:rsid w:val="006744F8"/>
    <w:rsid w:val="00674C9D"/>
    <w:rsid w:val="00675DC1"/>
    <w:rsid w:val="00676288"/>
    <w:rsid w:val="00677355"/>
    <w:rsid w:val="006811F4"/>
    <w:rsid w:val="00681610"/>
    <w:rsid w:val="00681FB1"/>
    <w:rsid w:val="00682FDA"/>
    <w:rsid w:val="0068511A"/>
    <w:rsid w:val="0068614B"/>
    <w:rsid w:val="006861DF"/>
    <w:rsid w:val="006869E6"/>
    <w:rsid w:val="00687099"/>
    <w:rsid w:val="00687B38"/>
    <w:rsid w:val="00687DFE"/>
    <w:rsid w:val="00690134"/>
    <w:rsid w:val="00690EB7"/>
    <w:rsid w:val="00691107"/>
    <w:rsid w:val="006912A9"/>
    <w:rsid w:val="00691AAD"/>
    <w:rsid w:val="006922A5"/>
    <w:rsid w:val="00693C8C"/>
    <w:rsid w:val="00693D40"/>
    <w:rsid w:val="00693DAD"/>
    <w:rsid w:val="0069403C"/>
    <w:rsid w:val="00694754"/>
    <w:rsid w:val="00694B0C"/>
    <w:rsid w:val="00694D41"/>
    <w:rsid w:val="006950ED"/>
    <w:rsid w:val="006956D6"/>
    <w:rsid w:val="00695B1F"/>
    <w:rsid w:val="00695F84"/>
    <w:rsid w:val="00696172"/>
    <w:rsid w:val="006972ED"/>
    <w:rsid w:val="0069768D"/>
    <w:rsid w:val="00697E15"/>
    <w:rsid w:val="006A009A"/>
    <w:rsid w:val="006A13D0"/>
    <w:rsid w:val="006A2AFC"/>
    <w:rsid w:val="006A3CDB"/>
    <w:rsid w:val="006A548D"/>
    <w:rsid w:val="006A5AC9"/>
    <w:rsid w:val="006A5B90"/>
    <w:rsid w:val="006B11B3"/>
    <w:rsid w:val="006B162C"/>
    <w:rsid w:val="006B1DEF"/>
    <w:rsid w:val="006B2B50"/>
    <w:rsid w:val="006B4139"/>
    <w:rsid w:val="006B4FA1"/>
    <w:rsid w:val="006B5339"/>
    <w:rsid w:val="006C0116"/>
    <w:rsid w:val="006C0D67"/>
    <w:rsid w:val="006C0F9E"/>
    <w:rsid w:val="006C45F9"/>
    <w:rsid w:val="006C62F2"/>
    <w:rsid w:val="006D0146"/>
    <w:rsid w:val="006D1253"/>
    <w:rsid w:val="006D1496"/>
    <w:rsid w:val="006D167E"/>
    <w:rsid w:val="006D18E5"/>
    <w:rsid w:val="006D2436"/>
    <w:rsid w:val="006D30C2"/>
    <w:rsid w:val="006D362F"/>
    <w:rsid w:val="006D39E6"/>
    <w:rsid w:val="006D3C17"/>
    <w:rsid w:val="006D3EA1"/>
    <w:rsid w:val="006D5E6E"/>
    <w:rsid w:val="006D673B"/>
    <w:rsid w:val="006D79B7"/>
    <w:rsid w:val="006E13E3"/>
    <w:rsid w:val="006E196F"/>
    <w:rsid w:val="006E1DD9"/>
    <w:rsid w:val="006E1EBA"/>
    <w:rsid w:val="006E24E1"/>
    <w:rsid w:val="006E3951"/>
    <w:rsid w:val="006E4796"/>
    <w:rsid w:val="006E4820"/>
    <w:rsid w:val="006E65C1"/>
    <w:rsid w:val="006E6CE2"/>
    <w:rsid w:val="006E6E62"/>
    <w:rsid w:val="006E7E55"/>
    <w:rsid w:val="006F1273"/>
    <w:rsid w:val="006F2D10"/>
    <w:rsid w:val="006F3EB0"/>
    <w:rsid w:val="006F4975"/>
    <w:rsid w:val="006F4CE8"/>
    <w:rsid w:val="006F538A"/>
    <w:rsid w:val="006F576D"/>
    <w:rsid w:val="006F782A"/>
    <w:rsid w:val="0070029F"/>
    <w:rsid w:val="00700FE8"/>
    <w:rsid w:val="007012B3"/>
    <w:rsid w:val="007023A3"/>
    <w:rsid w:val="00702BB7"/>
    <w:rsid w:val="00703C5F"/>
    <w:rsid w:val="007051FF"/>
    <w:rsid w:val="00705F08"/>
    <w:rsid w:val="00706531"/>
    <w:rsid w:val="0070663B"/>
    <w:rsid w:val="00706AA1"/>
    <w:rsid w:val="00706E7C"/>
    <w:rsid w:val="007073DE"/>
    <w:rsid w:val="0070784C"/>
    <w:rsid w:val="00707969"/>
    <w:rsid w:val="00707BCD"/>
    <w:rsid w:val="00707BDA"/>
    <w:rsid w:val="0071188A"/>
    <w:rsid w:val="00711D27"/>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2AEF"/>
    <w:rsid w:val="007337DC"/>
    <w:rsid w:val="007347DE"/>
    <w:rsid w:val="00735259"/>
    <w:rsid w:val="00735D1E"/>
    <w:rsid w:val="00736156"/>
    <w:rsid w:val="00736301"/>
    <w:rsid w:val="00736743"/>
    <w:rsid w:val="007402BE"/>
    <w:rsid w:val="007405DF"/>
    <w:rsid w:val="00741040"/>
    <w:rsid w:val="007435FB"/>
    <w:rsid w:val="00743B8C"/>
    <w:rsid w:val="007441F1"/>
    <w:rsid w:val="00744C7A"/>
    <w:rsid w:val="0074594A"/>
    <w:rsid w:val="00746952"/>
    <w:rsid w:val="0074704E"/>
    <w:rsid w:val="00747056"/>
    <w:rsid w:val="00747151"/>
    <w:rsid w:val="00750309"/>
    <w:rsid w:val="00751211"/>
    <w:rsid w:val="0075164F"/>
    <w:rsid w:val="00751A15"/>
    <w:rsid w:val="007522E0"/>
    <w:rsid w:val="007527FC"/>
    <w:rsid w:val="007530F0"/>
    <w:rsid w:val="007538AE"/>
    <w:rsid w:val="00753CCB"/>
    <w:rsid w:val="00753F0A"/>
    <w:rsid w:val="00754872"/>
    <w:rsid w:val="0075555E"/>
    <w:rsid w:val="00755DB0"/>
    <w:rsid w:val="00757019"/>
    <w:rsid w:val="007577A9"/>
    <w:rsid w:val="00757CF4"/>
    <w:rsid w:val="00757E1A"/>
    <w:rsid w:val="0076002B"/>
    <w:rsid w:val="00760815"/>
    <w:rsid w:val="00762287"/>
    <w:rsid w:val="00763B7C"/>
    <w:rsid w:val="00763E9F"/>
    <w:rsid w:val="0076403F"/>
    <w:rsid w:val="007643FD"/>
    <w:rsid w:val="00764CC6"/>
    <w:rsid w:val="0076584E"/>
    <w:rsid w:val="00765AF8"/>
    <w:rsid w:val="00766468"/>
    <w:rsid w:val="00766CCB"/>
    <w:rsid w:val="00766E93"/>
    <w:rsid w:val="007677D7"/>
    <w:rsid w:val="0077031C"/>
    <w:rsid w:val="00771068"/>
    <w:rsid w:val="0077192E"/>
    <w:rsid w:val="00771D8C"/>
    <w:rsid w:val="00772D3A"/>
    <w:rsid w:val="00772E19"/>
    <w:rsid w:val="0077427F"/>
    <w:rsid w:val="007745F5"/>
    <w:rsid w:val="00775D35"/>
    <w:rsid w:val="007766F4"/>
    <w:rsid w:val="00777A67"/>
    <w:rsid w:val="0078022D"/>
    <w:rsid w:val="007826AD"/>
    <w:rsid w:val="00783313"/>
    <w:rsid w:val="00785158"/>
    <w:rsid w:val="0078560C"/>
    <w:rsid w:val="00786E0E"/>
    <w:rsid w:val="007875DD"/>
    <w:rsid w:val="00790DE4"/>
    <w:rsid w:val="00790E3F"/>
    <w:rsid w:val="00791260"/>
    <w:rsid w:val="00792185"/>
    <w:rsid w:val="00792D39"/>
    <w:rsid w:val="00793126"/>
    <w:rsid w:val="00793F2F"/>
    <w:rsid w:val="00795497"/>
    <w:rsid w:val="00795E0C"/>
    <w:rsid w:val="00795EB8"/>
    <w:rsid w:val="00795EFE"/>
    <w:rsid w:val="007A32D9"/>
    <w:rsid w:val="007A3D6D"/>
    <w:rsid w:val="007A40D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670"/>
    <w:rsid w:val="007B557D"/>
    <w:rsid w:val="007B586C"/>
    <w:rsid w:val="007B61AB"/>
    <w:rsid w:val="007B709A"/>
    <w:rsid w:val="007B7594"/>
    <w:rsid w:val="007C00E8"/>
    <w:rsid w:val="007C19C3"/>
    <w:rsid w:val="007C345B"/>
    <w:rsid w:val="007C38C9"/>
    <w:rsid w:val="007C39DF"/>
    <w:rsid w:val="007C3C47"/>
    <w:rsid w:val="007C3D3A"/>
    <w:rsid w:val="007C5B7B"/>
    <w:rsid w:val="007D07A0"/>
    <w:rsid w:val="007D124E"/>
    <w:rsid w:val="007D12B8"/>
    <w:rsid w:val="007D34CA"/>
    <w:rsid w:val="007D4096"/>
    <w:rsid w:val="007D44A5"/>
    <w:rsid w:val="007D4786"/>
    <w:rsid w:val="007D5074"/>
    <w:rsid w:val="007D679D"/>
    <w:rsid w:val="007D6863"/>
    <w:rsid w:val="007D78E3"/>
    <w:rsid w:val="007E053E"/>
    <w:rsid w:val="007E0C0D"/>
    <w:rsid w:val="007E0EC6"/>
    <w:rsid w:val="007E0ED1"/>
    <w:rsid w:val="007E20B7"/>
    <w:rsid w:val="007E28A0"/>
    <w:rsid w:val="007E4030"/>
    <w:rsid w:val="007E453F"/>
    <w:rsid w:val="007E4883"/>
    <w:rsid w:val="007E5351"/>
    <w:rsid w:val="007E57B9"/>
    <w:rsid w:val="007E5806"/>
    <w:rsid w:val="007E6824"/>
    <w:rsid w:val="007E74CF"/>
    <w:rsid w:val="007F2154"/>
    <w:rsid w:val="007F2A45"/>
    <w:rsid w:val="007F30AB"/>
    <w:rsid w:val="007F33A3"/>
    <w:rsid w:val="007F491D"/>
    <w:rsid w:val="007F6178"/>
    <w:rsid w:val="007F784C"/>
    <w:rsid w:val="00800FEF"/>
    <w:rsid w:val="00801694"/>
    <w:rsid w:val="00802335"/>
    <w:rsid w:val="00802616"/>
    <w:rsid w:val="00802901"/>
    <w:rsid w:val="00802B1A"/>
    <w:rsid w:val="008034A0"/>
    <w:rsid w:val="00804079"/>
    <w:rsid w:val="0080472B"/>
    <w:rsid w:val="008055CD"/>
    <w:rsid w:val="00806A8D"/>
    <w:rsid w:val="00810770"/>
    <w:rsid w:val="00810C57"/>
    <w:rsid w:val="00812530"/>
    <w:rsid w:val="00812C27"/>
    <w:rsid w:val="00813542"/>
    <w:rsid w:val="00813E21"/>
    <w:rsid w:val="00814089"/>
    <w:rsid w:val="00814E15"/>
    <w:rsid w:val="0081532D"/>
    <w:rsid w:val="00815D36"/>
    <w:rsid w:val="00816291"/>
    <w:rsid w:val="0081726E"/>
    <w:rsid w:val="008178D3"/>
    <w:rsid w:val="00821779"/>
    <w:rsid w:val="0082285D"/>
    <w:rsid w:val="0082331F"/>
    <w:rsid w:val="00823DAC"/>
    <w:rsid w:val="008245F5"/>
    <w:rsid w:val="00824C78"/>
    <w:rsid w:val="00826C9B"/>
    <w:rsid w:val="00827184"/>
    <w:rsid w:val="0082751E"/>
    <w:rsid w:val="00827B78"/>
    <w:rsid w:val="00827DE1"/>
    <w:rsid w:val="008302D0"/>
    <w:rsid w:val="00831027"/>
    <w:rsid w:val="00833C96"/>
    <w:rsid w:val="00834F62"/>
    <w:rsid w:val="00835298"/>
    <w:rsid w:val="00835B96"/>
    <w:rsid w:val="00836205"/>
    <w:rsid w:val="00836272"/>
    <w:rsid w:val="008363F4"/>
    <w:rsid w:val="00836C67"/>
    <w:rsid w:val="00840A02"/>
    <w:rsid w:val="00840CBE"/>
    <w:rsid w:val="00840FFD"/>
    <w:rsid w:val="00841356"/>
    <w:rsid w:val="0084140C"/>
    <w:rsid w:val="0084216D"/>
    <w:rsid w:val="00842CAD"/>
    <w:rsid w:val="00842E10"/>
    <w:rsid w:val="00842F1A"/>
    <w:rsid w:val="008433DA"/>
    <w:rsid w:val="00844263"/>
    <w:rsid w:val="008445DA"/>
    <w:rsid w:val="00844886"/>
    <w:rsid w:val="0084592E"/>
    <w:rsid w:val="00846161"/>
    <w:rsid w:val="00846FED"/>
    <w:rsid w:val="00847B3F"/>
    <w:rsid w:val="00850D31"/>
    <w:rsid w:val="0085161C"/>
    <w:rsid w:val="00851999"/>
    <w:rsid w:val="00851C71"/>
    <w:rsid w:val="00851F67"/>
    <w:rsid w:val="00851FF5"/>
    <w:rsid w:val="00853820"/>
    <w:rsid w:val="00853D16"/>
    <w:rsid w:val="00854F1C"/>
    <w:rsid w:val="00856BCA"/>
    <w:rsid w:val="00856DCD"/>
    <w:rsid w:val="00857A8E"/>
    <w:rsid w:val="0086069E"/>
    <w:rsid w:val="00861213"/>
    <w:rsid w:val="00861580"/>
    <w:rsid w:val="00862AF1"/>
    <w:rsid w:val="0086454A"/>
    <w:rsid w:val="008653A5"/>
    <w:rsid w:val="00870343"/>
    <w:rsid w:val="00870BF4"/>
    <w:rsid w:val="00872620"/>
    <w:rsid w:val="00873F21"/>
    <w:rsid w:val="00877EF5"/>
    <w:rsid w:val="0088033A"/>
    <w:rsid w:val="00880954"/>
    <w:rsid w:val="00880BF3"/>
    <w:rsid w:val="0088178D"/>
    <w:rsid w:val="00881894"/>
    <w:rsid w:val="00881B12"/>
    <w:rsid w:val="00881EEB"/>
    <w:rsid w:val="008827EB"/>
    <w:rsid w:val="008837D8"/>
    <w:rsid w:val="00884481"/>
    <w:rsid w:val="008844BC"/>
    <w:rsid w:val="00884821"/>
    <w:rsid w:val="008854F2"/>
    <w:rsid w:val="00885AC5"/>
    <w:rsid w:val="008864F9"/>
    <w:rsid w:val="008865D6"/>
    <w:rsid w:val="008874E8"/>
    <w:rsid w:val="00890820"/>
    <w:rsid w:val="00890FF2"/>
    <w:rsid w:val="008917A2"/>
    <w:rsid w:val="00891EA3"/>
    <w:rsid w:val="00892ADA"/>
    <w:rsid w:val="00892E65"/>
    <w:rsid w:val="00893094"/>
    <w:rsid w:val="008945FB"/>
    <w:rsid w:val="00894823"/>
    <w:rsid w:val="008948E9"/>
    <w:rsid w:val="00895608"/>
    <w:rsid w:val="0089579F"/>
    <w:rsid w:val="00896629"/>
    <w:rsid w:val="0089666C"/>
    <w:rsid w:val="00897661"/>
    <w:rsid w:val="008A2B9F"/>
    <w:rsid w:val="008A302A"/>
    <w:rsid w:val="008A5275"/>
    <w:rsid w:val="008A5B73"/>
    <w:rsid w:val="008A5BD9"/>
    <w:rsid w:val="008A6943"/>
    <w:rsid w:val="008B00E9"/>
    <w:rsid w:val="008B0B9D"/>
    <w:rsid w:val="008B4EF3"/>
    <w:rsid w:val="008B7A5D"/>
    <w:rsid w:val="008B7EBB"/>
    <w:rsid w:val="008C044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9D5"/>
    <w:rsid w:val="008D5FB4"/>
    <w:rsid w:val="008E0605"/>
    <w:rsid w:val="008E1A59"/>
    <w:rsid w:val="008E4039"/>
    <w:rsid w:val="008E4285"/>
    <w:rsid w:val="008E5973"/>
    <w:rsid w:val="008E5AD7"/>
    <w:rsid w:val="008E5C7F"/>
    <w:rsid w:val="008E5CFF"/>
    <w:rsid w:val="008E7314"/>
    <w:rsid w:val="008E7649"/>
    <w:rsid w:val="008F11E1"/>
    <w:rsid w:val="008F216B"/>
    <w:rsid w:val="008F2CA9"/>
    <w:rsid w:val="008F2D41"/>
    <w:rsid w:val="008F3866"/>
    <w:rsid w:val="008F41B8"/>
    <w:rsid w:val="008F494C"/>
    <w:rsid w:val="008F4DE2"/>
    <w:rsid w:val="008F4E2E"/>
    <w:rsid w:val="008F5642"/>
    <w:rsid w:val="008F66A7"/>
    <w:rsid w:val="008F766D"/>
    <w:rsid w:val="008F7C57"/>
    <w:rsid w:val="00900079"/>
    <w:rsid w:val="00900E5D"/>
    <w:rsid w:val="009018CF"/>
    <w:rsid w:val="00902AA8"/>
    <w:rsid w:val="00905DDB"/>
    <w:rsid w:val="0090615F"/>
    <w:rsid w:val="00907F7D"/>
    <w:rsid w:val="00912550"/>
    <w:rsid w:val="00912F7B"/>
    <w:rsid w:val="00913A29"/>
    <w:rsid w:val="0091426B"/>
    <w:rsid w:val="009145E2"/>
    <w:rsid w:val="00914FFD"/>
    <w:rsid w:val="009166E5"/>
    <w:rsid w:val="00917019"/>
    <w:rsid w:val="00917372"/>
    <w:rsid w:val="0091747B"/>
    <w:rsid w:val="00917AF0"/>
    <w:rsid w:val="00920D20"/>
    <w:rsid w:val="00921510"/>
    <w:rsid w:val="00922324"/>
    <w:rsid w:val="009227B3"/>
    <w:rsid w:val="00923AE5"/>
    <w:rsid w:val="00925609"/>
    <w:rsid w:val="009267E3"/>
    <w:rsid w:val="00926E3E"/>
    <w:rsid w:val="00927AC4"/>
    <w:rsid w:val="00927BE1"/>
    <w:rsid w:val="00930A07"/>
    <w:rsid w:val="00930AFB"/>
    <w:rsid w:val="00931065"/>
    <w:rsid w:val="00931347"/>
    <w:rsid w:val="009319DE"/>
    <w:rsid w:val="00931B0D"/>
    <w:rsid w:val="00931E8F"/>
    <w:rsid w:val="009320E8"/>
    <w:rsid w:val="0093337B"/>
    <w:rsid w:val="00933C30"/>
    <w:rsid w:val="00934191"/>
    <w:rsid w:val="009342C2"/>
    <w:rsid w:val="00934753"/>
    <w:rsid w:val="00935698"/>
    <w:rsid w:val="00935ADE"/>
    <w:rsid w:val="00935E71"/>
    <w:rsid w:val="00935FCD"/>
    <w:rsid w:val="00936D91"/>
    <w:rsid w:val="00937392"/>
    <w:rsid w:val="0093773C"/>
    <w:rsid w:val="00941251"/>
    <w:rsid w:val="009417A9"/>
    <w:rsid w:val="00942248"/>
    <w:rsid w:val="0094265C"/>
    <w:rsid w:val="00943260"/>
    <w:rsid w:val="00944C73"/>
    <w:rsid w:val="00946148"/>
    <w:rsid w:val="00947216"/>
    <w:rsid w:val="00947D16"/>
    <w:rsid w:val="00951235"/>
    <w:rsid w:val="00951F20"/>
    <w:rsid w:val="009522EB"/>
    <w:rsid w:val="00954085"/>
    <w:rsid w:val="0095444F"/>
    <w:rsid w:val="00954BCC"/>
    <w:rsid w:val="00954E9F"/>
    <w:rsid w:val="009606FC"/>
    <w:rsid w:val="00960B05"/>
    <w:rsid w:val="009621F6"/>
    <w:rsid w:val="0096326C"/>
    <w:rsid w:val="0096420F"/>
    <w:rsid w:val="00964438"/>
    <w:rsid w:val="00965FEE"/>
    <w:rsid w:val="009666A9"/>
    <w:rsid w:val="0096689D"/>
    <w:rsid w:val="0096764F"/>
    <w:rsid w:val="00970694"/>
    <w:rsid w:val="00972C56"/>
    <w:rsid w:val="00972C9A"/>
    <w:rsid w:val="009730F4"/>
    <w:rsid w:val="009732C0"/>
    <w:rsid w:val="009732D5"/>
    <w:rsid w:val="00973328"/>
    <w:rsid w:val="00973DE3"/>
    <w:rsid w:val="00974289"/>
    <w:rsid w:val="00974569"/>
    <w:rsid w:val="00974680"/>
    <w:rsid w:val="00974A38"/>
    <w:rsid w:val="00975F26"/>
    <w:rsid w:val="009769B8"/>
    <w:rsid w:val="00977365"/>
    <w:rsid w:val="0097778C"/>
    <w:rsid w:val="00977CCB"/>
    <w:rsid w:val="0098193A"/>
    <w:rsid w:val="0098299E"/>
    <w:rsid w:val="00983575"/>
    <w:rsid w:val="00984578"/>
    <w:rsid w:val="00984906"/>
    <w:rsid w:val="00985ADA"/>
    <w:rsid w:val="009863A5"/>
    <w:rsid w:val="00986D8D"/>
    <w:rsid w:val="00987842"/>
    <w:rsid w:val="0099090C"/>
    <w:rsid w:val="0099382D"/>
    <w:rsid w:val="009956EE"/>
    <w:rsid w:val="00996727"/>
    <w:rsid w:val="009969D8"/>
    <w:rsid w:val="00997DAE"/>
    <w:rsid w:val="009A10BE"/>
    <w:rsid w:val="009A2375"/>
    <w:rsid w:val="009A264F"/>
    <w:rsid w:val="009A286B"/>
    <w:rsid w:val="009A2AB7"/>
    <w:rsid w:val="009A2C42"/>
    <w:rsid w:val="009A31BD"/>
    <w:rsid w:val="009A47FB"/>
    <w:rsid w:val="009A4FE5"/>
    <w:rsid w:val="009A5886"/>
    <w:rsid w:val="009A58B1"/>
    <w:rsid w:val="009A6A83"/>
    <w:rsid w:val="009A6DBB"/>
    <w:rsid w:val="009A6E55"/>
    <w:rsid w:val="009A7A2F"/>
    <w:rsid w:val="009A7D78"/>
    <w:rsid w:val="009A7F7D"/>
    <w:rsid w:val="009B0279"/>
    <w:rsid w:val="009B14CE"/>
    <w:rsid w:val="009B1B9F"/>
    <w:rsid w:val="009B256E"/>
    <w:rsid w:val="009B3DC8"/>
    <w:rsid w:val="009B47F1"/>
    <w:rsid w:val="009B52EC"/>
    <w:rsid w:val="009B53AC"/>
    <w:rsid w:val="009B5743"/>
    <w:rsid w:val="009B69BB"/>
    <w:rsid w:val="009B7FCE"/>
    <w:rsid w:val="009C0CFD"/>
    <w:rsid w:val="009C15BE"/>
    <w:rsid w:val="009C1C4F"/>
    <w:rsid w:val="009C1D6F"/>
    <w:rsid w:val="009C27C2"/>
    <w:rsid w:val="009C3318"/>
    <w:rsid w:val="009C3468"/>
    <w:rsid w:val="009C3EAE"/>
    <w:rsid w:val="009C43A7"/>
    <w:rsid w:val="009C4A09"/>
    <w:rsid w:val="009C505E"/>
    <w:rsid w:val="009C5587"/>
    <w:rsid w:val="009C66A3"/>
    <w:rsid w:val="009D0289"/>
    <w:rsid w:val="009D0E77"/>
    <w:rsid w:val="009D1F6D"/>
    <w:rsid w:val="009D25A2"/>
    <w:rsid w:val="009D2718"/>
    <w:rsid w:val="009D3728"/>
    <w:rsid w:val="009D4988"/>
    <w:rsid w:val="009D5B81"/>
    <w:rsid w:val="009D5D26"/>
    <w:rsid w:val="009D68C2"/>
    <w:rsid w:val="009D72F4"/>
    <w:rsid w:val="009E0C8B"/>
    <w:rsid w:val="009E3A70"/>
    <w:rsid w:val="009E4F2B"/>
    <w:rsid w:val="009E7A88"/>
    <w:rsid w:val="009E7BC3"/>
    <w:rsid w:val="009F057F"/>
    <w:rsid w:val="009F14E8"/>
    <w:rsid w:val="009F1F21"/>
    <w:rsid w:val="009F2F79"/>
    <w:rsid w:val="009F3094"/>
    <w:rsid w:val="009F31B0"/>
    <w:rsid w:val="009F40F3"/>
    <w:rsid w:val="009F494E"/>
    <w:rsid w:val="009F5613"/>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146"/>
    <w:rsid w:val="00A126FE"/>
    <w:rsid w:val="00A12A96"/>
    <w:rsid w:val="00A14E37"/>
    <w:rsid w:val="00A1557C"/>
    <w:rsid w:val="00A155FA"/>
    <w:rsid w:val="00A15C8B"/>
    <w:rsid w:val="00A16886"/>
    <w:rsid w:val="00A202D0"/>
    <w:rsid w:val="00A20831"/>
    <w:rsid w:val="00A20D7A"/>
    <w:rsid w:val="00A2304C"/>
    <w:rsid w:val="00A23E52"/>
    <w:rsid w:val="00A23F8D"/>
    <w:rsid w:val="00A25767"/>
    <w:rsid w:val="00A25A37"/>
    <w:rsid w:val="00A266F4"/>
    <w:rsid w:val="00A26CD4"/>
    <w:rsid w:val="00A27360"/>
    <w:rsid w:val="00A309A6"/>
    <w:rsid w:val="00A30CE1"/>
    <w:rsid w:val="00A31184"/>
    <w:rsid w:val="00A31FEB"/>
    <w:rsid w:val="00A32067"/>
    <w:rsid w:val="00A32D93"/>
    <w:rsid w:val="00A3346B"/>
    <w:rsid w:val="00A33AFD"/>
    <w:rsid w:val="00A33FEC"/>
    <w:rsid w:val="00A35636"/>
    <w:rsid w:val="00A379AC"/>
    <w:rsid w:val="00A40665"/>
    <w:rsid w:val="00A42D16"/>
    <w:rsid w:val="00A44A3C"/>
    <w:rsid w:val="00A44DE5"/>
    <w:rsid w:val="00A450C8"/>
    <w:rsid w:val="00A457AE"/>
    <w:rsid w:val="00A45D3B"/>
    <w:rsid w:val="00A47447"/>
    <w:rsid w:val="00A50977"/>
    <w:rsid w:val="00A50FA4"/>
    <w:rsid w:val="00A5152F"/>
    <w:rsid w:val="00A51D39"/>
    <w:rsid w:val="00A524DA"/>
    <w:rsid w:val="00A52CA1"/>
    <w:rsid w:val="00A52E42"/>
    <w:rsid w:val="00A5341D"/>
    <w:rsid w:val="00A53887"/>
    <w:rsid w:val="00A53987"/>
    <w:rsid w:val="00A54FDF"/>
    <w:rsid w:val="00A5611C"/>
    <w:rsid w:val="00A568AB"/>
    <w:rsid w:val="00A578C7"/>
    <w:rsid w:val="00A57C5E"/>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399"/>
    <w:rsid w:val="00A6697E"/>
    <w:rsid w:val="00A677E6"/>
    <w:rsid w:val="00A7010E"/>
    <w:rsid w:val="00A70403"/>
    <w:rsid w:val="00A725EC"/>
    <w:rsid w:val="00A726A0"/>
    <w:rsid w:val="00A72B47"/>
    <w:rsid w:val="00A73D44"/>
    <w:rsid w:val="00A73D7A"/>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0F6"/>
    <w:rsid w:val="00A904D5"/>
    <w:rsid w:val="00A91AB3"/>
    <w:rsid w:val="00A91F28"/>
    <w:rsid w:val="00A927B4"/>
    <w:rsid w:val="00A954D4"/>
    <w:rsid w:val="00A95A2D"/>
    <w:rsid w:val="00A968B3"/>
    <w:rsid w:val="00A96FA3"/>
    <w:rsid w:val="00AA0571"/>
    <w:rsid w:val="00AA077C"/>
    <w:rsid w:val="00AA08FD"/>
    <w:rsid w:val="00AA0C8B"/>
    <w:rsid w:val="00AA0F51"/>
    <w:rsid w:val="00AA1C1F"/>
    <w:rsid w:val="00AA4514"/>
    <w:rsid w:val="00AA7076"/>
    <w:rsid w:val="00AA7C3C"/>
    <w:rsid w:val="00AA7FA1"/>
    <w:rsid w:val="00AB1C08"/>
    <w:rsid w:val="00AB246F"/>
    <w:rsid w:val="00AB4D3A"/>
    <w:rsid w:val="00AB4E46"/>
    <w:rsid w:val="00AB5210"/>
    <w:rsid w:val="00AB5262"/>
    <w:rsid w:val="00AB5375"/>
    <w:rsid w:val="00AB59B0"/>
    <w:rsid w:val="00AB6CF0"/>
    <w:rsid w:val="00AB6E44"/>
    <w:rsid w:val="00AB7168"/>
    <w:rsid w:val="00AC01E3"/>
    <w:rsid w:val="00AC12A2"/>
    <w:rsid w:val="00AC1440"/>
    <w:rsid w:val="00AC15C3"/>
    <w:rsid w:val="00AC26EA"/>
    <w:rsid w:val="00AC2D76"/>
    <w:rsid w:val="00AC3B8E"/>
    <w:rsid w:val="00AC3E40"/>
    <w:rsid w:val="00AC4232"/>
    <w:rsid w:val="00AC4D64"/>
    <w:rsid w:val="00AC4FC4"/>
    <w:rsid w:val="00AC5000"/>
    <w:rsid w:val="00AC58F0"/>
    <w:rsid w:val="00AC6E43"/>
    <w:rsid w:val="00AC7D3F"/>
    <w:rsid w:val="00AD00CA"/>
    <w:rsid w:val="00AD0AE7"/>
    <w:rsid w:val="00AD0D12"/>
    <w:rsid w:val="00AD105A"/>
    <w:rsid w:val="00AD1621"/>
    <w:rsid w:val="00AD2FC6"/>
    <w:rsid w:val="00AD4EA7"/>
    <w:rsid w:val="00AD5C9E"/>
    <w:rsid w:val="00AD6C61"/>
    <w:rsid w:val="00AD7584"/>
    <w:rsid w:val="00AE06AA"/>
    <w:rsid w:val="00AE16FA"/>
    <w:rsid w:val="00AE1CC8"/>
    <w:rsid w:val="00AE2C59"/>
    <w:rsid w:val="00AE39A0"/>
    <w:rsid w:val="00AE499C"/>
    <w:rsid w:val="00AE5761"/>
    <w:rsid w:val="00AE6016"/>
    <w:rsid w:val="00AE61C8"/>
    <w:rsid w:val="00AE66BF"/>
    <w:rsid w:val="00AE675E"/>
    <w:rsid w:val="00AE6D55"/>
    <w:rsid w:val="00AE7B92"/>
    <w:rsid w:val="00AF1B7B"/>
    <w:rsid w:val="00AF30A5"/>
    <w:rsid w:val="00AF4996"/>
    <w:rsid w:val="00AF6A69"/>
    <w:rsid w:val="00AF6AD8"/>
    <w:rsid w:val="00AF6BA3"/>
    <w:rsid w:val="00AF6BAA"/>
    <w:rsid w:val="00AF78D8"/>
    <w:rsid w:val="00AF7DDC"/>
    <w:rsid w:val="00B00BED"/>
    <w:rsid w:val="00B01D05"/>
    <w:rsid w:val="00B02A41"/>
    <w:rsid w:val="00B03998"/>
    <w:rsid w:val="00B0460F"/>
    <w:rsid w:val="00B0494F"/>
    <w:rsid w:val="00B0504C"/>
    <w:rsid w:val="00B053EF"/>
    <w:rsid w:val="00B054DF"/>
    <w:rsid w:val="00B0551E"/>
    <w:rsid w:val="00B055FA"/>
    <w:rsid w:val="00B059A9"/>
    <w:rsid w:val="00B06260"/>
    <w:rsid w:val="00B07069"/>
    <w:rsid w:val="00B073D5"/>
    <w:rsid w:val="00B128E2"/>
    <w:rsid w:val="00B1303D"/>
    <w:rsid w:val="00B146E3"/>
    <w:rsid w:val="00B16313"/>
    <w:rsid w:val="00B16C63"/>
    <w:rsid w:val="00B20E02"/>
    <w:rsid w:val="00B21A7B"/>
    <w:rsid w:val="00B2294C"/>
    <w:rsid w:val="00B22951"/>
    <w:rsid w:val="00B22E33"/>
    <w:rsid w:val="00B2384B"/>
    <w:rsid w:val="00B26448"/>
    <w:rsid w:val="00B27A66"/>
    <w:rsid w:val="00B3002A"/>
    <w:rsid w:val="00B322DF"/>
    <w:rsid w:val="00B325D4"/>
    <w:rsid w:val="00B32B5A"/>
    <w:rsid w:val="00B33A77"/>
    <w:rsid w:val="00B35CE1"/>
    <w:rsid w:val="00B35E14"/>
    <w:rsid w:val="00B36727"/>
    <w:rsid w:val="00B3700E"/>
    <w:rsid w:val="00B4085C"/>
    <w:rsid w:val="00B40A66"/>
    <w:rsid w:val="00B42044"/>
    <w:rsid w:val="00B42E22"/>
    <w:rsid w:val="00B430E7"/>
    <w:rsid w:val="00B43360"/>
    <w:rsid w:val="00B44032"/>
    <w:rsid w:val="00B44DEE"/>
    <w:rsid w:val="00B45283"/>
    <w:rsid w:val="00B45981"/>
    <w:rsid w:val="00B465BD"/>
    <w:rsid w:val="00B46D75"/>
    <w:rsid w:val="00B47E88"/>
    <w:rsid w:val="00B52F38"/>
    <w:rsid w:val="00B55077"/>
    <w:rsid w:val="00B553C3"/>
    <w:rsid w:val="00B55824"/>
    <w:rsid w:val="00B56A7E"/>
    <w:rsid w:val="00B57DCF"/>
    <w:rsid w:val="00B62117"/>
    <w:rsid w:val="00B625EB"/>
    <w:rsid w:val="00B62837"/>
    <w:rsid w:val="00B64865"/>
    <w:rsid w:val="00B65E77"/>
    <w:rsid w:val="00B65F29"/>
    <w:rsid w:val="00B65F45"/>
    <w:rsid w:val="00B674E1"/>
    <w:rsid w:val="00B67BE8"/>
    <w:rsid w:val="00B67EF2"/>
    <w:rsid w:val="00B70FCC"/>
    <w:rsid w:val="00B7113B"/>
    <w:rsid w:val="00B71C8B"/>
    <w:rsid w:val="00B72629"/>
    <w:rsid w:val="00B731A9"/>
    <w:rsid w:val="00B736A3"/>
    <w:rsid w:val="00B7397A"/>
    <w:rsid w:val="00B73E12"/>
    <w:rsid w:val="00B74F98"/>
    <w:rsid w:val="00B76F56"/>
    <w:rsid w:val="00B773D4"/>
    <w:rsid w:val="00B77495"/>
    <w:rsid w:val="00B809ED"/>
    <w:rsid w:val="00B81433"/>
    <w:rsid w:val="00B8196F"/>
    <w:rsid w:val="00B8225E"/>
    <w:rsid w:val="00B82710"/>
    <w:rsid w:val="00B82766"/>
    <w:rsid w:val="00B8289B"/>
    <w:rsid w:val="00B82D23"/>
    <w:rsid w:val="00B84E21"/>
    <w:rsid w:val="00B85EED"/>
    <w:rsid w:val="00B8669F"/>
    <w:rsid w:val="00B866CD"/>
    <w:rsid w:val="00B87008"/>
    <w:rsid w:val="00B876B5"/>
    <w:rsid w:val="00B876B6"/>
    <w:rsid w:val="00B877AC"/>
    <w:rsid w:val="00B877F7"/>
    <w:rsid w:val="00B91625"/>
    <w:rsid w:val="00B919E6"/>
    <w:rsid w:val="00B92CDA"/>
    <w:rsid w:val="00B9445E"/>
    <w:rsid w:val="00B951C7"/>
    <w:rsid w:val="00B9566F"/>
    <w:rsid w:val="00B966E8"/>
    <w:rsid w:val="00B970AD"/>
    <w:rsid w:val="00BA09B9"/>
    <w:rsid w:val="00BA0B4C"/>
    <w:rsid w:val="00BA130F"/>
    <w:rsid w:val="00BA1647"/>
    <w:rsid w:val="00BA1B67"/>
    <w:rsid w:val="00BA250C"/>
    <w:rsid w:val="00BA2F6C"/>
    <w:rsid w:val="00BA2F9E"/>
    <w:rsid w:val="00BA31CC"/>
    <w:rsid w:val="00BA414E"/>
    <w:rsid w:val="00BA4DAC"/>
    <w:rsid w:val="00BA67A5"/>
    <w:rsid w:val="00BA6D4A"/>
    <w:rsid w:val="00BA7EF2"/>
    <w:rsid w:val="00BB0619"/>
    <w:rsid w:val="00BB09F8"/>
    <w:rsid w:val="00BB0B91"/>
    <w:rsid w:val="00BB23E5"/>
    <w:rsid w:val="00BB2D18"/>
    <w:rsid w:val="00BB33E5"/>
    <w:rsid w:val="00BB4AE7"/>
    <w:rsid w:val="00BB4F39"/>
    <w:rsid w:val="00BB5179"/>
    <w:rsid w:val="00BB71FF"/>
    <w:rsid w:val="00BB7D6C"/>
    <w:rsid w:val="00BC10BF"/>
    <w:rsid w:val="00BC3473"/>
    <w:rsid w:val="00BC4DBC"/>
    <w:rsid w:val="00BC7181"/>
    <w:rsid w:val="00BC7ECA"/>
    <w:rsid w:val="00BD05EF"/>
    <w:rsid w:val="00BD07B0"/>
    <w:rsid w:val="00BD0D9C"/>
    <w:rsid w:val="00BD0FC2"/>
    <w:rsid w:val="00BD3F02"/>
    <w:rsid w:val="00BD4638"/>
    <w:rsid w:val="00BD486A"/>
    <w:rsid w:val="00BD4DE7"/>
    <w:rsid w:val="00BD5A9C"/>
    <w:rsid w:val="00BD772E"/>
    <w:rsid w:val="00BE2336"/>
    <w:rsid w:val="00BE2601"/>
    <w:rsid w:val="00BE304E"/>
    <w:rsid w:val="00BE3C37"/>
    <w:rsid w:val="00BE3C45"/>
    <w:rsid w:val="00BE3C5B"/>
    <w:rsid w:val="00BE41F4"/>
    <w:rsid w:val="00BE47E9"/>
    <w:rsid w:val="00BE71CB"/>
    <w:rsid w:val="00BE7375"/>
    <w:rsid w:val="00BE7C20"/>
    <w:rsid w:val="00BE7FBE"/>
    <w:rsid w:val="00BF0301"/>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9B2"/>
    <w:rsid w:val="00C1263B"/>
    <w:rsid w:val="00C13671"/>
    <w:rsid w:val="00C139D5"/>
    <w:rsid w:val="00C13B09"/>
    <w:rsid w:val="00C13C02"/>
    <w:rsid w:val="00C1553E"/>
    <w:rsid w:val="00C16291"/>
    <w:rsid w:val="00C171B2"/>
    <w:rsid w:val="00C1765E"/>
    <w:rsid w:val="00C177F5"/>
    <w:rsid w:val="00C20625"/>
    <w:rsid w:val="00C20790"/>
    <w:rsid w:val="00C20931"/>
    <w:rsid w:val="00C2097C"/>
    <w:rsid w:val="00C21089"/>
    <w:rsid w:val="00C21A8A"/>
    <w:rsid w:val="00C21BAF"/>
    <w:rsid w:val="00C22689"/>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3244"/>
    <w:rsid w:val="00C53926"/>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1E3"/>
    <w:rsid w:val="00C66A76"/>
    <w:rsid w:val="00C70E50"/>
    <w:rsid w:val="00C7133B"/>
    <w:rsid w:val="00C729E5"/>
    <w:rsid w:val="00C7451C"/>
    <w:rsid w:val="00C75204"/>
    <w:rsid w:val="00C765DA"/>
    <w:rsid w:val="00C77B66"/>
    <w:rsid w:val="00C8105A"/>
    <w:rsid w:val="00C82979"/>
    <w:rsid w:val="00C82DAF"/>
    <w:rsid w:val="00C83EB0"/>
    <w:rsid w:val="00C8431F"/>
    <w:rsid w:val="00C84995"/>
    <w:rsid w:val="00C851C5"/>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A4E"/>
    <w:rsid w:val="00CA4C6D"/>
    <w:rsid w:val="00CA4E4A"/>
    <w:rsid w:val="00CA5EED"/>
    <w:rsid w:val="00CA6660"/>
    <w:rsid w:val="00CA69AD"/>
    <w:rsid w:val="00CA6EBA"/>
    <w:rsid w:val="00CA74E4"/>
    <w:rsid w:val="00CA77CA"/>
    <w:rsid w:val="00CB0978"/>
    <w:rsid w:val="00CB1DBD"/>
    <w:rsid w:val="00CB3DB8"/>
    <w:rsid w:val="00CB44D3"/>
    <w:rsid w:val="00CB5DB2"/>
    <w:rsid w:val="00CB61FE"/>
    <w:rsid w:val="00CB6411"/>
    <w:rsid w:val="00CB6E24"/>
    <w:rsid w:val="00CB7433"/>
    <w:rsid w:val="00CB7459"/>
    <w:rsid w:val="00CB78EE"/>
    <w:rsid w:val="00CB7A3D"/>
    <w:rsid w:val="00CC03E8"/>
    <w:rsid w:val="00CC0C35"/>
    <w:rsid w:val="00CC0F22"/>
    <w:rsid w:val="00CC26A9"/>
    <w:rsid w:val="00CC27DA"/>
    <w:rsid w:val="00CC2C4E"/>
    <w:rsid w:val="00CC3F1F"/>
    <w:rsid w:val="00CC3F34"/>
    <w:rsid w:val="00CC426E"/>
    <w:rsid w:val="00CC5DA3"/>
    <w:rsid w:val="00CC6206"/>
    <w:rsid w:val="00CC6B9F"/>
    <w:rsid w:val="00CC6BE9"/>
    <w:rsid w:val="00CC7753"/>
    <w:rsid w:val="00CD19E2"/>
    <w:rsid w:val="00CD1E5A"/>
    <w:rsid w:val="00CD2059"/>
    <w:rsid w:val="00CD23CE"/>
    <w:rsid w:val="00CD3215"/>
    <w:rsid w:val="00CD3561"/>
    <w:rsid w:val="00CD3FF3"/>
    <w:rsid w:val="00CD4FE0"/>
    <w:rsid w:val="00CD5ACE"/>
    <w:rsid w:val="00CD6316"/>
    <w:rsid w:val="00CD63A1"/>
    <w:rsid w:val="00CD6A81"/>
    <w:rsid w:val="00CD75E6"/>
    <w:rsid w:val="00CD77B5"/>
    <w:rsid w:val="00CE00A5"/>
    <w:rsid w:val="00CE2315"/>
    <w:rsid w:val="00CE2576"/>
    <w:rsid w:val="00CE2C57"/>
    <w:rsid w:val="00CE33A0"/>
    <w:rsid w:val="00CE3484"/>
    <w:rsid w:val="00CE42D0"/>
    <w:rsid w:val="00CE6A0A"/>
    <w:rsid w:val="00CE6A7C"/>
    <w:rsid w:val="00CF0594"/>
    <w:rsid w:val="00CF0BA3"/>
    <w:rsid w:val="00CF1C61"/>
    <w:rsid w:val="00CF1E73"/>
    <w:rsid w:val="00CF2735"/>
    <w:rsid w:val="00CF28B5"/>
    <w:rsid w:val="00CF3309"/>
    <w:rsid w:val="00CF3784"/>
    <w:rsid w:val="00CF5041"/>
    <w:rsid w:val="00CF5642"/>
    <w:rsid w:val="00CF6B92"/>
    <w:rsid w:val="00D00B45"/>
    <w:rsid w:val="00D01726"/>
    <w:rsid w:val="00D02C8B"/>
    <w:rsid w:val="00D02E65"/>
    <w:rsid w:val="00D0355B"/>
    <w:rsid w:val="00D04279"/>
    <w:rsid w:val="00D042E4"/>
    <w:rsid w:val="00D046F9"/>
    <w:rsid w:val="00D04B59"/>
    <w:rsid w:val="00D04F66"/>
    <w:rsid w:val="00D0515E"/>
    <w:rsid w:val="00D05419"/>
    <w:rsid w:val="00D05889"/>
    <w:rsid w:val="00D071CA"/>
    <w:rsid w:val="00D076DB"/>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76"/>
    <w:rsid w:val="00D31412"/>
    <w:rsid w:val="00D31414"/>
    <w:rsid w:val="00D3199E"/>
    <w:rsid w:val="00D33790"/>
    <w:rsid w:val="00D33CFE"/>
    <w:rsid w:val="00D3601A"/>
    <w:rsid w:val="00D3608D"/>
    <w:rsid w:val="00D36C25"/>
    <w:rsid w:val="00D3771F"/>
    <w:rsid w:val="00D379EF"/>
    <w:rsid w:val="00D37FAB"/>
    <w:rsid w:val="00D40381"/>
    <w:rsid w:val="00D40472"/>
    <w:rsid w:val="00D40709"/>
    <w:rsid w:val="00D41BC9"/>
    <w:rsid w:val="00D41FCE"/>
    <w:rsid w:val="00D422C4"/>
    <w:rsid w:val="00D44E75"/>
    <w:rsid w:val="00D46FC3"/>
    <w:rsid w:val="00D47749"/>
    <w:rsid w:val="00D47AFA"/>
    <w:rsid w:val="00D51887"/>
    <w:rsid w:val="00D5262B"/>
    <w:rsid w:val="00D53368"/>
    <w:rsid w:val="00D535B9"/>
    <w:rsid w:val="00D53D55"/>
    <w:rsid w:val="00D551BB"/>
    <w:rsid w:val="00D55B36"/>
    <w:rsid w:val="00D56155"/>
    <w:rsid w:val="00D566F5"/>
    <w:rsid w:val="00D60AED"/>
    <w:rsid w:val="00D611E2"/>
    <w:rsid w:val="00D619D7"/>
    <w:rsid w:val="00D64189"/>
    <w:rsid w:val="00D6489B"/>
    <w:rsid w:val="00D64A31"/>
    <w:rsid w:val="00D65737"/>
    <w:rsid w:val="00D658C0"/>
    <w:rsid w:val="00D65CE3"/>
    <w:rsid w:val="00D65EC3"/>
    <w:rsid w:val="00D66349"/>
    <w:rsid w:val="00D66466"/>
    <w:rsid w:val="00D671BB"/>
    <w:rsid w:val="00D67922"/>
    <w:rsid w:val="00D7131D"/>
    <w:rsid w:val="00D7177C"/>
    <w:rsid w:val="00D71D79"/>
    <w:rsid w:val="00D72538"/>
    <w:rsid w:val="00D734A7"/>
    <w:rsid w:val="00D742BD"/>
    <w:rsid w:val="00D75552"/>
    <w:rsid w:val="00D75FAC"/>
    <w:rsid w:val="00D76DF0"/>
    <w:rsid w:val="00D76F31"/>
    <w:rsid w:val="00D80D2D"/>
    <w:rsid w:val="00D81C4E"/>
    <w:rsid w:val="00D82888"/>
    <w:rsid w:val="00D82EC0"/>
    <w:rsid w:val="00D8338C"/>
    <w:rsid w:val="00D83BC9"/>
    <w:rsid w:val="00D84459"/>
    <w:rsid w:val="00D84C0F"/>
    <w:rsid w:val="00D8603E"/>
    <w:rsid w:val="00D860D4"/>
    <w:rsid w:val="00D90F8C"/>
    <w:rsid w:val="00D910C9"/>
    <w:rsid w:val="00D92DEB"/>
    <w:rsid w:val="00D95F80"/>
    <w:rsid w:val="00D96050"/>
    <w:rsid w:val="00D963A1"/>
    <w:rsid w:val="00D968FC"/>
    <w:rsid w:val="00D97B43"/>
    <w:rsid w:val="00D97CDE"/>
    <w:rsid w:val="00DA01B3"/>
    <w:rsid w:val="00DA0E28"/>
    <w:rsid w:val="00DA16B2"/>
    <w:rsid w:val="00DA1E29"/>
    <w:rsid w:val="00DA2F30"/>
    <w:rsid w:val="00DA2F32"/>
    <w:rsid w:val="00DA3DAC"/>
    <w:rsid w:val="00DA57FC"/>
    <w:rsid w:val="00DA59CC"/>
    <w:rsid w:val="00DA5F54"/>
    <w:rsid w:val="00DA7EA2"/>
    <w:rsid w:val="00DB1F56"/>
    <w:rsid w:val="00DB2204"/>
    <w:rsid w:val="00DB22EE"/>
    <w:rsid w:val="00DB3271"/>
    <w:rsid w:val="00DB3F2E"/>
    <w:rsid w:val="00DB429A"/>
    <w:rsid w:val="00DB5713"/>
    <w:rsid w:val="00DC18C4"/>
    <w:rsid w:val="00DC2BAE"/>
    <w:rsid w:val="00DC2E5F"/>
    <w:rsid w:val="00DC2E82"/>
    <w:rsid w:val="00DC3323"/>
    <w:rsid w:val="00DC34F0"/>
    <w:rsid w:val="00DC516A"/>
    <w:rsid w:val="00DC5A19"/>
    <w:rsid w:val="00DC671B"/>
    <w:rsid w:val="00DC7C4C"/>
    <w:rsid w:val="00DD0227"/>
    <w:rsid w:val="00DD04EC"/>
    <w:rsid w:val="00DD0508"/>
    <w:rsid w:val="00DD1444"/>
    <w:rsid w:val="00DD2240"/>
    <w:rsid w:val="00DD2FB1"/>
    <w:rsid w:val="00DD31ED"/>
    <w:rsid w:val="00DD3AAC"/>
    <w:rsid w:val="00DD446A"/>
    <w:rsid w:val="00DD45C1"/>
    <w:rsid w:val="00DD48A7"/>
    <w:rsid w:val="00DD4C5F"/>
    <w:rsid w:val="00DD6F66"/>
    <w:rsid w:val="00DE0279"/>
    <w:rsid w:val="00DE2175"/>
    <w:rsid w:val="00DE4475"/>
    <w:rsid w:val="00DE4720"/>
    <w:rsid w:val="00DE5090"/>
    <w:rsid w:val="00DE57B7"/>
    <w:rsid w:val="00DE5A6D"/>
    <w:rsid w:val="00DE628B"/>
    <w:rsid w:val="00DE6322"/>
    <w:rsid w:val="00DE7250"/>
    <w:rsid w:val="00DE7FBB"/>
    <w:rsid w:val="00DF013D"/>
    <w:rsid w:val="00DF0356"/>
    <w:rsid w:val="00DF1093"/>
    <w:rsid w:val="00DF1252"/>
    <w:rsid w:val="00DF28FD"/>
    <w:rsid w:val="00DF3540"/>
    <w:rsid w:val="00DF3A1D"/>
    <w:rsid w:val="00DF580A"/>
    <w:rsid w:val="00DF59BE"/>
    <w:rsid w:val="00DF5E16"/>
    <w:rsid w:val="00DF5E88"/>
    <w:rsid w:val="00DF63B6"/>
    <w:rsid w:val="00DF6733"/>
    <w:rsid w:val="00E00770"/>
    <w:rsid w:val="00E00DB6"/>
    <w:rsid w:val="00E00EC0"/>
    <w:rsid w:val="00E03677"/>
    <w:rsid w:val="00E03A2F"/>
    <w:rsid w:val="00E03F2E"/>
    <w:rsid w:val="00E0470C"/>
    <w:rsid w:val="00E04C10"/>
    <w:rsid w:val="00E0621C"/>
    <w:rsid w:val="00E07AA6"/>
    <w:rsid w:val="00E108FF"/>
    <w:rsid w:val="00E10B82"/>
    <w:rsid w:val="00E11B56"/>
    <w:rsid w:val="00E123CE"/>
    <w:rsid w:val="00E13C75"/>
    <w:rsid w:val="00E14C9F"/>
    <w:rsid w:val="00E15940"/>
    <w:rsid w:val="00E15D46"/>
    <w:rsid w:val="00E17246"/>
    <w:rsid w:val="00E17BC0"/>
    <w:rsid w:val="00E20112"/>
    <w:rsid w:val="00E2030D"/>
    <w:rsid w:val="00E20C4D"/>
    <w:rsid w:val="00E20DAA"/>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4760"/>
    <w:rsid w:val="00E34B39"/>
    <w:rsid w:val="00E358E9"/>
    <w:rsid w:val="00E3727D"/>
    <w:rsid w:val="00E37592"/>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6110"/>
    <w:rsid w:val="00E568B5"/>
    <w:rsid w:val="00E56D1B"/>
    <w:rsid w:val="00E57231"/>
    <w:rsid w:val="00E5779D"/>
    <w:rsid w:val="00E6010F"/>
    <w:rsid w:val="00E60A51"/>
    <w:rsid w:val="00E610C4"/>
    <w:rsid w:val="00E61E1A"/>
    <w:rsid w:val="00E621A3"/>
    <w:rsid w:val="00E6377B"/>
    <w:rsid w:val="00E654C0"/>
    <w:rsid w:val="00E659DC"/>
    <w:rsid w:val="00E65E0F"/>
    <w:rsid w:val="00E66087"/>
    <w:rsid w:val="00E67B0F"/>
    <w:rsid w:val="00E67F75"/>
    <w:rsid w:val="00E7078C"/>
    <w:rsid w:val="00E70A78"/>
    <w:rsid w:val="00E71EE2"/>
    <w:rsid w:val="00E720C5"/>
    <w:rsid w:val="00E72992"/>
    <w:rsid w:val="00E72EF2"/>
    <w:rsid w:val="00E73428"/>
    <w:rsid w:val="00E735AC"/>
    <w:rsid w:val="00E738E4"/>
    <w:rsid w:val="00E74ACA"/>
    <w:rsid w:val="00E765D0"/>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2470"/>
    <w:rsid w:val="00EA357A"/>
    <w:rsid w:val="00EA3AF3"/>
    <w:rsid w:val="00EA3CE8"/>
    <w:rsid w:val="00EA4118"/>
    <w:rsid w:val="00EB0137"/>
    <w:rsid w:val="00EB130D"/>
    <w:rsid w:val="00EB15F3"/>
    <w:rsid w:val="00EB1FDF"/>
    <w:rsid w:val="00EB37A7"/>
    <w:rsid w:val="00EB3900"/>
    <w:rsid w:val="00EB452A"/>
    <w:rsid w:val="00EB4C37"/>
    <w:rsid w:val="00EB4CF1"/>
    <w:rsid w:val="00EB4D22"/>
    <w:rsid w:val="00EB5A67"/>
    <w:rsid w:val="00EB5AE9"/>
    <w:rsid w:val="00EB6B22"/>
    <w:rsid w:val="00EB744A"/>
    <w:rsid w:val="00EB7D34"/>
    <w:rsid w:val="00EC1F35"/>
    <w:rsid w:val="00EC3F68"/>
    <w:rsid w:val="00EC43D8"/>
    <w:rsid w:val="00EC447E"/>
    <w:rsid w:val="00EC52CA"/>
    <w:rsid w:val="00EC5CDC"/>
    <w:rsid w:val="00EC5E09"/>
    <w:rsid w:val="00ED0181"/>
    <w:rsid w:val="00ED099E"/>
    <w:rsid w:val="00ED0A7C"/>
    <w:rsid w:val="00ED2F51"/>
    <w:rsid w:val="00ED3825"/>
    <w:rsid w:val="00ED3B38"/>
    <w:rsid w:val="00ED3C4E"/>
    <w:rsid w:val="00ED4007"/>
    <w:rsid w:val="00ED4537"/>
    <w:rsid w:val="00ED528B"/>
    <w:rsid w:val="00ED5322"/>
    <w:rsid w:val="00ED5679"/>
    <w:rsid w:val="00ED5F98"/>
    <w:rsid w:val="00ED62B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5F8"/>
    <w:rsid w:val="00EF0A71"/>
    <w:rsid w:val="00EF1570"/>
    <w:rsid w:val="00EF26F8"/>
    <w:rsid w:val="00EF2A6B"/>
    <w:rsid w:val="00EF34AA"/>
    <w:rsid w:val="00EF5A20"/>
    <w:rsid w:val="00EF5FD9"/>
    <w:rsid w:val="00EF797C"/>
    <w:rsid w:val="00F00549"/>
    <w:rsid w:val="00F0062A"/>
    <w:rsid w:val="00F013AE"/>
    <w:rsid w:val="00F01998"/>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4A2A"/>
    <w:rsid w:val="00F1590C"/>
    <w:rsid w:val="00F15FF9"/>
    <w:rsid w:val="00F165E3"/>
    <w:rsid w:val="00F17163"/>
    <w:rsid w:val="00F17D61"/>
    <w:rsid w:val="00F212AD"/>
    <w:rsid w:val="00F21712"/>
    <w:rsid w:val="00F2184C"/>
    <w:rsid w:val="00F2389D"/>
    <w:rsid w:val="00F23BE7"/>
    <w:rsid w:val="00F23F5C"/>
    <w:rsid w:val="00F24311"/>
    <w:rsid w:val="00F318CF"/>
    <w:rsid w:val="00F31D01"/>
    <w:rsid w:val="00F32AC8"/>
    <w:rsid w:val="00F32C3F"/>
    <w:rsid w:val="00F32D89"/>
    <w:rsid w:val="00F32EE9"/>
    <w:rsid w:val="00F33DDC"/>
    <w:rsid w:val="00F34FEF"/>
    <w:rsid w:val="00F3561D"/>
    <w:rsid w:val="00F36763"/>
    <w:rsid w:val="00F36D68"/>
    <w:rsid w:val="00F400C8"/>
    <w:rsid w:val="00F405F5"/>
    <w:rsid w:val="00F40CAE"/>
    <w:rsid w:val="00F4154F"/>
    <w:rsid w:val="00F41935"/>
    <w:rsid w:val="00F4315F"/>
    <w:rsid w:val="00F46411"/>
    <w:rsid w:val="00F46D01"/>
    <w:rsid w:val="00F46EC7"/>
    <w:rsid w:val="00F4770C"/>
    <w:rsid w:val="00F51877"/>
    <w:rsid w:val="00F51D4A"/>
    <w:rsid w:val="00F51EBD"/>
    <w:rsid w:val="00F528CD"/>
    <w:rsid w:val="00F541B7"/>
    <w:rsid w:val="00F54460"/>
    <w:rsid w:val="00F54582"/>
    <w:rsid w:val="00F56B08"/>
    <w:rsid w:val="00F56F2E"/>
    <w:rsid w:val="00F57AD3"/>
    <w:rsid w:val="00F61699"/>
    <w:rsid w:val="00F61CD0"/>
    <w:rsid w:val="00F62810"/>
    <w:rsid w:val="00F63591"/>
    <w:rsid w:val="00F63EEB"/>
    <w:rsid w:val="00F652E0"/>
    <w:rsid w:val="00F65362"/>
    <w:rsid w:val="00F667E5"/>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61E"/>
    <w:rsid w:val="00F77B96"/>
    <w:rsid w:val="00F77E9D"/>
    <w:rsid w:val="00F80DEF"/>
    <w:rsid w:val="00F81B74"/>
    <w:rsid w:val="00F82600"/>
    <w:rsid w:val="00F831B2"/>
    <w:rsid w:val="00F84B69"/>
    <w:rsid w:val="00F84E93"/>
    <w:rsid w:val="00F84EF1"/>
    <w:rsid w:val="00F86646"/>
    <w:rsid w:val="00F86762"/>
    <w:rsid w:val="00F86FBB"/>
    <w:rsid w:val="00F87930"/>
    <w:rsid w:val="00F9038C"/>
    <w:rsid w:val="00F9087F"/>
    <w:rsid w:val="00F91184"/>
    <w:rsid w:val="00F916DB"/>
    <w:rsid w:val="00F91843"/>
    <w:rsid w:val="00F92B5B"/>
    <w:rsid w:val="00F9417B"/>
    <w:rsid w:val="00F942D1"/>
    <w:rsid w:val="00F94A47"/>
    <w:rsid w:val="00F94D75"/>
    <w:rsid w:val="00F953C6"/>
    <w:rsid w:val="00F9644C"/>
    <w:rsid w:val="00F96638"/>
    <w:rsid w:val="00F97D33"/>
    <w:rsid w:val="00FA02B5"/>
    <w:rsid w:val="00FA1253"/>
    <w:rsid w:val="00FA174A"/>
    <w:rsid w:val="00FA181D"/>
    <w:rsid w:val="00FA18B1"/>
    <w:rsid w:val="00FA2C7C"/>
    <w:rsid w:val="00FA2D8D"/>
    <w:rsid w:val="00FA3CC3"/>
    <w:rsid w:val="00FA4AD5"/>
    <w:rsid w:val="00FA5C30"/>
    <w:rsid w:val="00FA6485"/>
    <w:rsid w:val="00FA6A90"/>
    <w:rsid w:val="00FB01F3"/>
    <w:rsid w:val="00FB04D2"/>
    <w:rsid w:val="00FB179C"/>
    <w:rsid w:val="00FB3D8D"/>
    <w:rsid w:val="00FB5898"/>
    <w:rsid w:val="00FB5A2E"/>
    <w:rsid w:val="00FB702A"/>
    <w:rsid w:val="00FB732E"/>
    <w:rsid w:val="00FB7412"/>
    <w:rsid w:val="00FC0092"/>
    <w:rsid w:val="00FC0874"/>
    <w:rsid w:val="00FC0DC2"/>
    <w:rsid w:val="00FC27E6"/>
    <w:rsid w:val="00FC3820"/>
    <w:rsid w:val="00FC3966"/>
    <w:rsid w:val="00FC3D1D"/>
    <w:rsid w:val="00FC3E5D"/>
    <w:rsid w:val="00FC49AB"/>
    <w:rsid w:val="00FC4F84"/>
    <w:rsid w:val="00FC59D9"/>
    <w:rsid w:val="00FC6EE3"/>
    <w:rsid w:val="00FC7025"/>
    <w:rsid w:val="00FC7B08"/>
    <w:rsid w:val="00FD0AD7"/>
    <w:rsid w:val="00FD430F"/>
    <w:rsid w:val="00FD5CEE"/>
    <w:rsid w:val="00FD62A1"/>
    <w:rsid w:val="00FE01F5"/>
    <w:rsid w:val="00FE051B"/>
    <w:rsid w:val="00FE2904"/>
    <w:rsid w:val="00FE2C11"/>
    <w:rsid w:val="00FE31FC"/>
    <w:rsid w:val="00FE4074"/>
    <w:rsid w:val="00FE4575"/>
    <w:rsid w:val="00FE5338"/>
    <w:rsid w:val="00FE5605"/>
    <w:rsid w:val="00FE5B92"/>
    <w:rsid w:val="00FE5E41"/>
    <w:rsid w:val="00FE6072"/>
    <w:rsid w:val="00FE6711"/>
    <w:rsid w:val="00FE6D0F"/>
    <w:rsid w:val="00FE7C56"/>
    <w:rsid w:val="00FF0E6F"/>
    <w:rsid w:val="00FF13DE"/>
    <w:rsid w:val="00FF1437"/>
    <w:rsid w:val="00FF16AB"/>
    <w:rsid w:val="00FF1749"/>
    <w:rsid w:val="00FF4695"/>
    <w:rsid w:val="00FF48B5"/>
    <w:rsid w:val="00FF5655"/>
    <w:rsid w:val="00FF5902"/>
    <w:rsid w:val="00FF5EC7"/>
    <w:rsid w:val="01422B55"/>
    <w:rsid w:val="031624DE"/>
    <w:rsid w:val="071534F9"/>
    <w:rsid w:val="08F9416E"/>
    <w:rsid w:val="09CE228F"/>
    <w:rsid w:val="09F047BA"/>
    <w:rsid w:val="0D87492B"/>
    <w:rsid w:val="0DB112F6"/>
    <w:rsid w:val="0E5C65A8"/>
    <w:rsid w:val="100E13EE"/>
    <w:rsid w:val="10460117"/>
    <w:rsid w:val="16832E79"/>
    <w:rsid w:val="177E4BF3"/>
    <w:rsid w:val="1C6B4B3D"/>
    <w:rsid w:val="2035633C"/>
    <w:rsid w:val="211F1486"/>
    <w:rsid w:val="21AF4B91"/>
    <w:rsid w:val="26AD1A34"/>
    <w:rsid w:val="27984E9B"/>
    <w:rsid w:val="33A724DC"/>
    <w:rsid w:val="34EB3DBF"/>
    <w:rsid w:val="37601C15"/>
    <w:rsid w:val="378E4F96"/>
    <w:rsid w:val="37A24006"/>
    <w:rsid w:val="3988310E"/>
    <w:rsid w:val="420D1B21"/>
    <w:rsid w:val="42DC4E4C"/>
    <w:rsid w:val="47F50F98"/>
    <w:rsid w:val="49046B6A"/>
    <w:rsid w:val="551C507A"/>
    <w:rsid w:val="5B5D599C"/>
    <w:rsid w:val="5D94158A"/>
    <w:rsid w:val="5EA84D29"/>
    <w:rsid w:val="602A690B"/>
    <w:rsid w:val="694E59D0"/>
    <w:rsid w:val="6A282129"/>
    <w:rsid w:val="6D070F14"/>
    <w:rsid w:val="6EB13116"/>
    <w:rsid w:val="6F2C7694"/>
    <w:rsid w:val="732D6603"/>
    <w:rsid w:val="757776A5"/>
    <w:rsid w:val="76EB74EB"/>
    <w:rsid w:val="77647E40"/>
    <w:rsid w:val="7A181B1D"/>
    <w:rsid w:val="7BA3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61"/>
    <w:semiHidden/>
    <w:unhideWhenUsed/>
    <w:qFormat/>
    <w:uiPriority w:val="99"/>
    <w:rPr>
      <w:rFonts w:ascii="宋体"/>
      <w:sz w:val="18"/>
      <w:szCs w:val="18"/>
      <w:lang w:val="zh-CN"/>
    </w:rPr>
  </w:style>
  <w:style w:type="paragraph" w:styleId="13">
    <w:name w:val="annotation text"/>
    <w:basedOn w:val="1"/>
    <w:link w:val="53"/>
    <w:qFormat/>
    <w:uiPriority w:val="0"/>
    <w:pPr>
      <w:jc w:val="left"/>
    </w:pPr>
    <w:rPr>
      <w:lang w:val="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8"/>
    <w:qFormat/>
    <w:uiPriority w:val="99"/>
    <w:pPr>
      <w:widowControl/>
      <w:jc w:val="left"/>
    </w:pPr>
    <w:rPr>
      <w:rFonts w:ascii="Courier New" w:hAnsi="Courier New"/>
      <w:kern w:val="0"/>
      <w:sz w:val="20"/>
      <w:lang w:val="zh-CN"/>
    </w:rPr>
  </w:style>
  <w:style w:type="paragraph" w:styleId="17">
    <w:name w:val="Date"/>
    <w:basedOn w:val="1"/>
    <w:next w:val="1"/>
    <w:link w:val="65"/>
    <w:semiHidden/>
    <w:unhideWhenUsed/>
    <w:qFormat/>
    <w:uiPriority w:val="99"/>
    <w:pPr>
      <w:ind w:left="100" w:leftChars="2500"/>
    </w:pPr>
    <w:rPr>
      <w:lang w:val="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9"/>
    <w:qFormat/>
    <w:uiPriority w:val="99"/>
    <w:pPr>
      <w:tabs>
        <w:tab w:val="center" w:pos="4153"/>
        <w:tab w:val="right" w:pos="8306"/>
      </w:tabs>
      <w:snapToGrid w:val="0"/>
      <w:jc w:val="left"/>
    </w:pPr>
    <w:rPr>
      <w:sz w:val="18"/>
      <w:lang w:val="zh-CN"/>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qFormat/>
    <w:uiPriority w:val="0"/>
  </w:style>
  <w:style w:type="character" w:styleId="32">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qFormat/>
    <w:uiPriority w:val="0"/>
    <w:rPr>
      <w:sz w:val="21"/>
    </w:rPr>
  </w:style>
  <w:style w:type="character" w:customStyle="1" w:styleId="35">
    <w:name w:val="read"/>
    <w:basedOn w:val="30"/>
    <w:qFormat/>
    <w:uiPriority w:val="0"/>
  </w:style>
  <w:style w:type="character" w:customStyle="1" w:styleId="36">
    <w:name w:val="已访问的超链接1"/>
    <w:qFormat/>
    <w:uiPriority w:val="0"/>
    <w:rPr>
      <w:color w:val="800080"/>
      <w:u w:val="single"/>
    </w:rPr>
  </w:style>
  <w:style w:type="character" w:customStyle="1" w:styleId="37">
    <w:name w:val="big1"/>
    <w:qFormat/>
    <w:uiPriority w:val="0"/>
    <w:rPr>
      <w:sz w:val="22"/>
    </w:rPr>
  </w:style>
  <w:style w:type="character" w:customStyle="1" w:styleId="38">
    <w:name w:val="纯文本 Char"/>
    <w:link w:val="16"/>
    <w:qFormat/>
    <w:uiPriority w:val="99"/>
    <w:rPr>
      <w:rFonts w:ascii="Courier New" w:hAnsi="Courier New"/>
    </w:rPr>
  </w:style>
  <w:style w:type="character" w:customStyle="1" w:styleId="39">
    <w:name w:val="ten51"/>
    <w:qFormat/>
    <w:uiPriority w:val="0"/>
    <w:rPr>
      <w:sz w:val="21"/>
    </w:rPr>
  </w:style>
  <w:style w:type="paragraph" w:customStyle="1" w:styleId="40">
    <w:name w:val="Char Char Char Char Char Char Char"/>
    <w:basedOn w:val="1"/>
    <w:qFormat/>
    <w:uiPriority w:val="0"/>
  </w:style>
  <w:style w:type="paragraph" w:customStyle="1" w:styleId="4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2">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3">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4">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5">
    <w:name w:val="表格正文"/>
    <w:basedOn w:val="4"/>
    <w:qFormat/>
    <w:uiPriority w:val="0"/>
    <w:pPr>
      <w:spacing w:beforeLines="50"/>
      <w:ind w:firstLine="0" w:firstLineChars="0"/>
      <w:jc w:val="center"/>
    </w:pPr>
    <w:rPr>
      <w:sz w:val="24"/>
    </w:rPr>
  </w:style>
  <w:style w:type="paragraph" w:customStyle="1" w:styleId="46">
    <w:name w:val="Char"/>
    <w:basedOn w:val="1"/>
    <w:qFormat/>
    <w:uiPriority w:val="0"/>
  </w:style>
  <w:style w:type="paragraph" w:customStyle="1" w:styleId="47">
    <w:name w:val="Char Char Char Char1 Char Char Char"/>
    <w:basedOn w:val="1"/>
    <w:qFormat/>
    <w:uiPriority w:val="0"/>
  </w:style>
  <w:style w:type="paragraph" w:customStyle="1" w:styleId="48">
    <w:name w:val="默认段落字体 Para Char Char Char Char Char Char"/>
    <w:basedOn w:val="1"/>
    <w:qFormat/>
    <w:uiPriority w:val="0"/>
    <w:pPr>
      <w:tabs>
        <w:tab w:val="left" w:pos="840"/>
      </w:tabs>
      <w:ind w:left="840" w:hanging="360"/>
    </w:pPr>
    <w:rPr>
      <w:sz w:val="24"/>
    </w:rPr>
  </w:style>
  <w:style w:type="paragraph" w:customStyle="1" w:styleId="49">
    <w:name w:val="报告署名"/>
    <w:basedOn w:val="1"/>
    <w:next w:val="1"/>
    <w:qFormat/>
    <w:uiPriority w:val="0"/>
    <w:pPr>
      <w:spacing w:line="360" w:lineRule="auto"/>
      <w:jc w:val="center"/>
    </w:pPr>
    <w:rPr>
      <w:rFonts w:ascii="宋体" w:hAnsi="宋体"/>
      <w:sz w:val="24"/>
    </w:rPr>
  </w:style>
  <w:style w:type="paragraph" w:customStyle="1" w:styleId="50">
    <w:name w:val="Char Char Char Char Char"/>
    <w:basedOn w:val="1"/>
    <w:qFormat/>
    <w:uiPriority w:val="0"/>
    <w:pPr>
      <w:tabs>
        <w:tab w:val="left" w:pos="840"/>
      </w:tabs>
      <w:ind w:left="840" w:hanging="360"/>
    </w:pPr>
    <w:rPr>
      <w:sz w:val="24"/>
    </w:rPr>
  </w:style>
  <w:style w:type="paragraph" w:customStyle="1" w:styleId="51">
    <w:name w:val="列表2"/>
    <w:basedOn w:val="1"/>
    <w:next w:val="25"/>
    <w:qFormat/>
    <w:uiPriority w:val="0"/>
    <w:pPr>
      <w:tabs>
        <w:tab w:val="left" w:pos="1125"/>
      </w:tabs>
      <w:spacing w:line="360" w:lineRule="auto"/>
      <w:ind w:left="1125" w:hanging="1125"/>
    </w:pPr>
    <w:rPr>
      <w:rFonts w:ascii="宋体"/>
    </w:rPr>
  </w:style>
  <w:style w:type="paragraph" w:styleId="52">
    <w:name w:val="List Paragraph"/>
    <w:basedOn w:val="1"/>
    <w:qFormat/>
    <w:uiPriority w:val="0"/>
    <w:pPr>
      <w:ind w:firstLine="420" w:firstLineChars="200"/>
    </w:pPr>
  </w:style>
  <w:style w:type="character" w:customStyle="1" w:styleId="53">
    <w:name w:val="批注文字 Char"/>
    <w:link w:val="13"/>
    <w:qFormat/>
    <w:uiPriority w:val="0"/>
    <w:rPr>
      <w:kern w:val="2"/>
      <w:sz w:val="21"/>
    </w:rPr>
  </w:style>
  <w:style w:type="paragraph" w:customStyle="1" w:styleId="54">
    <w:name w:val="Char Char"/>
    <w:basedOn w:val="1"/>
    <w:qFormat/>
    <w:uiPriority w:val="0"/>
    <w:pPr>
      <w:tabs>
        <w:tab w:val="left" w:pos="840"/>
      </w:tabs>
      <w:ind w:left="840" w:hanging="360"/>
    </w:pPr>
    <w:rPr>
      <w:sz w:val="24"/>
      <w:szCs w:val="24"/>
    </w:rPr>
  </w:style>
  <w:style w:type="paragraph" w:customStyle="1" w:styleId="55">
    <w:name w:val="1 Char"/>
    <w:basedOn w:val="1"/>
    <w:semiHidden/>
    <w:qFormat/>
    <w:uiPriority w:val="0"/>
    <w:pPr>
      <w:tabs>
        <w:tab w:val="left" w:pos="360"/>
      </w:tabs>
    </w:pPr>
    <w:rPr>
      <w:sz w:val="24"/>
      <w:szCs w:val="24"/>
    </w:rPr>
  </w:style>
  <w:style w:type="paragraph" w:customStyle="1" w:styleId="56">
    <w:name w:val="修订1"/>
    <w:hidden/>
    <w:semiHidden/>
    <w:qFormat/>
    <w:uiPriority w:val="99"/>
    <w:rPr>
      <w:rFonts w:ascii="Times New Roman" w:hAnsi="Times New Roman" w:eastAsia="宋体" w:cs="Times New Roman"/>
      <w:kern w:val="2"/>
      <w:sz w:val="21"/>
      <w:lang w:val="en-US" w:eastAsia="zh-CN" w:bidi="ar-SA"/>
    </w:rPr>
  </w:style>
  <w:style w:type="character" w:customStyle="1" w:styleId="57">
    <w:name w:val="unnamed11"/>
    <w:qFormat/>
    <w:uiPriority w:val="0"/>
    <w:rPr>
      <w:rFonts w:hint="eastAsia" w:ascii="宋体" w:hAnsi="宋体" w:eastAsia="宋体"/>
      <w:sz w:val="18"/>
      <w:szCs w:val="18"/>
    </w:rPr>
  </w:style>
  <w:style w:type="paragraph" w:customStyle="1" w:styleId="5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9">
    <w:name w:val="页脚 Char"/>
    <w:link w:val="20"/>
    <w:qFormat/>
    <w:uiPriority w:val="99"/>
    <w:rPr>
      <w:kern w:val="2"/>
      <w:sz w:val="18"/>
    </w:rPr>
  </w:style>
  <w:style w:type="paragraph" w:customStyle="1" w:styleId="60">
    <w:name w:val="Char1"/>
    <w:basedOn w:val="1"/>
    <w:qFormat/>
    <w:uiPriority w:val="0"/>
  </w:style>
  <w:style w:type="character" w:customStyle="1" w:styleId="61">
    <w:name w:val="文档结构图 Char"/>
    <w:link w:val="12"/>
    <w:semiHidden/>
    <w:qFormat/>
    <w:uiPriority w:val="99"/>
    <w:rPr>
      <w:rFonts w:ascii="宋体"/>
      <w:kern w:val="2"/>
      <w:sz w:val="18"/>
      <w:szCs w:val="18"/>
    </w:rPr>
  </w:style>
  <w:style w:type="character" w:customStyle="1" w:styleId="62">
    <w:name w:val="批注引用1"/>
    <w:qFormat/>
    <w:uiPriority w:val="0"/>
    <w:rPr>
      <w:sz w:val="21"/>
    </w:rPr>
  </w:style>
  <w:style w:type="paragraph" w:customStyle="1" w:styleId="63">
    <w:name w:val="Char Char Char1"/>
    <w:basedOn w:val="1"/>
    <w:qFormat/>
    <w:uiPriority w:val="0"/>
  </w:style>
  <w:style w:type="character" w:customStyle="1" w:styleId="64">
    <w:name w:val="批注引用2"/>
    <w:qFormat/>
    <w:uiPriority w:val="0"/>
    <w:rPr>
      <w:sz w:val="21"/>
      <w:szCs w:val="21"/>
    </w:rPr>
  </w:style>
  <w:style w:type="character" w:customStyle="1" w:styleId="65">
    <w:name w:val="日期 Char"/>
    <w:link w:val="17"/>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A8ED8-0483-4D9E-8ED9-5BDEB16B318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143</Pages>
  <Words>15316</Words>
  <Characters>87304</Characters>
  <Lines>727</Lines>
  <Paragraphs>204</Paragraphs>
  <TotalTime>22</TotalTime>
  <ScaleCrop>false</ScaleCrop>
  <LinksUpToDate>false</LinksUpToDate>
  <CharactersWithSpaces>102416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2021-04-23T01:32:00Z</dcterms:created>
  <dc:creator>倪俊-2</dc:creator>
  <cp:lastModifiedBy>zhangminjun</cp:lastModifiedBy>
  <cp:lastPrinted>2020-10-27T01:50:00Z</cp:lastPrinted>
  <dcterms:modified xsi:type="dcterms:W3CDTF">2021-06-30T07:32:59Z</dcterms:modified>
  <dc:title>招募说明书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