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中证</w:t>
      </w:r>
      <w:r>
        <w:rPr>
          <w:rFonts w:hint="eastAsia"/>
          <w:b/>
          <w:sz w:val="44"/>
          <w:szCs w:val="44"/>
        </w:rPr>
        <w:t>环境治理指数型</w:t>
      </w:r>
      <w:r>
        <w:rPr>
          <w:rFonts w:hAnsi="宋体"/>
          <w:b/>
          <w:sz w:val="44"/>
        </w:rPr>
        <w:t>证券投资</w:t>
      </w:r>
    </w:p>
    <w:p>
      <w:pPr>
        <w:adjustRightInd w:val="0"/>
        <w:snapToGrid w:val="0"/>
        <w:spacing w:line="360" w:lineRule="auto"/>
        <w:jc w:val="center"/>
        <w:rPr>
          <w:sz w:val="24"/>
        </w:rPr>
      </w:pPr>
      <w:r>
        <w:rPr>
          <w:rFonts w:hAnsi="宋体"/>
          <w:b/>
          <w:sz w:val="44"/>
        </w:rPr>
        <w:t>基金</w:t>
      </w:r>
      <w:r>
        <w:rPr>
          <w:rFonts w:hint="eastAsia" w:hAnsi="宋体"/>
          <w:b/>
          <w:sz w:val="44"/>
        </w:rPr>
        <w:t>（LOF）（</w:t>
      </w:r>
      <w:r>
        <w:rPr>
          <w:rFonts w:hAnsi="宋体"/>
          <w:b/>
          <w:sz w:val="44"/>
        </w:rPr>
        <w:t>更新）招募说明书</w:t>
      </w:r>
    </w:p>
    <w:p>
      <w:pPr>
        <w:spacing w:line="360" w:lineRule="auto"/>
        <w:rPr>
          <w:rFonts w:hAnsi="宋体"/>
          <w:b/>
          <w:sz w:val="28"/>
          <w:szCs w:val="28"/>
        </w:rPr>
      </w:pPr>
    </w:p>
    <w:p>
      <w:pPr>
        <w:spacing w:line="360" w:lineRule="auto"/>
        <w:jc w:val="center"/>
        <w:rPr>
          <w:rFonts w:ascii="黑体" w:hAnsi="宋体" w:eastAsia="黑体"/>
          <w:b/>
          <w:sz w:val="32"/>
          <w:szCs w:val="32"/>
        </w:rPr>
      </w:pPr>
      <w:r>
        <w:rPr>
          <w:rFonts w:hint="eastAsia" w:ascii="黑体" w:hAnsi="宋体" w:eastAsia="黑体"/>
          <w:b/>
          <w:sz w:val="32"/>
          <w:szCs w:val="32"/>
        </w:rPr>
        <w:t>（20</w:t>
      </w:r>
      <w:r>
        <w:rPr>
          <w:rFonts w:ascii="黑体" w:hAnsi="宋体" w:eastAsia="黑体"/>
          <w:b/>
          <w:sz w:val="32"/>
          <w:szCs w:val="32"/>
        </w:rPr>
        <w:t>21</w:t>
      </w:r>
      <w:r>
        <w:rPr>
          <w:rFonts w:hint="eastAsia" w:ascii="黑体" w:hAnsi="宋体" w:eastAsia="黑体"/>
          <w:b/>
          <w:sz w:val="32"/>
          <w:szCs w:val="32"/>
        </w:rPr>
        <w:t>年第</w:t>
      </w:r>
      <w:r>
        <w:rPr>
          <w:rFonts w:ascii="黑体" w:hAnsi="宋体" w:eastAsia="黑体"/>
          <w:b/>
          <w:sz w:val="32"/>
          <w:szCs w:val="32"/>
        </w:rPr>
        <w:t>2</w:t>
      </w:r>
      <w:r>
        <w:rPr>
          <w:rFonts w:hint="eastAsia" w:ascii="黑体" w:hAnsi="宋体" w:eastAsia="黑体"/>
          <w:b/>
          <w:sz w:val="32"/>
          <w:szCs w:val="32"/>
        </w:rPr>
        <w:t>号）</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中信</w:t>
      </w:r>
      <w:r>
        <w:rPr>
          <w:rFonts w:hAnsi="宋体"/>
          <w:b/>
          <w:sz w:val="28"/>
        </w:rPr>
        <w:t>银行股份有限公司</w:t>
      </w: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一</w:t>
      </w:r>
      <w:r>
        <w:rPr>
          <w:rFonts w:hAnsi="宋体"/>
          <w:b/>
          <w:sz w:val="28"/>
        </w:rPr>
        <w:t>年</w:t>
      </w:r>
      <w:r>
        <w:rPr>
          <w:rFonts w:hint="eastAsia" w:hAnsi="宋体"/>
          <w:b/>
          <w:sz w:val="28"/>
        </w:rPr>
        <w:t>五</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center"/>
        <w:rPr>
          <w:rFonts w:hAnsi="宋体"/>
          <w:kern w:val="0"/>
        </w:rPr>
      </w:pPr>
    </w:p>
    <w:p>
      <w:pPr>
        <w:widowControl/>
        <w:spacing w:line="360" w:lineRule="auto"/>
        <w:jc w:val="center"/>
        <w:rPr>
          <w:rFonts w:hAnsi="宋体"/>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bCs/>
          <w:sz w:val="24"/>
        </w:rPr>
        <w:t>中证环境治理指数型</w:t>
      </w:r>
      <w:r>
        <w:rPr>
          <w:kern w:val="0"/>
          <w:sz w:val="24"/>
        </w:rPr>
        <w:t>证券投资基金</w:t>
      </w:r>
      <w:r>
        <w:rPr>
          <w:rFonts w:hint="eastAsia"/>
          <w:kern w:val="0"/>
          <w:sz w:val="24"/>
        </w:rPr>
        <w:t>（LOF）</w:t>
      </w:r>
      <w:r>
        <w:rPr>
          <w:kern w:val="0"/>
          <w:sz w:val="24"/>
        </w:rPr>
        <w:t>（以下简称</w:t>
      </w:r>
      <w:r>
        <w:rPr>
          <w:rFonts w:ascii="宋体" w:hAnsi="宋体"/>
          <w:kern w:val="0"/>
          <w:sz w:val="24"/>
        </w:rPr>
        <w:t>“本基金”</w:t>
      </w:r>
      <w:r>
        <w:rPr>
          <w:rFonts w:hAnsi="宋体"/>
          <w:kern w:val="0"/>
          <w:sz w:val="24"/>
        </w:rPr>
        <w:t>）</w:t>
      </w:r>
      <w:r>
        <w:rPr>
          <w:rFonts w:hint="eastAsia" w:hAnsi="宋体"/>
          <w:kern w:val="0"/>
          <w:sz w:val="24"/>
        </w:rPr>
        <w:t>由交银施罗德中证环境治理指数分级证券投资基金转型而成。交银施罗德中证环境治理指数分级证券投资基金基金份额持有人大会于2016年6月30日审议通过《关于交银施罗德中证环境治理指数分级证券投资基金转型及基金合同修改有关事项的议案》，基金份额持有人大会决议自表决通过之日起生效，报中国证监会备案。自2016年7月19日起，由《交银施罗德中证环境治理指数分级证券投资基金基金合同》修订而成的《交银施罗德中证环境治理指数型证券投资基金（LOF）基金合同》生效</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w:t>
      </w:r>
      <w:r>
        <w:rPr>
          <w:rFonts w:hint="eastAsia" w:hAnsi="宋体"/>
          <w:kern w:val="0"/>
          <w:sz w:val="24"/>
        </w:rPr>
        <w:t>交银施罗德中证环境治理指数分级证券投资基金</w:t>
      </w:r>
      <w:r>
        <w:rPr>
          <w:kern w:val="0"/>
          <w:sz w:val="24"/>
        </w:rPr>
        <w:t>募集的</w:t>
      </w:r>
      <w:r>
        <w:rPr>
          <w:rFonts w:hint="eastAsia"/>
          <w:kern w:val="0"/>
          <w:sz w:val="24"/>
        </w:rPr>
        <w:t>注册以及变更注册</w:t>
      </w:r>
      <w:r>
        <w:rPr>
          <w:kern w:val="0"/>
          <w:sz w:val="24"/>
        </w:rPr>
        <w:t xml:space="preserve">，并不表明其对本基金的价值和收益作出实质性判断或保证，也不表明投资于本基金没有风险。 </w:t>
      </w:r>
      <w:r>
        <w:rPr>
          <w:rFonts w:hint="eastAsia"/>
          <w:kern w:val="0"/>
          <w:sz w:val="24"/>
        </w:rPr>
        <w:t>中国</w:t>
      </w:r>
      <w:r>
        <w:rPr>
          <w:kern w:val="0"/>
          <w:sz w:val="24"/>
        </w:rPr>
        <w:t>证监会不对基金的投资价值及市场前景等作出实质性判断或保证。</w:t>
      </w:r>
    </w:p>
    <w:p>
      <w:pPr>
        <w:widowControl/>
        <w:adjustRightInd w:val="0"/>
        <w:snapToGrid w:val="0"/>
        <w:spacing w:line="360" w:lineRule="auto"/>
        <w:ind w:firstLine="480" w:firstLineChars="20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color w:val="FF0000"/>
          <w:sz w:val="24"/>
          <w:szCs w:val="18"/>
        </w:rPr>
      </w:pPr>
      <w:r>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市场风险；基金管理人在基金管理实施过程中产生的基金管理风险；流动性风险；交易对手违约风险；投资股指期货的特定风险；投资科创板股票的特定风险；投资本基金特有的风险等等</w:t>
      </w:r>
      <w:r>
        <w:rPr>
          <w:color w:val="000000"/>
          <w:kern w:val="0"/>
          <w:sz w:val="24"/>
        </w:rPr>
        <w:t>。</w:t>
      </w:r>
      <w:r>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跟踪误差控制未达约定目标的风险、指数编制机构停止服务的风险、成份股停牌的风险等；基金运作的特有风险主要包括：上市交易风险、基金份额的折/溢价交易风险等。</w:t>
      </w:r>
    </w:p>
    <w:p>
      <w:pPr>
        <w:widowControl/>
        <w:adjustRightInd w:val="0"/>
        <w:snapToGrid w:val="0"/>
        <w:spacing w:line="360" w:lineRule="auto"/>
        <w:ind w:firstLine="480" w:firstLineChars="200"/>
        <w:rPr>
          <w:kern w:val="0"/>
          <w:sz w:val="24"/>
        </w:rPr>
      </w:pPr>
      <w:r>
        <w:rPr>
          <w:rFonts w:hint="eastAsia"/>
          <w:kern w:val="0"/>
          <w:sz w:val="24"/>
        </w:rPr>
        <w:t>本基金是一只股票型基金，其预期风险与预期收益高于混合型基金、债券型基金和货币市场基金，属于承担较高预期风险、预期收益较高的证券投资基金品种。</w:t>
      </w:r>
    </w:p>
    <w:p>
      <w:pPr>
        <w:widowControl/>
        <w:adjustRightInd w:val="0"/>
        <w:snapToGrid w:val="0"/>
        <w:spacing w:line="360" w:lineRule="auto"/>
        <w:ind w:firstLine="480" w:firstLineChars="200"/>
        <w:rPr>
          <w:bCs/>
          <w:kern w:val="0"/>
          <w:sz w:val="24"/>
        </w:rPr>
      </w:pPr>
      <w:r>
        <w:rPr>
          <w:rFonts w:hint="eastAsia"/>
          <w:bCs/>
          <w:kern w:val="0"/>
          <w:sz w:val="24"/>
        </w:rPr>
        <w:t>本基金为指数基金，投资者投资于本基金面临跟踪误差控制未达约定目标、指数编制机构停止服务、成份券停牌等潜在风险。</w:t>
      </w:r>
    </w:p>
    <w:p>
      <w:pPr>
        <w:widowControl/>
        <w:adjustRightInd w:val="0"/>
        <w:snapToGrid w:val="0"/>
        <w:spacing w:line="360" w:lineRule="auto"/>
        <w:ind w:firstLine="480" w:firstLineChars="200"/>
        <w:rPr>
          <w:kern w:val="0"/>
          <w:sz w:val="24"/>
        </w:rPr>
      </w:pPr>
      <w:r>
        <w:rPr>
          <w:rFonts w:hint="eastAsia"/>
          <w:kern w:val="0"/>
          <w:sz w:val="24"/>
        </w:rPr>
        <w:t>本基金标的指数为中证环境治理指数。</w:t>
      </w:r>
    </w:p>
    <w:p>
      <w:pPr>
        <w:pStyle w:val="51"/>
        <w:widowControl/>
        <w:numPr>
          <w:ilvl w:val="0"/>
          <w:numId w:val="1"/>
        </w:numPr>
        <w:adjustRightInd w:val="0"/>
        <w:snapToGrid w:val="0"/>
        <w:spacing w:line="360" w:lineRule="auto"/>
        <w:ind w:firstLineChars="0"/>
        <w:rPr>
          <w:kern w:val="0"/>
          <w:sz w:val="24"/>
        </w:rPr>
      </w:pPr>
      <w:r>
        <w:rPr>
          <w:rFonts w:hint="eastAsia"/>
          <w:kern w:val="0"/>
          <w:sz w:val="24"/>
        </w:rPr>
        <w:t>选样空间</w:t>
      </w:r>
    </w:p>
    <w:p>
      <w:pPr>
        <w:widowControl/>
        <w:adjustRightInd w:val="0"/>
        <w:snapToGrid w:val="0"/>
        <w:spacing w:line="360" w:lineRule="auto"/>
        <w:ind w:left="480"/>
        <w:rPr>
          <w:kern w:val="0"/>
          <w:sz w:val="24"/>
        </w:rPr>
      </w:pPr>
      <w:r>
        <w:rPr>
          <w:rFonts w:hint="eastAsia"/>
          <w:kern w:val="0"/>
          <w:sz w:val="24"/>
        </w:rPr>
        <w:t>同中证全指指数的样本空间。</w:t>
      </w:r>
    </w:p>
    <w:p>
      <w:pPr>
        <w:pStyle w:val="51"/>
        <w:widowControl/>
        <w:numPr>
          <w:ilvl w:val="0"/>
          <w:numId w:val="1"/>
        </w:numPr>
        <w:adjustRightInd w:val="0"/>
        <w:snapToGrid w:val="0"/>
        <w:spacing w:line="360" w:lineRule="auto"/>
        <w:ind w:firstLineChars="0"/>
        <w:rPr>
          <w:kern w:val="0"/>
          <w:sz w:val="24"/>
        </w:rPr>
      </w:pPr>
      <w:r>
        <w:rPr>
          <w:rFonts w:hint="eastAsia"/>
          <w:kern w:val="0"/>
          <w:sz w:val="24"/>
        </w:rPr>
        <w:t>选样方法</w:t>
      </w:r>
    </w:p>
    <w:p>
      <w:pPr>
        <w:widowControl/>
        <w:adjustRightInd w:val="0"/>
        <w:snapToGrid w:val="0"/>
        <w:spacing w:line="360" w:lineRule="auto"/>
        <w:ind w:firstLine="480" w:firstLineChars="200"/>
        <w:rPr>
          <w:kern w:val="0"/>
          <w:sz w:val="24"/>
        </w:rPr>
      </w:pPr>
      <w:r>
        <w:rPr>
          <w:rFonts w:hint="eastAsia"/>
          <w:kern w:val="0"/>
          <w:sz w:val="24"/>
        </w:rPr>
        <w:t>（1）对样本空间内证券按照过去一年的日均成交金额由高到低排名，剔除排名后20%的证券；</w:t>
      </w:r>
    </w:p>
    <w:p>
      <w:pPr>
        <w:widowControl/>
        <w:adjustRightInd w:val="0"/>
        <w:snapToGrid w:val="0"/>
        <w:spacing w:line="360" w:lineRule="auto"/>
        <w:ind w:firstLine="480" w:firstLineChars="200"/>
        <w:rPr>
          <w:kern w:val="0"/>
          <w:sz w:val="24"/>
        </w:rPr>
      </w:pPr>
      <w:r>
        <w:rPr>
          <w:rFonts w:hint="eastAsia"/>
          <w:kern w:val="0"/>
          <w:sz w:val="24"/>
        </w:rPr>
        <w:t>（2）对样本空间剩余证券，选取涉及污水处理、固废处理、大气治理和节能再生等环保业务的上市公司证券进入环保治理主题；</w:t>
      </w:r>
    </w:p>
    <w:p>
      <w:pPr>
        <w:widowControl/>
        <w:adjustRightInd w:val="0"/>
        <w:snapToGrid w:val="0"/>
        <w:spacing w:line="360" w:lineRule="auto"/>
        <w:ind w:firstLine="480" w:firstLineChars="200"/>
        <w:rPr>
          <w:kern w:val="0"/>
          <w:sz w:val="24"/>
        </w:rPr>
      </w:pPr>
      <w:r>
        <w:rPr>
          <w:kern w:val="0"/>
          <w:sz w:val="24"/>
        </w:rPr>
        <w:t>（3）</w:t>
      </w:r>
      <w:r>
        <w:rPr>
          <w:rFonts w:hint="eastAsia"/>
          <w:kern w:val="0"/>
          <w:sz w:val="24"/>
        </w:rPr>
        <w:t>将（2）中剩余证券按照最近一年日均总市值由高到低排名，选取排名在前50的证券作为指数样本。</w:t>
      </w:r>
    </w:p>
    <w:p>
      <w:pPr>
        <w:pStyle w:val="51"/>
        <w:widowControl/>
        <w:numPr>
          <w:ilvl w:val="0"/>
          <w:numId w:val="1"/>
        </w:numPr>
        <w:adjustRightInd w:val="0"/>
        <w:snapToGrid w:val="0"/>
        <w:spacing w:line="360" w:lineRule="auto"/>
        <w:ind w:firstLineChars="0"/>
        <w:rPr>
          <w:kern w:val="0"/>
          <w:sz w:val="24"/>
        </w:rPr>
      </w:pPr>
      <w:r>
        <w:rPr>
          <w:rFonts w:hint="eastAsia"/>
          <w:kern w:val="0"/>
          <w:sz w:val="24"/>
        </w:rPr>
        <w:t>指数计算</w:t>
      </w:r>
    </w:p>
    <w:p>
      <w:pPr>
        <w:widowControl/>
        <w:adjustRightInd w:val="0"/>
        <w:snapToGrid w:val="0"/>
        <w:spacing w:line="360" w:lineRule="auto"/>
        <w:ind w:firstLine="480" w:firstLineChars="200"/>
        <w:rPr>
          <w:kern w:val="0"/>
          <w:sz w:val="24"/>
        </w:rPr>
      </w:pPr>
      <w:r>
        <w:rPr>
          <w:rFonts w:hint="eastAsia"/>
          <w:kern w:val="0"/>
          <w:sz w:val="24"/>
        </w:rPr>
        <w:t>指数计算公式为：</w:t>
      </w:r>
    </w:p>
    <w:p>
      <w:pPr>
        <w:widowControl/>
        <w:adjustRightInd w:val="0"/>
        <w:snapToGrid w:val="0"/>
        <w:spacing w:line="360" w:lineRule="auto"/>
        <w:rPr>
          <w:kern w:val="0"/>
          <w:sz w:val="24"/>
        </w:rPr>
      </w:pPr>
      <w:r>
        <w:drawing>
          <wp:inline distT="0" distB="0" distL="0" distR="0">
            <wp:extent cx="4328160" cy="6737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494063" cy="700162"/>
                    </a:xfrm>
                    <a:prstGeom prst="rect">
                      <a:avLst/>
                    </a:prstGeom>
                  </pic:spPr>
                </pic:pic>
              </a:graphicData>
            </a:graphic>
          </wp:inline>
        </w:drawing>
      </w:r>
    </w:p>
    <w:p>
      <w:pPr>
        <w:widowControl/>
        <w:adjustRightInd w:val="0"/>
        <w:snapToGrid w:val="0"/>
        <w:spacing w:line="360" w:lineRule="auto"/>
        <w:ind w:firstLine="480" w:firstLineChars="200"/>
        <w:rPr>
          <w:kern w:val="0"/>
          <w:sz w:val="24"/>
        </w:rPr>
      </w:pPr>
      <w:r>
        <w:rPr>
          <w:rFonts w:hint="eastAsia"/>
          <w:kern w:val="0"/>
          <w:sz w:val="24"/>
        </w:rPr>
        <w:t>其中，调整市值＝∑（证券价格×调整股本数×权重因子）。权重因子介于0和1之间，以使所有样本权重相等。</w:t>
      </w:r>
    </w:p>
    <w:p>
      <w:pPr>
        <w:widowControl/>
        <w:adjustRightInd w:val="0"/>
        <w:snapToGrid w:val="0"/>
        <w:spacing w:line="360" w:lineRule="auto"/>
        <w:ind w:firstLine="480" w:firstLineChars="200"/>
        <w:rPr>
          <w:kern w:val="0"/>
          <w:sz w:val="24"/>
        </w:rPr>
      </w:pPr>
      <w:r>
        <w:rPr>
          <w:rFonts w:hint="eastAsia"/>
          <w:kern w:val="0"/>
          <w:sz w:val="24"/>
        </w:rPr>
        <w:t>有关标的指数具体编制方案及成份股信息详见中证指数有限公司官方网站，网址：</w:t>
      </w:r>
      <w:r>
        <w:rPr>
          <w:kern w:val="0"/>
          <w:sz w:val="24"/>
        </w:rPr>
        <w:fldChar w:fldCharType="begin"/>
      </w:r>
      <w:r>
        <w:rPr>
          <w:kern w:val="0"/>
          <w:sz w:val="24"/>
        </w:rPr>
        <w:instrText xml:space="preserve"> HYPERLINK "http://</w:instrText>
      </w:r>
      <w:r>
        <w:rPr>
          <w:rFonts w:hint="eastAsia"/>
          <w:kern w:val="0"/>
          <w:sz w:val="24"/>
        </w:rPr>
        <w:instrText xml:space="preserve">www.csindex.com.cn</w:instrText>
      </w:r>
      <w:r>
        <w:rPr>
          <w:kern w:val="0"/>
          <w:sz w:val="24"/>
        </w:rPr>
        <w:instrText xml:space="preserve">" </w:instrText>
      </w:r>
      <w:r>
        <w:rPr>
          <w:kern w:val="0"/>
          <w:sz w:val="24"/>
        </w:rPr>
        <w:fldChar w:fldCharType="separate"/>
      </w:r>
      <w:r>
        <w:rPr>
          <w:rStyle w:val="32"/>
          <w:rFonts w:hint="eastAsia"/>
          <w:kern w:val="0"/>
          <w:sz w:val="24"/>
        </w:rPr>
        <w:t>www.csindex.com.cn</w:t>
      </w:r>
      <w:r>
        <w:rPr>
          <w:kern w:val="0"/>
          <w:sz w:val="24"/>
        </w:rPr>
        <w:fldChar w:fldCharType="end"/>
      </w:r>
      <w:r>
        <w:rPr>
          <w:rFonts w:hint="eastAsia"/>
          <w:kern w:val="0"/>
          <w:sz w:val="24"/>
        </w:rPr>
        <w:t>。</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投资有风险，投资人在投资本基金前应认真阅读本基金的招募说明书和基金合同</w:t>
      </w:r>
      <w:r>
        <w:rPr>
          <w:rFonts w:hint="eastAsia"/>
          <w:bCs/>
          <w:kern w:val="0"/>
          <w:sz w:val="24"/>
        </w:rPr>
        <w:t>、基金产品资料概要</w:t>
      </w:r>
      <w:r>
        <w:rPr>
          <w:rFonts w:hint="eastAsia"/>
          <w:kern w:val="0"/>
          <w:sz w:val="24"/>
        </w:rPr>
        <w:t>等</w:t>
      </w:r>
      <w:r>
        <w:rPr>
          <w:kern w:val="0"/>
          <w:sz w:val="24"/>
        </w:rPr>
        <w:t>信息披露文件。基金的过往业绩并不代表未来表现。基金管理人管理的其他基金的业绩并不构成对本基金业绩表现的保证。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kern w:val="0"/>
          <w:sz w:val="24"/>
        </w:rPr>
      </w:pPr>
      <w:r>
        <w:rPr>
          <w:rFonts w:hint="eastAsia"/>
          <w:kern w:val="0"/>
          <w:sz w:val="24"/>
        </w:rPr>
        <w:t>本次更新招募说明书主要对基金经理变更相关事项进行了相应更新，更新截止日为2021年5月6日，除非另有说明，本招募说明书其他所载内容截止日为2020年05月13日，有关财务和业绩表现数据截止日为2020年03月31日，财务和业绩表现数据未经审计。</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line="360" w:lineRule="auto"/>
        <w:jc w:val="center"/>
        <w:rPr>
          <w:color w:val="FF0000"/>
          <w:sz w:val="24"/>
          <w:szCs w:val="18"/>
        </w:rPr>
      </w:pPr>
      <w:r>
        <w:rPr>
          <w:rFonts w:ascii="宋体" w:hAnsi="宋体"/>
          <w:kern w:val="0"/>
          <w:sz w:val="30"/>
        </w:rPr>
        <w:br w:type="page"/>
      </w:r>
      <w:r>
        <w:rPr>
          <w:rFonts w:ascii="宋体" w:hAnsi="宋体"/>
          <w:b/>
          <w:kern w:val="0"/>
          <w:sz w:val="30"/>
        </w:rPr>
        <w:t>目 录</w:t>
      </w:r>
    </w:p>
    <w:p>
      <w:pPr>
        <w:pStyle w:val="22"/>
        <w:snapToGrid w:val="0"/>
        <w:contextualSpacing/>
        <w:rPr>
          <w:rFonts w:asciiTheme="minorHAnsi" w:hAnsiTheme="minorHAnsi" w:eastAsiaTheme="minorEastAsia" w:cstheme="minorBidi"/>
          <w:sz w:val="21"/>
          <w:szCs w:val="22"/>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"_Toc524440777" </w:instrText>
      </w:r>
      <w:r>
        <w:fldChar w:fldCharType="separate"/>
      </w:r>
      <w:r>
        <w:rPr>
          <w:rStyle w:val="32"/>
          <w:rFonts w:hint="eastAsia" w:ascii="宋体"/>
          <w:b/>
          <w:kern w:val="0"/>
        </w:rPr>
        <w:t>一、绪言</w:t>
      </w:r>
      <w:r>
        <w:tab/>
      </w:r>
      <w:r>
        <w:fldChar w:fldCharType="begin"/>
      </w:r>
      <w:r>
        <w:instrText xml:space="preserve"> PAGEREF _Toc524440777 \h </w:instrText>
      </w:r>
      <w:r>
        <w:fldChar w:fldCharType="separate"/>
      </w:r>
      <w:r>
        <w:t>5</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"_Toc524440778" </w:instrText>
      </w:r>
      <w:r>
        <w:fldChar w:fldCharType="separate"/>
      </w:r>
      <w:r>
        <w:rPr>
          <w:rStyle w:val="32"/>
          <w:rFonts w:hint="eastAsia" w:ascii="宋体"/>
          <w:b/>
          <w:kern w:val="0"/>
        </w:rPr>
        <w:t>二、释义</w:t>
      </w:r>
      <w:r>
        <w:tab/>
      </w:r>
      <w:r>
        <w:fldChar w:fldCharType="begin"/>
      </w:r>
      <w:r>
        <w:instrText xml:space="preserve"> PAGEREF _Toc524440778 \h </w:instrText>
      </w:r>
      <w:r>
        <w:fldChar w:fldCharType="separate"/>
      </w:r>
      <w:r>
        <w:t>6</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"_Toc524440779" </w:instrText>
      </w:r>
      <w:r>
        <w:fldChar w:fldCharType="separate"/>
      </w:r>
      <w:r>
        <w:rPr>
          <w:rStyle w:val="32"/>
          <w:rFonts w:hint="eastAsia" w:ascii="宋体"/>
          <w:b/>
          <w:kern w:val="0"/>
        </w:rPr>
        <w:t>三、基金管理人</w:t>
      </w:r>
      <w:r>
        <w:tab/>
      </w:r>
      <w:r>
        <w:fldChar w:fldCharType="begin"/>
      </w:r>
      <w:r>
        <w:instrText xml:space="preserve"> PAGEREF _Toc524440779 \h </w:instrText>
      </w:r>
      <w:r>
        <w:fldChar w:fldCharType="separate"/>
      </w:r>
      <w:r>
        <w:t>12</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"_Toc524440780" </w:instrText>
      </w:r>
      <w:r>
        <w:fldChar w:fldCharType="separate"/>
      </w:r>
      <w:r>
        <w:rPr>
          <w:rStyle w:val="32"/>
          <w:rFonts w:hint="eastAsia" w:ascii="宋体"/>
          <w:b/>
          <w:kern w:val="0"/>
        </w:rPr>
        <w:t>四、基金托管人</w:t>
      </w:r>
      <w:r>
        <w:tab/>
      </w:r>
      <w:r>
        <w:fldChar w:fldCharType="begin"/>
      </w:r>
      <w:r>
        <w:instrText xml:space="preserve"> PAGEREF _Toc524440780 \h </w:instrText>
      </w:r>
      <w:r>
        <w:fldChar w:fldCharType="separate"/>
      </w:r>
      <w:r>
        <w:t>21</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"_Toc524440781" </w:instrText>
      </w:r>
      <w:r>
        <w:fldChar w:fldCharType="separate"/>
      </w:r>
      <w:r>
        <w:rPr>
          <w:rStyle w:val="32"/>
          <w:rFonts w:hint="eastAsia" w:ascii="宋体"/>
          <w:b/>
          <w:kern w:val="0"/>
        </w:rPr>
        <w:t>五、相关服务机构</w:t>
      </w:r>
      <w:r>
        <w:tab/>
      </w:r>
      <w:r>
        <w:fldChar w:fldCharType="begin"/>
      </w:r>
      <w:r>
        <w:instrText xml:space="preserve"> PAGEREF _Toc524440781 \h </w:instrText>
      </w:r>
      <w:r>
        <w:fldChar w:fldCharType="separate"/>
      </w:r>
      <w:r>
        <w:t>26</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"_Toc524440782" </w:instrText>
      </w:r>
      <w:r>
        <w:fldChar w:fldCharType="separate"/>
      </w:r>
      <w:r>
        <w:rPr>
          <w:rStyle w:val="32"/>
          <w:rFonts w:hint="eastAsia" w:ascii="宋体"/>
          <w:b/>
          <w:kern w:val="0"/>
        </w:rPr>
        <w:t>六、基金的历史沿革</w:t>
      </w:r>
      <w:r>
        <w:tab/>
      </w:r>
      <w:r>
        <w:fldChar w:fldCharType="begin"/>
      </w:r>
      <w:r>
        <w:instrText xml:space="preserve"> PAGEREF _Toc524440782 \h </w:instrText>
      </w:r>
      <w:r>
        <w:fldChar w:fldCharType="separate"/>
      </w:r>
      <w:r>
        <w:t>52</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"_Toc524440783" </w:instrText>
      </w:r>
      <w:r>
        <w:fldChar w:fldCharType="separate"/>
      </w:r>
      <w:r>
        <w:rPr>
          <w:rStyle w:val="32"/>
          <w:rFonts w:hint="eastAsia" w:ascii="宋体"/>
          <w:b/>
          <w:kern w:val="0"/>
        </w:rPr>
        <w:t>七、</w:t>
      </w:r>
      <w:r>
        <w:rPr>
          <w:rStyle w:val="32"/>
          <w:rFonts w:hint="eastAsia"/>
          <w:b/>
        </w:rPr>
        <w:t>基金的存续</w:t>
      </w:r>
      <w:r>
        <w:tab/>
      </w:r>
      <w:r>
        <w:fldChar w:fldCharType="begin"/>
      </w:r>
      <w:r>
        <w:instrText xml:space="preserve"> PAGEREF _Toc524440783 \h </w:instrText>
      </w:r>
      <w:r>
        <w:fldChar w:fldCharType="separate"/>
      </w:r>
      <w:r>
        <w:t>53</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"_Toc524440784" </w:instrText>
      </w:r>
      <w:r>
        <w:fldChar w:fldCharType="separate"/>
      </w:r>
      <w:r>
        <w:rPr>
          <w:rStyle w:val="32"/>
          <w:rFonts w:hint="eastAsia" w:ascii="宋体"/>
          <w:b/>
          <w:kern w:val="0"/>
        </w:rPr>
        <w:t>八、</w:t>
      </w:r>
      <w:r>
        <w:rPr>
          <w:rStyle w:val="32"/>
          <w:rFonts w:hint="eastAsia"/>
          <w:b/>
        </w:rPr>
        <w:t>基金的上市交易</w:t>
      </w:r>
      <w:r>
        <w:tab/>
      </w:r>
      <w:r>
        <w:fldChar w:fldCharType="begin"/>
      </w:r>
      <w:r>
        <w:instrText xml:space="preserve"> PAGEREF _Toc524440784 \h </w:instrText>
      </w:r>
      <w:r>
        <w:fldChar w:fldCharType="separate"/>
      </w:r>
      <w:r>
        <w:t>54</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"_Toc524440785" </w:instrText>
      </w:r>
      <w:r>
        <w:fldChar w:fldCharType="separate"/>
      </w:r>
      <w:r>
        <w:rPr>
          <w:rStyle w:val="32"/>
          <w:rFonts w:hint="eastAsia" w:ascii="宋体"/>
          <w:b/>
          <w:kern w:val="0"/>
        </w:rPr>
        <w:t>九、</w:t>
      </w:r>
      <w:r>
        <w:rPr>
          <w:rStyle w:val="32"/>
          <w:rFonts w:hint="eastAsia"/>
          <w:b/>
        </w:rPr>
        <w:t>基金份额</w:t>
      </w:r>
      <w:r>
        <w:rPr>
          <w:rStyle w:val="32"/>
          <w:rFonts w:hint="eastAsia" w:ascii="宋体"/>
          <w:b/>
          <w:kern w:val="0"/>
        </w:rPr>
        <w:t>的申购与赎回</w:t>
      </w:r>
      <w:r>
        <w:tab/>
      </w:r>
      <w:r>
        <w:fldChar w:fldCharType="begin"/>
      </w:r>
      <w:r>
        <w:instrText xml:space="preserve"> PAGEREF _Toc524440785 \h </w:instrText>
      </w:r>
      <w:r>
        <w:fldChar w:fldCharType="separate"/>
      </w:r>
      <w:r>
        <w:t>55</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"_Toc524440786" </w:instrText>
      </w:r>
      <w:r>
        <w:fldChar w:fldCharType="separate"/>
      </w:r>
      <w:r>
        <w:rPr>
          <w:rStyle w:val="32"/>
          <w:rFonts w:hint="eastAsia" w:ascii="宋体"/>
          <w:b/>
          <w:kern w:val="0"/>
        </w:rPr>
        <w:t>十、基金的投资</w:t>
      </w:r>
      <w:r>
        <w:tab/>
      </w:r>
      <w:r>
        <w:fldChar w:fldCharType="begin"/>
      </w:r>
      <w:r>
        <w:instrText xml:space="preserve"> PAGEREF _Toc524440786 \h </w:instrText>
      </w:r>
      <w:r>
        <w:fldChar w:fldCharType="separate"/>
      </w:r>
      <w:r>
        <w:t>70</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"_Toc524440787" </w:instrText>
      </w:r>
      <w:r>
        <w:fldChar w:fldCharType="separate"/>
      </w:r>
      <w:r>
        <w:rPr>
          <w:rStyle w:val="32"/>
          <w:rFonts w:hint="eastAsia" w:ascii="宋体"/>
          <w:b/>
          <w:kern w:val="0"/>
        </w:rPr>
        <w:t>十一、基金的业绩</w:t>
      </w:r>
      <w:r>
        <w:tab/>
      </w:r>
      <w:r>
        <w:fldChar w:fldCharType="begin"/>
      </w:r>
      <w:r>
        <w:instrText xml:space="preserve"> PAGEREF _Toc524440787 \h </w:instrText>
      </w:r>
      <w:r>
        <w:fldChar w:fldCharType="separate"/>
      </w:r>
      <w:r>
        <w:t>84</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"_Toc524440788" </w:instrText>
      </w:r>
      <w:r>
        <w:fldChar w:fldCharType="separate"/>
      </w:r>
      <w:r>
        <w:rPr>
          <w:rStyle w:val="32"/>
          <w:rFonts w:hint="eastAsia" w:ascii="宋体"/>
          <w:b/>
          <w:kern w:val="0"/>
        </w:rPr>
        <w:t>十二、基金的财产</w:t>
      </w:r>
      <w:r>
        <w:tab/>
      </w:r>
      <w:r>
        <w:fldChar w:fldCharType="begin"/>
      </w:r>
      <w:r>
        <w:instrText xml:space="preserve"> PAGEREF _Toc524440788 \h </w:instrText>
      </w:r>
      <w:r>
        <w:fldChar w:fldCharType="separate"/>
      </w:r>
      <w:r>
        <w:t>88</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"_Toc524440789" </w:instrText>
      </w:r>
      <w:r>
        <w:fldChar w:fldCharType="separate"/>
      </w:r>
      <w:r>
        <w:rPr>
          <w:rStyle w:val="32"/>
          <w:rFonts w:hint="eastAsia" w:ascii="宋体"/>
          <w:b/>
          <w:kern w:val="0"/>
        </w:rPr>
        <w:t>十三、基金资产的估值</w:t>
      </w:r>
      <w:r>
        <w:tab/>
      </w:r>
      <w:r>
        <w:fldChar w:fldCharType="begin"/>
      </w:r>
      <w:r>
        <w:instrText xml:space="preserve"> PAGEREF _Toc524440789 \h </w:instrText>
      </w:r>
      <w:r>
        <w:fldChar w:fldCharType="separate"/>
      </w:r>
      <w:r>
        <w:t>89</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"_Toc524440790" </w:instrText>
      </w:r>
      <w:r>
        <w:fldChar w:fldCharType="separate"/>
      </w:r>
      <w:r>
        <w:rPr>
          <w:rStyle w:val="32"/>
          <w:rFonts w:hint="eastAsia" w:ascii="宋体"/>
          <w:b/>
          <w:kern w:val="0"/>
        </w:rPr>
        <w:t>十四、基金收益与分配</w:t>
      </w:r>
      <w:r>
        <w:tab/>
      </w:r>
      <w:r>
        <w:fldChar w:fldCharType="begin"/>
      </w:r>
      <w:r>
        <w:instrText xml:space="preserve"> PAGEREF _Toc524440790 \h </w:instrText>
      </w:r>
      <w:r>
        <w:fldChar w:fldCharType="separate"/>
      </w:r>
      <w:r>
        <w:t>94</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"_Toc524440791" </w:instrText>
      </w:r>
      <w:r>
        <w:fldChar w:fldCharType="separate"/>
      </w:r>
      <w:r>
        <w:rPr>
          <w:rStyle w:val="32"/>
          <w:rFonts w:hint="eastAsia" w:ascii="宋体"/>
          <w:b/>
          <w:kern w:val="0"/>
        </w:rPr>
        <w:t>十五、基金的费用与税收</w:t>
      </w:r>
      <w:r>
        <w:tab/>
      </w:r>
      <w:r>
        <w:fldChar w:fldCharType="begin"/>
      </w:r>
      <w:r>
        <w:instrText xml:space="preserve"> PAGEREF _Toc524440791 \h </w:instrText>
      </w:r>
      <w:r>
        <w:fldChar w:fldCharType="separate"/>
      </w:r>
      <w:r>
        <w:t>96</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"_Toc524440792" </w:instrText>
      </w:r>
      <w:r>
        <w:fldChar w:fldCharType="separate"/>
      </w:r>
      <w:r>
        <w:rPr>
          <w:rStyle w:val="32"/>
          <w:rFonts w:hint="eastAsia" w:ascii="宋体"/>
          <w:b/>
          <w:kern w:val="0"/>
        </w:rPr>
        <w:t>十六、基金的会计与审计</w:t>
      </w:r>
      <w:r>
        <w:tab/>
      </w:r>
      <w:r>
        <w:fldChar w:fldCharType="begin"/>
      </w:r>
      <w:r>
        <w:instrText xml:space="preserve"> PAGEREF _Toc524440792 \h </w:instrText>
      </w:r>
      <w:r>
        <w:fldChar w:fldCharType="separate"/>
      </w:r>
      <w:r>
        <w:t>99</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"_Toc524440793" </w:instrText>
      </w:r>
      <w:r>
        <w:fldChar w:fldCharType="separate"/>
      </w:r>
      <w:r>
        <w:rPr>
          <w:rStyle w:val="32"/>
          <w:rFonts w:hint="eastAsia" w:ascii="宋体"/>
          <w:b/>
          <w:kern w:val="0"/>
        </w:rPr>
        <w:t>十七、基金的信息披露</w:t>
      </w:r>
      <w:r>
        <w:tab/>
      </w:r>
      <w:r>
        <w:fldChar w:fldCharType="begin"/>
      </w:r>
      <w:r>
        <w:instrText xml:space="preserve"> PAGEREF _Toc524440793 \h </w:instrText>
      </w:r>
      <w:r>
        <w:fldChar w:fldCharType="separate"/>
      </w:r>
      <w:r>
        <w:t>100</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"_Toc524440794" </w:instrText>
      </w:r>
      <w:r>
        <w:fldChar w:fldCharType="separate"/>
      </w:r>
      <w:r>
        <w:rPr>
          <w:rStyle w:val="32"/>
          <w:rFonts w:hint="eastAsia" w:ascii="宋体"/>
          <w:b/>
          <w:kern w:val="0"/>
        </w:rPr>
        <w:t>十八、风险揭示</w:t>
      </w:r>
      <w:r>
        <w:tab/>
      </w:r>
      <w:r>
        <w:fldChar w:fldCharType="begin"/>
      </w:r>
      <w:r>
        <w:instrText xml:space="preserve"> PAGEREF _Toc524440794 \h </w:instrText>
      </w:r>
      <w:r>
        <w:fldChar w:fldCharType="separate"/>
      </w:r>
      <w:r>
        <w:t>107</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"_Toc524440795" </w:instrText>
      </w:r>
      <w:r>
        <w:fldChar w:fldCharType="separate"/>
      </w:r>
      <w:r>
        <w:rPr>
          <w:rStyle w:val="32"/>
          <w:rFonts w:hint="eastAsia"/>
          <w:b/>
          <w:kern w:val="0"/>
        </w:rPr>
        <w:t>十九、基金合同的变更、终止与基金财产的清算</w:t>
      </w:r>
      <w:r>
        <w:tab/>
      </w:r>
      <w:r>
        <w:fldChar w:fldCharType="begin"/>
      </w:r>
      <w:r>
        <w:instrText xml:space="preserve"> PAGEREF _Toc524440795 \h </w:instrText>
      </w:r>
      <w:r>
        <w:fldChar w:fldCharType="separate"/>
      </w:r>
      <w:r>
        <w:t>115</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"_Toc524440796" </w:instrText>
      </w:r>
      <w:r>
        <w:fldChar w:fldCharType="separate"/>
      </w:r>
      <w:r>
        <w:rPr>
          <w:rStyle w:val="32"/>
          <w:rFonts w:hint="eastAsia" w:ascii="宋体"/>
          <w:b/>
          <w:kern w:val="0"/>
        </w:rPr>
        <w:t>二十、基金合同内容摘要</w:t>
      </w:r>
      <w:r>
        <w:tab/>
      </w:r>
      <w:r>
        <w:fldChar w:fldCharType="begin"/>
      </w:r>
      <w:r>
        <w:instrText xml:space="preserve"> PAGEREF _Toc524440796 \h </w:instrText>
      </w:r>
      <w:r>
        <w:fldChar w:fldCharType="separate"/>
      </w:r>
      <w:r>
        <w:t>117</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"_Toc524440797" </w:instrText>
      </w:r>
      <w:r>
        <w:fldChar w:fldCharType="separate"/>
      </w:r>
      <w:r>
        <w:rPr>
          <w:rStyle w:val="32"/>
          <w:rFonts w:hint="eastAsia" w:ascii="宋体"/>
          <w:b/>
          <w:kern w:val="0"/>
        </w:rPr>
        <w:t>二十一、托管协议的内容摘要</w:t>
      </w:r>
      <w:r>
        <w:tab/>
      </w:r>
      <w:r>
        <w:fldChar w:fldCharType="begin"/>
      </w:r>
      <w:r>
        <w:instrText xml:space="preserve"> PAGEREF _Toc524440797 \h </w:instrText>
      </w:r>
      <w:r>
        <w:fldChar w:fldCharType="separate"/>
      </w:r>
      <w:r>
        <w:t>134</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"_Toc524440798" </w:instrText>
      </w:r>
      <w:r>
        <w:fldChar w:fldCharType="separate"/>
      </w:r>
      <w:r>
        <w:rPr>
          <w:rStyle w:val="32"/>
          <w:rFonts w:hint="eastAsia" w:ascii="宋体"/>
          <w:b/>
          <w:kern w:val="0"/>
        </w:rPr>
        <w:t>二十二、对基金份额持有人的服务</w:t>
      </w:r>
      <w:r>
        <w:tab/>
      </w:r>
      <w:r>
        <w:fldChar w:fldCharType="begin"/>
      </w:r>
      <w:r>
        <w:instrText xml:space="preserve"> PAGEREF _Toc524440798 \h </w:instrText>
      </w:r>
      <w:r>
        <w:fldChar w:fldCharType="separate"/>
      </w:r>
      <w:r>
        <w:t>148</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"_Toc524440799" </w:instrText>
      </w:r>
      <w:r>
        <w:fldChar w:fldCharType="separate"/>
      </w:r>
      <w:r>
        <w:rPr>
          <w:rStyle w:val="32"/>
          <w:rFonts w:hint="eastAsia" w:ascii="宋体"/>
          <w:b/>
          <w:kern w:val="0"/>
        </w:rPr>
        <w:t>二十三、其他应披露事项</w:t>
      </w:r>
      <w:r>
        <w:tab/>
      </w:r>
      <w:r>
        <w:fldChar w:fldCharType="begin"/>
      </w:r>
      <w:r>
        <w:instrText xml:space="preserve"> PAGEREF _Toc524440799 \h </w:instrText>
      </w:r>
      <w:r>
        <w:fldChar w:fldCharType="separate"/>
      </w:r>
      <w:r>
        <w:t>150</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"_Toc524440800" </w:instrText>
      </w:r>
      <w:r>
        <w:fldChar w:fldCharType="separate"/>
      </w:r>
      <w:r>
        <w:rPr>
          <w:rStyle w:val="32"/>
          <w:rFonts w:hint="eastAsia" w:ascii="宋体"/>
          <w:b/>
          <w:kern w:val="0"/>
        </w:rPr>
        <w:t>二十四、招募说明书的存放及查阅方式</w:t>
      </w:r>
      <w:r>
        <w:tab/>
      </w:r>
      <w:r>
        <w:fldChar w:fldCharType="begin"/>
      </w:r>
      <w:r>
        <w:instrText xml:space="preserve"> PAGEREF _Toc524440800 \h </w:instrText>
      </w:r>
      <w:r>
        <w:fldChar w:fldCharType="separate"/>
      </w:r>
      <w:r>
        <w:t>153</w:t>
      </w:r>
      <w:r>
        <w:fldChar w:fldCharType="end"/>
      </w:r>
      <w:r>
        <w:fldChar w:fldCharType="end"/>
      </w:r>
    </w:p>
    <w:p>
      <w:pPr>
        <w:pStyle w:val="22"/>
        <w:snapToGrid w:val="0"/>
        <w:contextualSpacing/>
        <w:rPr>
          <w:rFonts w:asciiTheme="minorHAnsi" w:hAnsiTheme="minorHAnsi" w:eastAsiaTheme="minorEastAsia" w:cstheme="minorBidi"/>
          <w:sz w:val="21"/>
          <w:szCs w:val="22"/>
        </w:rPr>
      </w:pPr>
      <w:r>
        <w:fldChar w:fldCharType="begin"/>
      </w:r>
      <w:r>
        <w:instrText xml:space="preserve"> HYPERLINK \l "_Toc524440801" </w:instrText>
      </w:r>
      <w:r>
        <w:fldChar w:fldCharType="separate"/>
      </w:r>
      <w:r>
        <w:rPr>
          <w:rStyle w:val="32"/>
          <w:rFonts w:hint="eastAsia" w:ascii="宋体"/>
          <w:b/>
          <w:kern w:val="0"/>
        </w:rPr>
        <w:t>二十五、备查文件</w:t>
      </w:r>
      <w:r>
        <w:tab/>
      </w:r>
      <w:r>
        <w:fldChar w:fldCharType="begin"/>
      </w:r>
      <w:r>
        <w:instrText xml:space="preserve"> PAGEREF _Toc524440801 \h </w:instrText>
      </w:r>
      <w:r>
        <w:fldChar w:fldCharType="separate"/>
      </w:r>
      <w:r>
        <w:t>154</w:t>
      </w:r>
      <w:r>
        <w:fldChar w:fldCharType="end"/>
      </w:r>
      <w:r>
        <w:fldChar w:fldCharType="end"/>
      </w:r>
    </w:p>
    <w:p>
      <w:pPr>
        <w:pStyle w:val="22"/>
        <w:snapToGrid w:val="0"/>
        <w:ind w:firstLine="480" w:firstLineChars="200"/>
        <w:contextualSpacing/>
        <w:jc w:val="center"/>
        <w:outlineLvl w:val="0"/>
        <w:rPr>
          <w:kern w:val="0"/>
        </w:rPr>
      </w:pPr>
      <w:r>
        <w:rPr>
          <w:rFonts w:ascii="宋体" w:eastAsia="宋体"/>
          <w:kern w:val="0"/>
          <w:szCs w:val="24"/>
        </w:rP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524440777"/>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bCs/>
          <w:sz w:val="24"/>
        </w:rPr>
        <w:t>中证环境治理指数型</w:t>
      </w:r>
      <w:r>
        <w:rPr>
          <w:rFonts w:ascii="宋体" w:hAnsi="宋体"/>
          <w:kern w:val="0"/>
          <w:sz w:val="24"/>
        </w:rPr>
        <w:t>证券投资基金</w:t>
      </w:r>
      <w:r>
        <w:rPr>
          <w:rFonts w:hint="eastAsia" w:ascii="宋体" w:hAnsi="宋体"/>
          <w:kern w:val="0"/>
          <w:sz w:val="24"/>
        </w:rPr>
        <w:t>（LOF）</w:t>
      </w:r>
      <w:r>
        <w:rPr>
          <w:rFonts w:ascii="宋体" w:hAnsi="宋体"/>
          <w:kern w:val="0"/>
          <w:sz w:val="24"/>
        </w:rPr>
        <w:t>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、《证券投资基金销售管理办法》</w:t>
      </w:r>
      <w:r>
        <w:rPr>
          <w:rFonts w:hint="eastAsia" w:ascii="宋体" w:hAnsi="宋体"/>
          <w:kern w:val="0"/>
          <w:sz w:val="24"/>
        </w:rPr>
        <w:t>（以下简称“《销售办法》”）</w:t>
      </w:r>
      <w:r>
        <w:rPr>
          <w:rFonts w:ascii="宋体" w:hAnsi="宋体"/>
          <w:kern w:val="0"/>
          <w:sz w:val="24"/>
        </w:rPr>
        <w:t>、《公开募集证券投资基金信息披露管理办法》（</w:t>
      </w:r>
      <w:r>
        <w:rPr>
          <w:rFonts w:hint="eastAsia" w:ascii="宋体" w:hAnsi="宋体"/>
          <w:kern w:val="0"/>
          <w:sz w:val="24"/>
        </w:rPr>
        <w:t>以下简称“《信息披露办法》”）、《公开募集开放式证券投资基金流动性风险管理规定》(以下简称“《流动性规定》”)、《公开募集证券投资基金运作指引第3号——指数基金指引》（以下简称“《指数基金指引》”）</w:t>
      </w:r>
      <w:r>
        <w:rPr>
          <w:rFonts w:ascii="宋体" w:hAnsi="宋体"/>
          <w:kern w:val="0"/>
          <w:sz w:val="24"/>
        </w:rPr>
        <w:t>和其他相关法律法规的规定以及《交银施罗德</w:t>
      </w:r>
      <w:r>
        <w:rPr>
          <w:rFonts w:hint="eastAsia" w:ascii="宋体" w:hAnsi="宋体"/>
          <w:bCs/>
          <w:sz w:val="24"/>
        </w:rPr>
        <w:t>中证环境治理指数型</w:t>
      </w:r>
      <w:r>
        <w:rPr>
          <w:rFonts w:ascii="宋体" w:hAnsi="宋体"/>
          <w:kern w:val="0"/>
          <w:sz w:val="24"/>
        </w:rPr>
        <w:t>证券投资基金</w:t>
      </w:r>
      <w:r>
        <w:rPr>
          <w:rFonts w:hint="eastAsia" w:ascii="宋体" w:hAnsi="宋体"/>
          <w:kern w:val="0"/>
          <w:sz w:val="24"/>
        </w:rPr>
        <w:t>（LOF）</w:t>
      </w:r>
      <w:r>
        <w:rPr>
          <w:rFonts w:ascii="宋体" w:hAnsi="宋体"/>
          <w:kern w:val="0"/>
          <w:sz w:val="24"/>
        </w:rPr>
        <w:t>基金合同》（以下简称“基金合同”）</w:t>
      </w:r>
      <w:r>
        <w:rPr>
          <w:rFonts w:hAnsi="宋体"/>
          <w:kern w:val="0"/>
          <w:sz w:val="24"/>
        </w:rPr>
        <w:t>编写。</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Pr>
          <w:rFonts w:hint="eastAsia" w:hAnsi="宋体"/>
          <w:kern w:val="0"/>
          <w:sz w:val="24"/>
        </w:rPr>
        <w:t>变更注册</w:t>
      </w:r>
      <w:r>
        <w:rPr>
          <w:rFonts w:hAnsi="宋体"/>
          <w:kern w:val="0"/>
          <w:sz w:val="24"/>
        </w:rPr>
        <w:t>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本招募说明书根据本基金的基金合同编写，并经中国证监会变更</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kern w:val="0"/>
          <w:sz w:val="24"/>
        </w:rPr>
        <w:t xml:space="preserve"> </w:t>
      </w:r>
    </w:p>
    <w:p>
      <w:pPr>
        <w:widowControl/>
        <w:adjustRightInd w:val="0"/>
        <w:snapToGrid w:val="0"/>
        <w:spacing w:line="360" w:lineRule="auto"/>
        <w:ind w:firstLine="480" w:firstLineChars="200"/>
        <w:rPr>
          <w:kern w:val="0"/>
          <w:sz w:val="24"/>
        </w:rPr>
      </w:pPr>
      <w:r>
        <w:rPr>
          <w:rFonts w:hint="eastAsia"/>
          <w:kern w:val="0"/>
          <w:sz w:val="24"/>
        </w:rPr>
        <w:t>本招募说明书关于基金产品资料概要的编制、披露及更新等内容，将不晚于2020年9月1日起执行。</w:t>
      </w:r>
    </w:p>
    <w:p>
      <w:pPr>
        <w:widowControl/>
        <w:adjustRightInd w:val="0"/>
        <w:snapToGrid w:val="0"/>
        <w:spacing w:line="360" w:lineRule="auto"/>
        <w:ind w:firstLine="480" w:firstLineChars="200"/>
        <w:rPr>
          <w:kern w:val="0"/>
          <w:sz w:val="24"/>
        </w:rPr>
      </w:pPr>
    </w:p>
    <w:p>
      <w:pPr>
        <w:widowControl/>
        <w:spacing w:line="360" w:lineRule="auto"/>
        <w:ind w:firstLine="482" w:firstLineChars="200"/>
        <w:rPr>
          <w:rFonts w:ascii="宋体" w:hAnsi="宋体"/>
          <w:b/>
          <w:kern w:val="0"/>
          <w:sz w:val="24"/>
        </w:rPr>
      </w:pPr>
    </w:p>
    <w:p>
      <w:pPr>
        <w:widowControl/>
        <w:jc w:val="left"/>
        <w:rPr>
          <w:rFonts w:ascii="宋体" w:hAnsi="宋体"/>
          <w:b/>
          <w:kern w:val="0"/>
          <w:sz w:val="30"/>
        </w:rPr>
      </w:pPr>
      <w:bookmarkStart w:id="2" w:name="_Toc109537380"/>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3" w:name="_Toc524440778"/>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交银施罗德中证环境治理指数型</w:t>
      </w:r>
      <w:r>
        <w:rPr>
          <w:bCs/>
          <w:sz w:val="24"/>
        </w:rPr>
        <w:t>证券投资基金</w:t>
      </w:r>
      <w:r>
        <w:rPr>
          <w:rFonts w:hint="eastAsia"/>
          <w:bCs/>
          <w:sz w:val="24"/>
        </w:rPr>
        <w:t>（LOF），本基金由交银施罗德中证环境治理指数分级证券投资基金转型而来</w:t>
      </w:r>
    </w:p>
    <w:p>
      <w:pPr>
        <w:adjustRightInd w:val="0"/>
        <w:snapToGrid w:val="0"/>
        <w:spacing w:line="360" w:lineRule="auto"/>
        <w:ind w:firstLine="480" w:firstLineChars="20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pPr>
        <w:adjustRightInd w:val="0"/>
        <w:snapToGrid w:val="0"/>
        <w:spacing w:line="360" w:lineRule="auto"/>
        <w:ind w:firstLine="480" w:firstLineChars="20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中信银行股份有限公司</w:t>
      </w:r>
      <w:r>
        <w:rPr>
          <w:bCs/>
          <w:sz w:val="24"/>
        </w:rPr>
        <w:t xml:space="preserve">       </w:t>
      </w:r>
    </w:p>
    <w:p>
      <w:pPr>
        <w:adjustRightInd w:val="0"/>
        <w:snapToGrid w:val="0"/>
        <w:spacing w:line="360" w:lineRule="auto"/>
        <w:ind w:firstLine="480" w:firstLineChars="200"/>
        <w:rPr>
          <w:bCs/>
          <w:sz w:val="24"/>
        </w:rPr>
      </w:pPr>
      <w:r>
        <w:rPr>
          <w:bCs/>
          <w:sz w:val="24"/>
        </w:rPr>
        <w:t>4</w:t>
      </w:r>
      <w:r>
        <w:rPr>
          <w:rFonts w:hint="eastAsia"/>
          <w:bCs/>
          <w:sz w:val="24"/>
        </w:rPr>
        <w:t>、</w:t>
      </w:r>
      <w:r>
        <w:rPr>
          <w:bCs/>
          <w:sz w:val="24"/>
        </w:rPr>
        <w:t>基金合同</w:t>
      </w:r>
      <w:r>
        <w:rPr>
          <w:rFonts w:hint="eastAsia"/>
          <w:bCs/>
          <w:sz w:val="24"/>
        </w:rPr>
        <w:t>或《基金合同》</w:t>
      </w:r>
      <w:r>
        <w:rPr>
          <w:bCs/>
          <w:sz w:val="24"/>
        </w:rPr>
        <w:t>：指《</w:t>
      </w:r>
      <w:r>
        <w:rPr>
          <w:rFonts w:hint="eastAsia"/>
          <w:bCs/>
          <w:sz w:val="24"/>
        </w:rPr>
        <w:t>交银施罗德中证环境治理指数型</w:t>
      </w:r>
      <w:r>
        <w:rPr>
          <w:bCs/>
          <w:sz w:val="24"/>
        </w:rPr>
        <w:t>证券投资基金</w:t>
      </w:r>
      <w:r>
        <w:rPr>
          <w:rFonts w:hint="eastAsia"/>
          <w:bCs/>
          <w:sz w:val="24"/>
        </w:rPr>
        <w:t>（LOF）</w:t>
      </w:r>
      <w:r>
        <w:rPr>
          <w:bCs/>
          <w:sz w:val="24"/>
        </w:rPr>
        <w:t>基金合同》及对基金合同的任何有效修订和补充</w:t>
      </w:r>
      <w:r>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LOF）不适用</w:t>
      </w:r>
    </w:p>
    <w:p>
      <w:pPr>
        <w:adjustRightInd w:val="0"/>
        <w:snapToGrid w:val="0"/>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交银施罗德中证环境治理指数型</w:t>
      </w:r>
      <w:r>
        <w:rPr>
          <w:bCs/>
          <w:sz w:val="24"/>
        </w:rPr>
        <w:t>证券投资基金</w:t>
      </w:r>
      <w:r>
        <w:rPr>
          <w:rFonts w:hint="eastAsia"/>
          <w:bCs/>
          <w:sz w:val="24"/>
        </w:rPr>
        <w:t>（LOF）</w:t>
      </w:r>
      <w:r>
        <w:rPr>
          <w:bCs/>
          <w:sz w:val="24"/>
        </w:rPr>
        <w:t>托管协议》及对该托管协议的任何有效修订和补充</w:t>
      </w:r>
      <w:r>
        <w:rPr>
          <w:rFonts w:hint="eastAsia"/>
          <w:bCs/>
          <w:sz w:val="24"/>
        </w:rPr>
        <w:t>，托管协议由《交银施罗德中证环境治理指数分级证券投资基金托管协议》修订而成</w:t>
      </w:r>
    </w:p>
    <w:p>
      <w:pPr>
        <w:adjustRightInd w:val="0"/>
        <w:snapToGrid w:val="0"/>
        <w:spacing w:line="360" w:lineRule="auto"/>
        <w:ind w:firstLine="480" w:firstLineChars="200"/>
        <w:rPr>
          <w:bCs/>
          <w:sz w:val="24"/>
        </w:rPr>
      </w:pPr>
      <w:r>
        <w:rPr>
          <w:bCs/>
          <w:sz w:val="24"/>
        </w:rPr>
        <w:t>6</w:t>
      </w:r>
      <w:r>
        <w:rPr>
          <w:rFonts w:hint="eastAsia"/>
          <w:bCs/>
          <w:sz w:val="24"/>
        </w:rPr>
        <w:t>、</w:t>
      </w:r>
      <w:r>
        <w:rPr>
          <w:bCs/>
          <w:sz w:val="24"/>
        </w:rPr>
        <w:t>招募说明书</w:t>
      </w:r>
      <w:r>
        <w:rPr>
          <w:rFonts w:hint="eastAsia"/>
          <w:bCs/>
          <w:sz w:val="24"/>
        </w:rPr>
        <w:t>或《招募说明书》或本招募说明书</w:t>
      </w:r>
      <w:r>
        <w:rPr>
          <w:bCs/>
          <w:sz w:val="24"/>
        </w:rPr>
        <w:t>：指《</w:t>
      </w:r>
      <w:r>
        <w:rPr>
          <w:rFonts w:hint="eastAsia"/>
          <w:bCs/>
          <w:sz w:val="24"/>
        </w:rPr>
        <w:t>交银施罗德中证环境治理指数型</w:t>
      </w:r>
      <w:r>
        <w:rPr>
          <w:bCs/>
          <w:sz w:val="24"/>
        </w:rPr>
        <w:t>证券投资基金</w:t>
      </w:r>
      <w:r>
        <w:rPr>
          <w:rFonts w:hint="eastAsia"/>
          <w:bCs/>
          <w:sz w:val="24"/>
        </w:rPr>
        <w:t>（LOF）</w:t>
      </w:r>
      <w:r>
        <w:rPr>
          <w:bCs/>
          <w:sz w:val="24"/>
        </w:rPr>
        <w:t>招募说明书》及其更新</w:t>
      </w:r>
      <w:r>
        <w:rPr>
          <w:rFonts w:hint="eastAsia"/>
          <w:bCs/>
          <w:sz w:val="24"/>
        </w:rPr>
        <w:t>，本基金招募说明书由《交银施罗德中证环境治理指数分级证券投资基金（更新）招募说明书》修订而成</w:t>
      </w:r>
    </w:p>
    <w:p>
      <w:pPr>
        <w:adjustRightInd w:val="0"/>
        <w:snapToGrid w:val="0"/>
        <w:spacing w:line="360" w:lineRule="auto"/>
        <w:ind w:firstLine="480" w:firstLineChars="200"/>
        <w:rPr>
          <w:bCs/>
          <w:sz w:val="24"/>
        </w:rPr>
      </w:pPr>
      <w:r>
        <w:rPr>
          <w:rFonts w:hint="eastAsia"/>
          <w:bCs/>
          <w:sz w:val="24"/>
        </w:rPr>
        <w:t>7、基金产品资料概要：指《交银施罗德中证环境治理指数型证券投资基金（LOF）基金产品资料概要》及其更新（基金合同关于基金产品资料概要的编制、披露及更新等内容，将不晚于2</w:t>
      </w:r>
      <w:r>
        <w:rPr>
          <w:bCs/>
          <w:sz w:val="24"/>
        </w:rPr>
        <w:t>020年</w:t>
      </w:r>
      <w:r>
        <w:rPr>
          <w:rFonts w:hint="eastAsia"/>
          <w:bCs/>
          <w:sz w:val="24"/>
        </w:rPr>
        <w:t>9</w:t>
      </w:r>
      <w:r>
        <w:rPr>
          <w:bCs/>
          <w:sz w:val="24"/>
        </w:rPr>
        <w:t>月</w:t>
      </w:r>
      <w:r>
        <w:rPr>
          <w:rFonts w:hint="eastAsia"/>
          <w:bCs/>
          <w:sz w:val="24"/>
        </w:rPr>
        <w:t>1</w:t>
      </w:r>
      <w:r>
        <w:rPr>
          <w:bCs/>
          <w:sz w:val="24"/>
        </w:rPr>
        <w:t>日起</w:t>
      </w:r>
      <w:r>
        <w:rPr>
          <w:rFonts w:hint="eastAsia"/>
          <w:bCs/>
          <w:sz w:val="24"/>
        </w:rPr>
        <w:t>执行）</w:t>
      </w:r>
    </w:p>
    <w:p>
      <w:pPr>
        <w:adjustRightInd w:val="0"/>
        <w:snapToGrid w:val="0"/>
        <w:spacing w:line="360" w:lineRule="auto"/>
        <w:ind w:firstLine="480" w:firstLineChars="200"/>
        <w:rPr>
          <w:bCs/>
          <w:sz w:val="24"/>
        </w:rPr>
      </w:pPr>
      <w:r>
        <w:rPr>
          <w:bCs/>
          <w:sz w:val="24"/>
        </w:rPr>
        <w:t>8</w:t>
      </w:r>
      <w:r>
        <w:rPr>
          <w:rFonts w:hint="eastAsia"/>
          <w:bCs/>
          <w:sz w:val="24"/>
        </w:rPr>
        <w:t>、上市交易公告书：指《交银施罗德中证环境治理指数型证券投资基金（LOF）上市交易公告书》</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、《销售办法》：指《证券投资基金销售管理办法》及颁布机关对其不时做出的修订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、《流动性规定》：指中国证监会2017年8月31日颁布、同年10月1日实施的《公开募集开放式证券投资基金流动性风险管理规定》及颁布机关对其不时做出的修订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、《指数基金指引》：指中国证监会2021年1月22日颁布、同年2月1日实施的《公开募集证券投资基金运作指引第3号——指数基金指引》及颁布机关对其不时做出的修订</w:t>
      </w:r>
    </w:p>
    <w:p>
      <w:pPr>
        <w:adjustRightInd w:val="0"/>
        <w:snapToGrid w:val="0"/>
        <w:spacing w:line="360" w:lineRule="auto"/>
        <w:ind w:firstLine="480" w:firstLineChars="200"/>
        <w:rPr>
          <w:bCs/>
          <w:sz w:val="24"/>
        </w:rPr>
      </w:pPr>
      <w:r>
        <w:rPr>
          <w:rFonts w:hint="eastAsia"/>
          <w:bCs/>
          <w:sz w:val="24"/>
        </w:rPr>
        <w:t>16、中国证监会：指中国证券监督管理委员会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、银行业监督管理机构：指中国人民银行和/或中国银行业监督管理委员会</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bCs/>
          <w:sz w:val="24"/>
        </w:rPr>
        <w:t>20</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adjustRightInd w:val="0"/>
        <w:snapToGrid w:val="0"/>
        <w:spacing w:line="360" w:lineRule="auto"/>
        <w:ind w:firstLine="480" w:firstLineChars="20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、投资人或投资者：指个人投资者、机构投资者、合格境外机构投资者和人民币合格境外机构投资者以及法律法规或中国证监会允许购买证券投资基金的其他投资人的合称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w:t>
      </w:r>
      <w:r>
        <w:rPr>
          <w:bCs/>
          <w:sz w:val="24"/>
        </w:rPr>
        <w:t>4</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w:t>
      </w:r>
      <w:r>
        <w:rPr>
          <w:bCs/>
          <w:sz w:val="24"/>
        </w:rPr>
        <w:t>5</w:t>
      </w:r>
      <w:r>
        <w:rPr>
          <w:rFonts w:hint="eastAsia"/>
          <w:bCs/>
          <w:sz w:val="24"/>
        </w:rPr>
        <w:t>、基金销售业务：指基金管理人或销售机构宣传推介基金，销售基金份额，办理基金份额的申购、赎回、转换、转托管、定期定额投资等业务</w:t>
      </w:r>
    </w:p>
    <w:p>
      <w:pPr>
        <w:adjustRightInd w:val="0"/>
        <w:snapToGrid w:val="0"/>
        <w:spacing w:line="360" w:lineRule="auto"/>
        <w:ind w:firstLine="480" w:firstLineChars="200"/>
        <w:rPr>
          <w:bCs/>
          <w:sz w:val="24"/>
        </w:rPr>
      </w:pPr>
      <w:r>
        <w:rPr>
          <w:rFonts w:hint="eastAsia"/>
          <w:bCs/>
          <w:sz w:val="24"/>
        </w:rPr>
        <w:t>2</w:t>
      </w:r>
      <w:r>
        <w:rPr>
          <w:bCs/>
          <w:sz w:val="24"/>
        </w:rPr>
        <w:t>6</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pPr>
        <w:adjustRightInd w:val="0"/>
        <w:snapToGrid w:val="0"/>
        <w:spacing w:line="360" w:lineRule="auto"/>
        <w:ind w:firstLine="480" w:firstLineChars="200"/>
        <w:rPr>
          <w:bCs/>
          <w:sz w:val="24"/>
        </w:rPr>
      </w:pPr>
      <w:r>
        <w:rPr>
          <w:rFonts w:hint="eastAsia"/>
          <w:bCs/>
          <w:sz w:val="24"/>
        </w:rPr>
        <w:t>2</w:t>
      </w:r>
      <w:r>
        <w:rPr>
          <w:bCs/>
          <w:sz w:val="24"/>
        </w:rPr>
        <w:t>7</w:t>
      </w:r>
      <w:r>
        <w:rPr>
          <w:rFonts w:hint="eastAsia"/>
          <w:bCs/>
          <w:sz w:val="24"/>
        </w:rPr>
        <w:t>、会员单位：指深圳证券交易所会员单位</w:t>
      </w:r>
    </w:p>
    <w:p>
      <w:pPr>
        <w:adjustRightInd w:val="0"/>
        <w:snapToGrid w:val="0"/>
        <w:spacing w:line="360" w:lineRule="auto"/>
        <w:ind w:firstLine="480" w:firstLineChars="200"/>
        <w:rPr>
          <w:bCs/>
          <w:sz w:val="24"/>
        </w:rPr>
      </w:pPr>
      <w:r>
        <w:rPr>
          <w:rFonts w:hint="eastAsia"/>
          <w:bCs/>
          <w:sz w:val="24"/>
        </w:rPr>
        <w:t>2</w:t>
      </w:r>
      <w:r>
        <w:rPr>
          <w:bCs/>
          <w:sz w:val="24"/>
        </w:rPr>
        <w:t>8</w:t>
      </w:r>
      <w:r>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pPr>
        <w:adjustRightInd w:val="0"/>
        <w:snapToGrid w:val="0"/>
        <w:spacing w:line="360" w:lineRule="auto"/>
        <w:ind w:firstLine="480" w:firstLineChars="200"/>
        <w:rPr>
          <w:bCs/>
          <w:sz w:val="24"/>
        </w:rPr>
      </w:pPr>
      <w:r>
        <w:rPr>
          <w:rFonts w:hint="eastAsia"/>
          <w:bCs/>
          <w:sz w:val="24"/>
        </w:rPr>
        <w:t>2</w:t>
      </w:r>
      <w:r>
        <w:rPr>
          <w:bCs/>
          <w:sz w:val="24"/>
        </w:rPr>
        <w:t>9</w:t>
      </w:r>
      <w:r>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pPr>
        <w:adjustRightInd w:val="0"/>
        <w:snapToGrid w:val="0"/>
        <w:spacing w:line="360" w:lineRule="auto"/>
        <w:ind w:firstLine="480" w:firstLineChars="200"/>
        <w:rPr>
          <w:bCs/>
          <w:sz w:val="24"/>
        </w:rPr>
      </w:pPr>
      <w:r>
        <w:rPr>
          <w:bCs/>
          <w:sz w:val="24"/>
        </w:rPr>
        <w:t>30</w:t>
      </w:r>
      <w:r>
        <w:rPr>
          <w:rFonts w:hint="eastAsia"/>
          <w:bCs/>
          <w:sz w:val="24"/>
        </w:rPr>
        <w:t>、标的指数：指中证环境治理指数</w:t>
      </w:r>
    </w:p>
    <w:p>
      <w:pPr>
        <w:adjustRightInd w:val="0"/>
        <w:snapToGrid w:val="0"/>
        <w:spacing w:line="360" w:lineRule="auto"/>
        <w:ind w:firstLine="480" w:firstLineChars="200"/>
        <w:rPr>
          <w:bCs/>
          <w:sz w:val="24"/>
        </w:rPr>
      </w:pPr>
      <w:r>
        <w:rPr>
          <w:bCs/>
          <w:sz w:val="24"/>
        </w:rPr>
        <w:t>31</w:t>
      </w:r>
      <w:r>
        <w:rPr>
          <w:rFonts w:hint="eastAsia"/>
          <w:bCs/>
          <w:sz w:val="24"/>
        </w:rPr>
        <w:t>、注册登记系统：指中国证券登记结算有限责任公司开放式基金登记结算系统，通过场外申购的基金份额登记在注册登记系统</w:t>
      </w:r>
    </w:p>
    <w:p>
      <w:pPr>
        <w:adjustRightInd w:val="0"/>
        <w:snapToGrid w:val="0"/>
        <w:spacing w:line="360" w:lineRule="auto"/>
        <w:ind w:firstLine="480" w:firstLineChars="200"/>
        <w:rPr>
          <w:bCs/>
          <w:sz w:val="24"/>
        </w:rPr>
      </w:pPr>
      <w:r>
        <w:rPr>
          <w:bCs/>
          <w:sz w:val="24"/>
        </w:rPr>
        <w:t>32</w:t>
      </w:r>
      <w:r>
        <w:rPr>
          <w:rFonts w:hint="eastAsia"/>
          <w:bCs/>
          <w:sz w:val="24"/>
        </w:rPr>
        <w:t>、证券登记结算系统：指中国证券登记结算有限责任公司深圳分公司证券登记结算系统，通过场内申购的基金份额和上市交易买入的基金份额登记在证券登记结算系统</w:t>
      </w:r>
    </w:p>
    <w:p>
      <w:pPr>
        <w:adjustRightInd w:val="0"/>
        <w:snapToGrid w:val="0"/>
        <w:spacing w:line="360" w:lineRule="auto"/>
        <w:ind w:firstLine="480" w:firstLineChars="200"/>
        <w:rPr>
          <w:bCs/>
          <w:sz w:val="24"/>
        </w:rPr>
      </w:pPr>
      <w:r>
        <w:rPr>
          <w:rFonts w:hint="eastAsia"/>
          <w:bCs/>
          <w:sz w:val="24"/>
        </w:rPr>
        <w:t>3</w:t>
      </w:r>
      <w:r>
        <w:rPr>
          <w:bCs/>
          <w:sz w:val="24"/>
        </w:rPr>
        <w:t>3</w:t>
      </w:r>
      <w:r>
        <w:rPr>
          <w:rFonts w:hint="eastAsia"/>
          <w:bCs/>
          <w:sz w:val="24"/>
        </w:rPr>
        <w:t>、场外份额：指登记在注册登记系统下的基金份额</w:t>
      </w:r>
    </w:p>
    <w:p>
      <w:pPr>
        <w:adjustRightInd w:val="0"/>
        <w:snapToGrid w:val="0"/>
        <w:spacing w:line="360" w:lineRule="auto"/>
        <w:ind w:firstLine="480" w:firstLineChars="200"/>
        <w:rPr>
          <w:bCs/>
          <w:sz w:val="24"/>
        </w:rPr>
      </w:pPr>
      <w:r>
        <w:rPr>
          <w:rFonts w:hint="eastAsia"/>
          <w:bCs/>
          <w:sz w:val="24"/>
        </w:rPr>
        <w:t>3</w:t>
      </w:r>
      <w:r>
        <w:rPr>
          <w:bCs/>
          <w:sz w:val="24"/>
        </w:rPr>
        <w:t>4</w:t>
      </w:r>
      <w:r>
        <w:rPr>
          <w:rFonts w:hint="eastAsia"/>
          <w:bCs/>
          <w:sz w:val="24"/>
        </w:rPr>
        <w:t>、场内份额：指登记在证券登记结算系统下的基金份额</w:t>
      </w:r>
    </w:p>
    <w:p>
      <w:pPr>
        <w:adjustRightInd w:val="0"/>
        <w:snapToGrid w:val="0"/>
        <w:spacing w:line="360" w:lineRule="auto"/>
        <w:ind w:firstLine="480" w:firstLineChars="200"/>
        <w:rPr>
          <w:bCs/>
          <w:sz w:val="24"/>
        </w:rPr>
      </w:pPr>
      <w:r>
        <w:rPr>
          <w:rFonts w:hint="eastAsia"/>
          <w:bCs/>
          <w:sz w:val="24"/>
        </w:rPr>
        <w:t>3</w:t>
      </w:r>
      <w:r>
        <w:rPr>
          <w:bCs/>
          <w:sz w:val="24"/>
        </w:rPr>
        <w:t>5</w:t>
      </w:r>
      <w:r>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3</w:t>
      </w:r>
      <w:r>
        <w:rPr>
          <w:bCs/>
          <w:sz w:val="24"/>
        </w:rPr>
        <w:t>6</w:t>
      </w:r>
      <w:r>
        <w:rPr>
          <w:rFonts w:hint="eastAsia"/>
          <w:bCs/>
          <w:sz w:val="24"/>
        </w:rPr>
        <w:t>、登记机构：指办理登记业务的机构。基金的登记机构为交银施罗德基金管理有限公司或接受交银施罗德基金管理有限公司委托办理登记业务的机构</w:t>
      </w:r>
    </w:p>
    <w:p>
      <w:pPr>
        <w:adjustRightInd w:val="0"/>
        <w:snapToGrid w:val="0"/>
        <w:spacing w:line="360" w:lineRule="auto"/>
        <w:ind w:firstLine="480" w:firstLineChars="200"/>
        <w:rPr>
          <w:bCs/>
          <w:sz w:val="24"/>
        </w:rPr>
      </w:pPr>
      <w:r>
        <w:rPr>
          <w:rFonts w:hint="eastAsia"/>
          <w:bCs/>
          <w:sz w:val="24"/>
        </w:rPr>
        <w:t>3</w:t>
      </w:r>
      <w:r>
        <w:rPr>
          <w:bCs/>
          <w:sz w:val="24"/>
        </w:rPr>
        <w:t>7</w:t>
      </w:r>
      <w:r>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pPr>
        <w:adjustRightInd w:val="0"/>
        <w:snapToGrid w:val="0"/>
        <w:spacing w:line="360" w:lineRule="auto"/>
        <w:ind w:firstLine="480" w:firstLineChars="200"/>
        <w:rPr>
          <w:bCs/>
          <w:sz w:val="24"/>
        </w:rPr>
      </w:pPr>
      <w:r>
        <w:rPr>
          <w:rFonts w:hint="eastAsia"/>
          <w:bCs/>
          <w:sz w:val="24"/>
        </w:rPr>
        <w:t>3</w:t>
      </w:r>
      <w:r>
        <w:rPr>
          <w:bCs/>
          <w:sz w:val="24"/>
        </w:rPr>
        <w:t>8</w:t>
      </w:r>
      <w:r>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pPr>
        <w:adjustRightInd w:val="0"/>
        <w:snapToGrid w:val="0"/>
        <w:spacing w:line="360" w:lineRule="auto"/>
        <w:ind w:firstLine="480" w:firstLineChars="200"/>
        <w:rPr>
          <w:bCs/>
          <w:sz w:val="24"/>
        </w:rPr>
      </w:pPr>
      <w:r>
        <w:rPr>
          <w:rFonts w:hint="eastAsia"/>
          <w:bCs/>
          <w:sz w:val="24"/>
        </w:rPr>
        <w:t>3</w:t>
      </w:r>
      <w:r>
        <w:rPr>
          <w:bCs/>
          <w:sz w:val="24"/>
        </w:rPr>
        <w:t>9</w:t>
      </w:r>
      <w:r>
        <w:rPr>
          <w:rFonts w:hint="eastAsia"/>
          <w:bCs/>
          <w:sz w:val="24"/>
        </w:rPr>
        <w:t>、基金交易账户：指销售机构为投资人开立的、记录投资人通过该销售机构办理申购、赎回、交易、转换及转托管等业务而引起的基金份额变动及结余情况的账户</w:t>
      </w:r>
    </w:p>
    <w:p>
      <w:pPr>
        <w:adjustRightInd w:val="0"/>
        <w:snapToGrid w:val="0"/>
        <w:spacing w:line="360" w:lineRule="auto"/>
        <w:ind w:firstLine="480" w:firstLineChars="200"/>
        <w:rPr>
          <w:bCs/>
          <w:sz w:val="24"/>
        </w:rPr>
      </w:pPr>
      <w:r>
        <w:rPr>
          <w:bCs/>
          <w:sz w:val="24"/>
        </w:rPr>
        <w:t>40</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41</w:t>
      </w:r>
      <w:r>
        <w:rPr>
          <w:rFonts w:hint="eastAsia"/>
          <w:bCs/>
          <w:sz w:val="24"/>
        </w:rPr>
        <w:t>、基金转型实施日：指基金管理人公告的交银施罗德中证环境治理指数分级证券投资基金转型为交银施罗德中证环境治理指数型证券投资基金（LOF）的实施日期。《交银施罗德中证环境治理指数型证券投资基金（LOF）基金合同》经基金管理人和基金托管人加盖公章以及双方法定代表人或授权代表签章，自基金转型实施日起生效，《交银施罗德中证环境治理指数分级证券投资基金基金合同》自同一日起失效</w:t>
      </w:r>
    </w:p>
    <w:p>
      <w:pPr>
        <w:adjustRightInd w:val="0"/>
        <w:snapToGrid w:val="0"/>
        <w:spacing w:line="360" w:lineRule="auto"/>
        <w:ind w:firstLine="480" w:firstLineChars="200"/>
        <w:rPr>
          <w:bCs/>
          <w:sz w:val="24"/>
        </w:rPr>
      </w:pPr>
      <w:r>
        <w:rPr>
          <w:bCs/>
          <w:sz w:val="24"/>
        </w:rPr>
        <w:t>42</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4</w:t>
      </w:r>
      <w:r>
        <w:rPr>
          <w:bCs/>
          <w:sz w:val="24"/>
        </w:rPr>
        <w:t>3</w:t>
      </w:r>
      <w:r>
        <w:rPr>
          <w:rFonts w:hint="eastAsia"/>
          <w:bCs/>
          <w:sz w:val="24"/>
        </w:rPr>
        <w:t>、存续期：指《交银施罗德中证环境治理指数分级证券投资基金基金合同》生效至《交银施罗德中证环境治理指数型证券投资基金（LOF）基金合同》终止之间的不定期期限</w:t>
      </w:r>
    </w:p>
    <w:p>
      <w:pPr>
        <w:adjustRightInd w:val="0"/>
        <w:snapToGrid w:val="0"/>
        <w:spacing w:line="360" w:lineRule="auto"/>
        <w:ind w:firstLine="480" w:firstLineChars="200"/>
        <w:rPr>
          <w:bCs/>
          <w:sz w:val="24"/>
        </w:rPr>
      </w:pPr>
      <w:r>
        <w:rPr>
          <w:rFonts w:hint="eastAsia"/>
          <w:bCs/>
          <w:sz w:val="24"/>
        </w:rPr>
        <w:t>4</w:t>
      </w:r>
      <w:r>
        <w:rPr>
          <w:bCs/>
          <w:sz w:val="24"/>
        </w:rPr>
        <w:t>4</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4</w:t>
      </w:r>
      <w:r>
        <w:rPr>
          <w:bCs/>
          <w:sz w:val="24"/>
        </w:rPr>
        <w:t>5</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4</w:t>
      </w:r>
      <w:r>
        <w:rPr>
          <w:bCs/>
          <w:sz w:val="24"/>
        </w:rPr>
        <w:t>6</w:t>
      </w:r>
      <w:r>
        <w:rPr>
          <w:rFonts w:hint="eastAsia"/>
          <w:bCs/>
          <w:sz w:val="24"/>
        </w:rPr>
        <w:t>、T+n日：指自T日起第n个工作日(不包含T日)</w:t>
      </w:r>
    </w:p>
    <w:p>
      <w:pPr>
        <w:adjustRightInd w:val="0"/>
        <w:snapToGrid w:val="0"/>
        <w:spacing w:line="360" w:lineRule="auto"/>
        <w:ind w:firstLine="480" w:firstLineChars="200"/>
        <w:rPr>
          <w:bCs/>
          <w:sz w:val="24"/>
        </w:rPr>
      </w:pPr>
      <w:r>
        <w:rPr>
          <w:rFonts w:hint="eastAsia"/>
          <w:bCs/>
          <w:sz w:val="24"/>
        </w:rPr>
        <w:t>4</w:t>
      </w:r>
      <w:r>
        <w:rPr>
          <w:bCs/>
          <w:sz w:val="24"/>
        </w:rPr>
        <w:t>7</w:t>
      </w:r>
      <w:r>
        <w:rPr>
          <w:rFonts w:hint="eastAsia"/>
          <w:bCs/>
          <w:sz w:val="24"/>
        </w:rPr>
        <w:t>、开放日：指为投资人办理基金份额申购、赎回或其他业务的工作日</w:t>
      </w:r>
    </w:p>
    <w:p>
      <w:pPr>
        <w:adjustRightInd w:val="0"/>
        <w:snapToGrid w:val="0"/>
        <w:spacing w:line="360" w:lineRule="auto"/>
        <w:ind w:firstLine="480" w:firstLineChars="200"/>
        <w:rPr>
          <w:bCs/>
          <w:sz w:val="24"/>
        </w:rPr>
      </w:pPr>
      <w:r>
        <w:rPr>
          <w:rFonts w:hint="eastAsia"/>
          <w:bCs/>
          <w:sz w:val="24"/>
        </w:rPr>
        <w:t>4</w:t>
      </w:r>
      <w:r>
        <w:rPr>
          <w:bCs/>
          <w:sz w:val="24"/>
        </w:rPr>
        <w:t>8</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rFonts w:hint="eastAsia"/>
          <w:bCs/>
          <w:sz w:val="24"/>
        </w:rPr>
        <w:t>4</w:t>
      </w:r>
      <w:r>
        <w:rPr>
          <w:bCs/>
          <w:sz w:val="24"/>
        </w:rPr>
        <w:t>9</w:t>
      </w:r>
      <w:r>
        <w:rPr>
          <w:rFonts w:hint="eastAsia"/>
          <w:bCs/>
          <w:sz w:val="24"/>
        </w:rPr>
        <w:t>、《业务规则》：指本基金管理人、深圳证券交易所、中国证券登记结算有限责任公司及销售机构的相关业务规则及其不时做出的修订</w:t>
      </w:r>
    </w:p>
    <w:p>
      <w:pPr>
        <w:adjustRightInd w:val="0"/>
        <w:snapToGrid w:val="0"/>
        <w:spacing w:line="360" w:lineRule="auto"/>
        <w:ind w:firstLine="480" w:firstLineChars="200"/>
        <w:rPr>
          <w:bCs/>
          <w:sz w:val="24"/>
        </w:rPr>
      </w:pPr>
      <w:r>
        <w:rPr>
          <w:bCs/>
          <w:sz w:val="24"/>
        </w:rPr>
        <w:t>50</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51</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52</w:t>
      </w:r>
      <w:r>
        <w:rPr>
          <w:rFonts w:hint="eastAsia"/>
          <w:bCs/>
          <w:sz w:val="24"/>
        </w:rPr>
        <w:t>、上市交易：指基金合同生效后，投资人通过场内会员单位以集中竞价的方式买卖基金份额的行为</w:t>
      </w:r>
    </w:p>
    <w:p>
      <w:pPr>
        <w:adjustRightInd w:val="0"/>
        <w:snapToGrid w:val="0"/>
        <w:spacing w:line="360" w:lineRule="auto"/>
        <w:ind w:firstLine="480" w:firstLineChars="200"/>
        <w:rPr>
          <w:bCs/>
          <w:sz w:val="24"/>
        </w:rPr>
      </w:pPr>
      <w:r>
        <w:rPr>
          <w:rFonts w:hint="eastAsia"/>
          <w:bCs/>
          <w:sz w:val="24"/>
        </w:rPr>
        <w:t>5</w:t>
      </w:r>
      <w:r>
        <w:rPr>
          <w:bCs/>
          <w:sz w:val="24"/>
        </w:rPr>
        <w:t>3</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rFonts w:hint="eastAsia"/>
          <w:bCs/>
          <w:sz w:val="24"/>
        </w:rPr>
        <w:t>5</w:t>
      </w:r>
      <w:r>
        <w:rPr>
          <w:bCs/>
          <w:sz w:val="24"/>
        </w:rPr>
        <w:t>4</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rFonts w:hint="eastAsia"/>
          <w:bCs/>
          <w:sz w:val="24"/>
        </w:rPr>
        <w:t>5</w:t>
      </w:r>
      <w:r>
        <w:rPr>
          <w:bCs/>
          <w:sz w:val="24"/>
        </w:rPr>
        <w:t>5</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pPr>
        <w:adjustRightInd w:val="0"/>
        <w:snapToGrid w:val="0"/>
        <w:spacing w:line="360" w:lineRule="auto"/>
        <w:ind w:firstLine="480" w:firstLineChars="200"/>
        <w:rPr>
          <w:bCs/>
          <w:sz w:val="24"/>
        </w:rPr>
      </w:pPr>
      <w:r>
        <w:rPr>
          <w:rFonts w:hint="eastAsia"/>
          <w:bCs/>
          <w:sz w:val="24"/>
        </w:rPr>
        <w:t>5</w:t>
      </w:r>
      <w:r>
        <w:rPr>
          <w:bCs/>
          <w:sz w:val="24"/>
        </w:rPr>
        <w:t>6</w:t>
      </w:r>
      <w:r>
        <w:rPr>
          <w:rFonts w:hint="eastAsia"/>
          <w:bCs/>
          <w:sz w:val="24"/>
        </w:rPr>
        <w:t>、跨系统转托管：指基金份额持有人将持有的基金份额在注册登记系统和证券登记结算系统间进行转登记的行为</w:t>
      </w:r>
    </w:p>
    <w:p>
      <w:pPr>
        <w:adjustRightInd w:val="0"/>
        <w:snapToGrid w:val="0"/>
        <w:spacing w:line="360" w:lineRule="auto"/>
        <w:ind w:firstLine="480" w:firstLineChars="200"/>
        <w:rPr>
          <w:bCs/>
          <w:sz w:val="24"/>
        </w:rPr>
      </w:pPr>
      <w:r>
        <w:rPr>
          <w:rFonts w:hint="eastAsia"/>
          <w:bCs/>
          <w:sz w:val="24"/>
        </w:rPr>
        <w:t>5</w:t>
      </w:r>
      <w:r>
        <w:rPr>
          <w:bCs/>
          <w:sz w:val="24"/>
        </w:rPr>
        <w:t>7</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rFonts w:hint="eastAsia"/>
          <w:bCs/>
          <w:sz w:val="24"/>
        </w:rPr>
        <w:t>5</w:t>
      </w:r>
      <w:r>
        <w:rPr>
          <w:bCs/>
          <w:sz w:val="24"/>
        </w:rPr>
        <w:t>8</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rFonts w:hint="eastAsia"/>
          <w:bCs/>
          <w:sz w:val="24"/>
        </w:rPr>
        <w:t>5</w:t>
      </w:r>
      <w:r>
        <w:rPr>
          <w:bCs/>
          <w:sz w:val="24"/>
        </w:rPr>
        <w:t>9</w:t>
      </w:r>
      <w:r>
        <w:rPr>
          <w:rFonts w:hint="eastAsia"/>
          <w:bCs/>
          <w:sz w:val="24"/>
        </w:rPr>
        <w:t>、元：指人民币元</w:t>
      </w:r>
    </w:p>
    <w:p>
      <w:pPr>
        <w:adjustRightInd w:val="0"/>
        <w:snapToGrid w:val="0"/>
        <w:spacing w:line="360" w:lineRule="auto"/>
        <w:ind w:firstLine="480" w:firstLineChars="200"/>
        <w:rPr>
          <w:bCs/>
          <w:sz w:val="24"/>
        </w:rPr>
      </w:pPr>
      <w:r>
        <w:rPr>
          <w:bCs/>
          <w:sz w:val="24"/>
        </w:rPr>
        <w:t>60</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61</w:t>
      </w:r>
      <w:r>
        <w:rPr>
          <w:rFonts w:hint="eastAsia"/>
          <w:bCs/>
          <w:sz w:val="24"/>
        </w:rPr>
        <w:t>、基金资产总值：指基金拥有的各类有价证券、股指期货合约、银行存款本息、基金应收申购款及其他资产的价值总和</w:t>
      </w:r>
    </w:p>
    <w:p>
      <w:pPr>
        <w:adjustRightInd w:val="0"/>
        <w:snapToGrid w:val="0"/>
        <w:spacing w:line="360" w:lineRule="auto"/>
        <w:ind w:firstLine="480" w:firstLineChars="200"/>
        <w:rPr>
          <w:bCs/>
          <w:sz w:val="24"/>
        </w:rPr>
      </w:pPr>
      <w:r>
        <w:rPr>
          <w:bCs/>
          <w:sz w:val="24"/>
        </w:rPr>
        <w:t>62</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rFonts w:hint="eastAsia"/>
          <w:bCs/>
          <w:sz w:val="24"/>
        </w:rPr>
        <w:t>6</w:t>
      </w:r>
      <w:r>
        <w:rPr>
          <w:bCs/>
          <w:sz w:val="24"/>
        </w:rPr>
        <w:t>3</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rFonts w:hint="eastAsia"/>
          <w:bCs/>
          <w:sz w:val="24"/>
        </w:rPr>
        <w:t>6</w:t>
      </w:r>
      <w:r>
        <w:rPr>
          <w:bCs/>
          <w:sz w:val="24"/>
        </w:rPr>
        <w:t>4</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rFonts w:hint="eastAsia"/>
          <w:bCs/>
          <w:sz w:val="24"/>
        </w:rPr>
        <w:t>6</w:t>
      </w:r>
      <w:r>
        <w:rPr>
          <w:bCs/>
          <w:sz w:val="24"/>
        </w:rPr>
        <w:t>5</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rFonts w:hint="eastAsia"/>
          <w:bCs/>
          <w:sz w:val="24"/>
        </w:rPr>
        <w:t>6</w:t>
      </w:r>
      <w:r>
        <w:rPr>
          <w:bCs/>
          <w:sz w:val="24"/>
        </w:rPr>
        <w:t>6</w:t>
      </w:r>
      <w:r>
        <w:rPr>
          <w:rFonts w:hint="eastAsia"/>
          <w:bCs/>
          <w:sz w:val="24"/>
        </w:rPr>
        <w:t>、指定媒介：指中国证监会指定的用以进行信息披露的全国性报刊及指定互联网网站（包括基金管理人网站、基金托管人网站、中国证监会基金电子披露网站）等媒介</w:t>
      </w:r>
    </w:p>
    <w:p>
      <w:pPr>
        <w:adjustRightInd w:val="0"/>
        <w:snapToGrid w:val="0"/>
        <w:spacing w:line="360" w:lineRule="auto"/>
        <w:ind w:firstLine="480" w:firstLineChars="200"/>
        <w:rPr>
          <w:rFonts w:ascii="宋体" w:hAnsi="宋体"/>
          <w:sz w:val="24"/>
        </w:rPr>
      </w:pPr>
      <w:r>
        <w:rPr>
          <w:rFonts w:hint="eastAsia"/>
          <w:bCs/>
          <w:sz w:val="24"/>
        </w:rPr>
        <w:t>6</w:t>
      </w:r>
      <w:r>
        <w:rPr>
          <w:bCs/>
          <w:sz w:val="24"/>
        </w:rPr>
        <w:t>7</w:t>
      </w:r>
      <w:r>
        <w:rPr>
          <w:rFonts w:hint="eastAsia"/>
          <w:bCs/>
          <w:sz w:val="24"/>
        </w:rPr>
        <w:t>、不可抗力：指基金合同当事人不能预见、不能避免且不能克服的客观事件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widowControl/>
        <w:jc w:val="left"/>
        <w:rPr>
          <w:rFonts w:ascii="宋体" w:hAnsi="宋体"/>
          <w:b/>
          <w:kern w:val="0"/>
          <w:sz w:val="30"/>
        </w:rPr>
      </w:pPr>
      <w:bookmarkStart w:id="4" w:name="_Hlt80961854"/>
      <w:bookmarkEnd w:id="4"/>
      <w:bookmarkStart w:id="5" w:name="_Hlt81034163"/>
      <w:bookmarkEnd w:id="5"/>
      <w:bookmarkStart w:id="6" w:name="_Toc109537381"/>
      <w:r>
        <w:rPr>
          <w:rFonts w:ascii="宋体" w:hAnsi="宋体"/>
          <w:b/>
          <w:kern w:val="0"/>
          <w:sz w:val="30"/>
        </w:rPr>
        <w:br w:type="page"/>
      </w:r>
    </w:p>
    <w:p>
      <w:pPr>
        <w:spacing w:line="360" w:lineRule="auto"/>
        <w:jc w:val="center"/>
        <w:outlineLvl w:val="0"/>
        <w:rPr>
          <w:rFonts w:ascii="宋体" w:hAnsi="宋体"/>
          <w:b/>
          <w:kern w:val="0"/>
          <w:sz w:val="30"/>
        </w:rPr>
      </w:pPr>
      <w:bookmarkStart w:id="7" w:name="_Toc524440779"/>
      <w:bookmarkStart w:id="8" w:name="OLE_LINK5"/>
      <w:bookmarkStart w:id="9" w:name="OLE_LINK7"/>
      <w:bookmarkStart w:id="10" w:name="OLE_LINK8"/>
      <w:r>
        <w:rPr>
          <w:rFonts w:hint="eastAsia" w:ascii="宋体" w:hAnsi="宋体"/>
          <w:b/>
          <w:kern w:val="0"/>
          <w:sz w:val="30"/>
        </w:rPr>
        <w:t>三、基金管理人</w:t>
      </w:r>
      <w:bookmarkEnd w:id="6"/>
      <w:bookmarkEnd w:id="7"/>
    </w:p>
    <w:p>
      <w:pPr>
        <w:widowControl/>
        <w:adjustRightInd w:val="0"/>
        <w:snapToGrid w:val="0"/>
        <w:spacing w:line="360" w:lineRule="auto"/>
        <w:ind w:firstLine="480" w:firstLineChars="200"/>
        <w:rPr>
          <w:rFonts w:hAnsi="宋体"/>
          <w:b/>
          <w:kern w:val="0"/>
          <w:sz w:val="24"/>
        </w:rPr>
      </w:pPr>
      <w:r>
        <w:rPr>
          <w:rFonts w:hint="eastAsia" w:hAnsi="宋体"/>
          <w:color w:val="FF0000"/>
          <w:kern w:val="0"/>
          <w:sz w:val="24"/>
        </w:rPr>
        <w:t xml:space="preserve">    </w:t>
      </w:r>
    </w:p>
    <w:p>
      <w:pPr>
        <w:widowControl/>
        <w:adjustRightInd w:val="0"/>
        <w:snapToGrid w:val="0"/>
        <w:spacing w:line="360" w:lineRule="auto"/>
        <w:ind w:firstLine="482" w:firstLineChars="200"/>
        <w:outlineLvl w:val="1"/>
        <w:rPr>
          <w:b/>
          <w:kern w:val="0"/>
          <w:sz w:val="24"/>
        </w:rPr>
      </w:pPr>
      <w:r>
        <w:rPr>
          <w:rFonts w:hAnsi="宋体"/>
          <w:b/>
          <w:kern w:val="0"/>
          <w:sz w:val="24"/>
        </w:rPr>
        <w:t>（一）基金管理人概况</w:t>
      </w:r>
      <w:r>
        <w:rPr>
          <w:b/>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w:t>
      </w:r>
      <w:r>
        <w:rPr>
          <w:rFonts w:hAnsi="宋体"/>
          <w:kern w:val="0"/>
          <w:sz w:val="24"/>
        </w:rPr>
        <w:t>)</w:t>
      </w:r>
      <w:r>
        <w:rPr>
          <w:rFonts w:hint="eastAsia" w:hAnsi="宋体"/>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w:t>
      </w:r>
      <w:r>
        <w:rPr>
          <w:rFonts w:ascii="宋体" w:hAnsi="宋体" w:cs="宋体"/>
          <w:kern w:val="0"/>
          <w:sz w:val="24"/>
        </w:rPr>
        <w:t>8号国</w:t>
      </w:r>
      <w:r>
        <w:rPr>
          <w:rFonts w:hint="eastAsia" w:ascii="宋体" w:hAnsi="宋体" w:cs="宋体"/>
          <w:kern w:val="0"/>
          <w:sz w:val="24"/>
        </w:rPr>
        <w:t>金中心二期</w:t>
      </w:r>
      <w:r>
        <w:rPr>
          <w:rFonts w:ascii="宋体" w:hAnsi="宋体" w:cs="宋体"/>
          <w:kern w:val="0"/>
          <w:sz w:val="24"/>
        </w:rPr>
        <w:t>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（二）主要成员情况</w:t>
      </w:r>
      <w:r>
        <w:rPr>
          <w:b/>
          <w:kern w:val="0"/>
          <w:sz w:val="24"/>
          <w:szCs w:val="24"/>
        </w:rPr>
        <w:t xml:space="preserve"> </w:t>
      </w:r>
    </w:p>
    <w:p>
      <w:pPr>
        <w:widowControl/>
        <w:adjustRightInd w:val="0"/>
        <w:snapToGrid w:val="0"/>
        <w:spacing w:line="360" w:lineRule="auto"/>
        <w:ind w:firstLine="480" w:firstLineChars="200"/>
        <w:rPr>
          <w:rFonts w:hAnsi="宋体"/>
          <w:kern w:val="0"/>
          <w:sz w:val="24"/>
        </w:rPr>
      </w:pPr>
      <w:r>
        <w:rPr>
          <w:rFonts w:hAnsi="宋体"/>
          <w:kern w:val="0"/>
          <w:sz w:val="24"/>
        </w:rPr>
        <w:t xml:space="preserve">1、基金管理人董事会成员 </w:t>
      </w:r>
    </w:p>
    <w:p>
      <w:pPr>
        <w:widowControl/>
        <w:adjustRightInd w:val="0"/>
        <w:snapToGrid w:val="0"/>
        <w:spacing w:line="360" w:lineRule="auto"/>
        <w:ind w:firstLine="480" w:firstLineChars="200"/>
        <w:rPr>
          <w:rFonts w:hAnsi="宋体"/>
          <w:kern w:val="0"/>
          <w:sz w:val="24"/>
        </w:rPr>
      </w:pPr>
      <w:r>
        <w:rPr>
          <w:rFonts w:hint="eastAsia" w:hAnsi="宋体"/>
          <w:kern w:val="0"/>
          <w:sz w:val="24"/>
        </w:rPr>
        <w:t>阮红女士，董事长，博士。历任交通银行办公室副处长、处长，交通银行海外机构管理部副总经理、总经理，交通银行上海分行副行长，交通银行资产托管部总经理，交通银行投资管理部总经理，</w:t>
      </w:r>
      <w:r>
        <w:rPr>
          <w:rFonts w:hAnsi="宋体"/>
          <w:kern w:val="0"/>
          <w:sz w:val="24"/>
        </w:rPr>
        <w:t>交银施罗德基金管理有限公司总经理</w:t>
      </w:r>
      <w:r>
        <w:rPr>
          <w:rFonts w:hint="eastAsia" w:hAnsi="宋体"/>
          <w:kern w:val="0"/>
          <w:sz w:val="24"/>
        </w:rPr>
        <w:t>。</w:t>
      </w:r>
    </w:p>
    <w:p>
      <w:pPr>
        <w:widowControl/>
        <w:adjustRightInd w:val="0"/>
        <w:snapToGrid w:val="0"/>
        <w:spacing w:line="360" w:lineRule="auto"/>
        <w:ind w:firstLine="480" w:firstLineChars="200"/>
        <w:rPr>
          <w:rFonts w:hAnsi="宋体"/>
          <w:kern w:val="0"/>
          <w:sz w:val="24"/>
        </w:rPr>
      </w:pPr>
      <w:r>
        <w:rPr>
          <w:rFonts w:hint="eastAsia" w:hAnsi="宋体"/>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widowControl/>
        <w:adjustRightInd w:val="0"/>
        <w:snapToGrid w:val="0"/>
        <w:spacing w:line="360" w:lineRule="auto"/>
        <w:ind w:firstLine="480" w:firstLineChars="200"/>
        <w:rPr>
          <w:rFonts w:hAnsi="宋体"/>
          <w:kern w:val="0"/>
          <w:sz w:val="24"/>
        </w:rPr>
      </w:pPr>
      <w:r>
        <w:rPr>
          <w:rFonts w:hint="eastAsia" w:hAnsi="宋体"/>
          <w:kern w:val="0"/>
          <w:sz w:val="24"/>
        </w:rPr>
        <w:t>周曦</w:t>
      </w:r>
      <w:r>
        <w:rPr>
          <w:rFonts w:hAnsi="宋体"/>
          <w:kern w:val="0"/>
          <w:sz w:val="24"/>
        </w:rPr>
        <w:t>女士</w:t>
      </w:r>
      <w:r>
        <w:rPr>
          <w:rFonts w:hint="eastAsia" w:hAnsi="宋体"/>
          <w:kern w:val="0"/>
          <w:sz w:val="24"/>
        </w:rPr>
        <w:t>，董事</w:t>
      </w:r>
      <w:r>
        <w:rPr>
          <w:rFonts w:hAnsi="宋体"/>
          <w:kern w:val="0"/>
          <w:sz w:val="24"/>
        </w:rPr>
        <w:t>，</w:t>
      </w:r>
      <w:r>
        <w:rPr>
          <w:rFonts w:hint="eastAsia" w:hAnsi="宋体"/>
          <w:kern w:val="0"/>
          <w:sz w:val="24"/>
        </w:rPr>
        <w:t>硕士。现任交通银行总行个人金融业务部副总经理。历任交通银行湖南省分行风险管理部、资产保全部、法律合规部、个人金融业务部总经理，交通银行总行个人金融业务部总经理助理</w:t>
      </w:r>
      <w:r>
        <w:rPr>
          <w:rFonts w:hAnsi="宋体"/>
          <w:kern w:val="0"/>
          <w:sz w:val="24"/>
        </w:rPr>
        <w:t>。</w:t>
      </w:r>
    </w:p>
    <w:p>
      <w:pPr>
        <w:widowControl/>
        <w:adjustRightInd w:val="0"/>
        <w:snapToGrid w:val="0"/>
        <w:spacing w:line="360" w:lineRule="auto"/>
        <w:ind w:firstLine="480" w:firstLineChars="200"/>
        <w:rPr>
          <w:rFonts w:hAnsi="宋体"/>
          <w:kern w:val="0"/>
          <w:sz w:val="24"/>
        </w:rPr>
      </w:pPr>
      <w:r>
        <w:rPr>
          <w:rFonts w:hint="eastAsia" w:hAnsi="宋体"/>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rFonts w:hAnsi="宋体"/>
          <w:kern w:val="0"/>
          <w:sz w:val="24"/>
        </w:rPr>
      </w:pPr>
      <w:r>
        <w:rPr>
          <w:rFonts w:hint="eastAsia" w:hAnsi="宋体"/>
          <w:kern w:val="0"/>
          <w:sz w:val="24"/>
        </w:rPr>
        <w:t>谢卫</w:t>
      </w:r>
      <w:r>
        <w:rPr>
          <w:rFonts w:hAnsi="宋体"/>
          <w:kern w:val="0"/>
          <w:sz w:val="24"/>
        </w:rPr>
        <w:t>先生，</w:t>
      </w:r>
      <w:r>
        <w:rPr>
          <w:rFonts w:hint="eastAsia" w:hAnsi="宋体"/>
          <w:kern w:val="0"/>
          <w:sz w:val="24"/>
        </w:rPr>
        <w:t>董事</w:t>
      </w:r>
      <w:r>
        <w:rPr>
          <w:rFonts w:hAnsi="宋体"/>
          <w:kern w:val="0"/>
          <w:sz w:val="24"/>
        </w:rPr>
        <w:t>，</w:t>
      </w:r>
      <w:r>
        <w:rPr>
          <w:rFonts w:hint="eastAsia" w:hAnsi="宋体"/>
          <w:kern w:val="0"/>
          <w:sz w:val="24"/>
        </w:rPr>
        <w:t>总经理，博士</w:t>
      </w:r>
      <w:r>
        <w:rPr>
          <w:rFonts w:hAnsi="宋体"/>
          <w:kern w:val="0"/>
          <w:sz w:val="24"/>
        </w:rPr>
        <w:t>，</w:t>
      </w:r>
      <w:r>
        <w:rPr>
          <w:rFonts w:hint="eastAsia" w:hAnsi="宋体"/>
          <w:kern w:val="0"/>
          <w:sz w:val="24"/>
        </w:rPr>
        <w:t>高级经济师，民盟中央委员、全国政协委员。现</w:t>
      </w:r>
      <w:r>
        <w:rPr>
          <w:rFonts w:hAnsi="宋体"/>
          <w:kern w:val="0"/>
          <w:sz w:val="24"/>
        </w:rPr>
        <w:t>任</w:t>
      </w:r>
      <w:r>
        <w:rPr>
          <w:rFonts w:hint="eastAsia" w:hAnsi="宋体"/>
          <w:kern w:val="0"/>
          <w:sz w:val="24"/>
        </w:rPr>
        <w:t>交银</w:t>
      </w:r>
      <w:r>
        <w:rPr>
          <w:rFonts w:hAnsi="宋体"/>
          <w:kern w:val="0"/>
          <w:sz w:val="24"/>
        </w:rPr>
        <w:t>施罗德基金管理有限</w:t>
      </w:r>
      <w:r>
        <w:rPr>
          <w:rFonts w:hint="eastAsia" w:hAnsi="宋体"/>
          <w:kern w:val="0"/>
          <w:sz w:val="24"/>
        </w:rPr>
        <w:t>公司</w:t>
      </w:r>
      <w:r>
        <w:rPr>
          <w:rFonts w:hAnsi="宋体"/>
          <w:kern w:val="0"/>
          <w:sz w:val="24"/>
        </w:rPr>
        <w:t>总</w:t>
      </w:r>
      <w:r>
        <w:rPr>
          <w:rFonts w:hint="eastAsia" w:hAnsi="宋体"/>
          <w:kern w:val="0"/>
          <w:sz w:val="24"/>
        </w:rPr>
        <w:t>经理，兼任</w:t>
      </w:r>
      <w:r>
        <w:rPr>
          <w:rFonts w:hAnsi="宋体"/>
          <w:kern w:val="0"/>
          <w:sz w:val="24"/>
        </w:rPr>
        <w:t>交银施罗德</w:t>
      </w:r>
      <w:r>
        <w:rPr>
          <w:rFonts w:hint="eastAsia" w:hAnsi="宋体"/>
          <w:kern w:val="0"/>
          <w:sz w:val="24"/>
        </w:rPr>
        <w:t>资产</w:t>
      </w:r>
      <w:r>
        <w:rPr>
          <w:rFonts w:hAnsi="宋体"/>
          <w:kern w:val="0"/>
          <w:sz w:val="24"/>
        </w:rPr>
        <w:t>管理(</w:t>
      </w:r>
      <w:r>
        <w:rPr>
          <w:rFonts w:hint="eastAsia" w:hAnsi="宋体"/>
          <w:kern w:val="0"/>
          <w:sz w:val="24"/>
        </w:rPr>
        <w:t>香港</w:t>
      </w:r>
      <w:r>
        <w:rPr>
          <w:rFonts w:hAnsi="宋体"/>
          <w:kern w:val="0"/>
          <w:sz w:val="24"/>
        </w:rPr>
        <w:t>)</w:t>
      </w:r>
      <w:r>
        <w:rPr>
          <w:rFonts w:hint="eastAsia" w:hAnsi="宋体"/>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rFonts w:hAnsi="宋体"/>
          <w:kern w:val="0"/>
          <w:sz w:val="24"/>
        </w:rPr>
      </w:pPr>
      <w:r>
        <w:rPr>
          <w:rFonts w:hint="eastAsia" w:hAnsi="宋体"/>
          <w:kern w:val="0"/>
          <w:sz w:val="24"/>
        </w:rPr>
        <w:t>李定邦（</w:t>
      </w:r>
      <w:r>
        <w:rPr>
          <w:rFonts w:hAnsi="宋体"/>
          <w:kern w:val="0"/>
          <w:sz w:val="24"/>
        </w:rPr>
        <w:t>Lieven Debruyne）</w:t>
      </w:r>
      <w:r>
        <w:rPr>
          <w:rFonts w:hint="eastAsia" w:hAnsi="宋体"/>
          <w:kern w:val="0"/>
          <w:sz w:val="24"/>
        </w:rPr>
        <w:t>先生，董事</w:t>
      </w:r>
      <w:r>
        <w:rPr>
          <w:rFonts w:hAnsi="宋体"/>
          <w:kern w:val="0"/>
          <w:sz w:val="24"/>
        </w:rPr>
        <w:t>，硕士</w:t>
      </w:r>
      <w:r>
        <w:rPr>
          <w:rFonts w:hint="eastAsia" w:hAnsi="宋体"/>
          <w:kern w:val="0"/>
          <w:sz w:val="24"/>
        </w:rPr>
        <w:t>。现任施罗德集团全球业务总裁、亚太区</w:t>
      </w:r>
      <w:r>
        <w:rPr>
          <w:rFonts w:hAnsi="宋体"/>
          <w:kern w:val="0"/>
          <w:sz w:val="24"/>
        </w:rPr>
        <w:t xml:space="preserve">行政总裁, </w:t>
      </w:r>
      <w:r>
        <w:rPr>
          <w:rFonts w:hint="eastAsia" w:hAnsi="宋体"/>
          <w:kern w:val="0"/>
          <w:sz w:val="24"/>
        </w:rPr>
        <w:t>担任集团管理委员会成员。历任施罗德投资管理有限公司亚洲</w:t>
      </w:r>
      <w:r>
        <w:rPr>
          <w:rFonts w:hAnsi="宋体"/>
          <w:kern w:val="0"/>
          <w:sz w:val="24"/>
        </w:rPr>
        <w:t>投资产品总监，</w:t>
      </w:r>
      <w:r>
        <w:rPr>
          <w:rFonts w:hint="eastAsia" w:hAnsi="宋体"/>
          <w:kern w:val="0"/>
          <w:sz w:val="24"/>
        </w:rPr>
        <w:t>施罗德投资管理（</w:t>
      </w:r>
      <w:r>
        <w:rPr>
          <w:rFonts w:hAnsi="宋体"/>
          <w:kern w:val="0"/>
          <w:sz w:val="24"/>
        </w:rPr>
        <w:t>香港）</w:t>
      </w:r>
      <w:r>
        <w:rPr>
          <w:rFonts w:hint="eastAsia" w:hAnsi="宋体"/>
          <w:kern w:val="0"/>
          <w:sz w:val="24"/>
        </w:rPr>
        <w:t>有限公司</w:t>
      </w:r>
      <w:r>
        <w:rPr>
          <w:rFonts w:hAnsi="宋体"/>
          <w:kern w:val="0"/>
          <w:sz w:val="24"/>
        </w:rPr>
        <w:t>行政总裁</w:t>
      </w:r>
      <w:r>
        <w:rPr>
          <w:rFonts w:hint="eastAsia" w:hAnsi="宋体"/>
          <w:kern w:val="0"/>
          <w:sz w:val="24"/>
        </w:rPr>
        <w:t>兼</w:t>
      </w:r>
      <w:r>
        <w:rPr>
          <w:rFonts w:hAnsi="宋体"/>
          <w:kern w:val="0"/>
          <w:sz w:val="24"/>
        </w:rPr>
        <w:t>亚太区基金业务拓展总监。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rFonts w:hAnsi="宋体"/>
          <w:kern w:val="0"/>
          <w:sz w:val="24"/>
        </w:rPr>
      </w:pPr>
      <w:r>
        <w:rPr>
          <w:rFonts w:hint="eastAsia" w:hAnsi="宋体"/>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rFonts w:hAnsi="宋体"/>
          <w:kern w:val="0"/>
          <w:sz w:val="24"/>
        </w:rPr>
      </w:pPr>
      <w:r>
        <w:rPr>
          <w:rFonts w:hint="eastAsia" w:hAnsi="宋体"/>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rPr>
          <w:rFonts w:hAnsi="宋体"/>
          <w:kern w:val="0"/>
          <w:sz w:val="24"/>
        </w:rPr>
      </w:pPr>
      <w:r>
        <w:rPr>
          <w:rFonts w:hAnsi="宋体"/>
          <w:kern w:val="0"/>
          <w:sz w:val="24"/>
        </w:rPr>
        <w:t>2、基金管理人监事会成员</w:t>
      </w:r>
    </w:p>
    <w:p>
      <w:pPr>
        <w:widowControl/>
        <w:adjustRightInd w:val="0"/>
        <w:snapToGrid w:val="0"/>
        <w:spacing w:line="360" w:lineRule="auto"/>
        <w:ind w:firstLine="480" w:firstLineChars="200"/>
        <w:rPr>
          <w:rFonts w:hAnsi="宋体"/>
          <w:kern w:val="0"/>
          <w:sz w:val="24"/>
        </w:rPr>
      </w:pPr>
      <w:r>
        <w:rPr>
          <w:rFonts w:hint="eastAsia" w:hAnsi="宋体"/>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pPr>
        <w:widowControl/>
        <w:adjustRightInd w:val="0"/>
        <w:snapToGrid w:val="0"/>
        <w:spacing w:line="360" w:lineRule="auto"/>
        <w:ind w:firstLine="480" w:firstLineChars="200"/>
        <w:rPr>
          <w:rFonts w:hAnsi="宋体"/>
          <w:kern w:val="0"/>
          <w:sz w:val="24"/>
        </w:rPr>
      </w:pPr>
      <w:r>
        <w:rPr>
          <w:rFonts w:hint="eastAsia" w:hAnsi="宋体"/>
          <w:kern w:val="0"/>
          <w:sz w:val="24"/>
        </w:rPr>
        <w:t>章骏翔先生，</w:t>
      </w:r>
      <w:r>
        <w:rPr>
          <w:rFonts w:hAnsi="宋体"/>
          <w:kern w:val="0"/>
          <w:sz w:val="24"/>
        </w:rPr>
        <w:t>监事，</w:t>
      </w:r>
      <w:r>
        <w:rPr>
          <w:rFonts w:hint="eastAsia" w:hAnsi="宋体"/>
          <w:kern w:val="0"/>
          <w:sz w:val="24"/>
        </w:rPr>
        <w:t>硕士，志奋领学者，美国特许金融分析师</w:t>
      </w:r>
      <w:r>
        <w:rPr>
          <w:rFonts w:hAnsi="宋体"/>
          <w:kern w:val="0"/>
          <w:sz w:val="24"/>
        </w:rPr>
        <w:t>(CFA)</w:t>
      </w:r>
      <w:r>
        <w:rPr>
          <w:rFonts w:hint="eastAsia" w:hAnsi="宋体"/>
          <w:kern w:val="0"/>
          <w:sz w:val="24"/>
        </w:rPr>
        <w:t>持证人。现任施罗德投资管理</w:t>
      </w:r>
      <w:r>
        <w:rPr>
          <w:rFonts w:hAnsi="宋体"/>
          <w:kern w:val="0"/>
          <w:sz w:val="24"/>
        </w:rPr>
        <w:t>(</w:t>
      </w:r>
      <w:r>
        <w:rPr>
          <w:rFonts w:hint="eastAsia" w:hAnsi="宋体"/>
          <w:kern w:val="0"/>
          <w:sz w:val="24"/>
        </w:rPr>
        <w:t>香港</w:t>
      </w:r>
      <w:r>
        <w:rPr>
          <w:rFonts w:hAnsi="宋体"/>
          <w:kern w:val="0"/>
          <w:sz w:val="24"/>
        </w:rPr>
        <w:t>)</w:t>
      </w:r>
      <w:r>
        <w:rPr>
          <w:rFonts w:hint="eastAsia" w:hAnsi="宋体"/>
          <w:kern w:val="0"/>
          <w:sz w:val="24"/>
        </w:rPr>
        <w:t>有限公司亚洲投资风险主管。历任法国安盛投资管理（香港）有限公司亚洲风险经理，华宝兴业基金管理有限公司风险管理部总经理</w:t>
      </w:r>
      <w:r>
        <w:rPr>
          <w:rFonts w:hAnsi="宋体"/>
          <w:kern w:val="0"/>
          <w:sz w:val="24"/>
        </w:rPr>
        <w:t>,</w:t>
      </w:r>
      <w:r>
        <w:rPr>
          <w:rFonts w:hint="eastAsia" w:hAnsi="宋体"/>
          <w:kern w:val="0"/>
          <w:sz w:val="24"/>
        </w:rPr>
        <w:t>渣打银行（香港）交易风险监控等职。</w:t>
      </w:r>
    </w:p>
    <w:p>
      <w:pPr>
        <w:widowControl/>
        <w:adjustRightInd w:val="0"/>
        <w:snapToGrid w:val="0"/>
        <w:spacing w:line="360" w:lineRule="auto"/>
        <w:ind w:firstLine="480" w:firstLineChars="200"/>
        <w:rPr>
          <w:rFonts w:hAnsi="宋体"/>
          <w:kern w:val="0"/>
          <w:sz w:val="24"/>
        </w:rPr>
      </w:pPr>
      <w:r>
        <w:rPr>
          <w:rFonts w:hint="eastAsia" w:hAnsi="宋体"/>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widowControl/>
        <w:adjustRightInd w:val="0"/>
        <w:snapToGrid w:val="0"/>
        <w:spacing w:line="360" w:lineRule="auto"/>
        <w:ind w:firstLine="480" w:firstLineChars="200"/>
        <w:rPr>
          <w:rFonts w:hAnsi="宋体"/>
          <w:kern w:val="0"/>
          <w:sz w:val="24"/>
        </w:rPr>
      </w:pPr>
      <w:r>
        <w:rPr>
          <w:rFonts w:hint="eastAsia" w:hAnsi="宋体"/>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widowControl/>
        <w:adjustRightInd w:val="0"/>
        <w:snapToGrid w:val="0"/>
        <w:spacing w:line="360" w:lineRule="auto"/>
        <w:ind w:firstLine="480" w:firstLineChars="200"/>
        <w:rPr>
          <w:rFonts w:hAnsi="宋体"/>
          <w:kern w:val="0"/>
          <w:sz w:val="24"/>
        </w:rPr>
      </w:pPr>
      <w:r>
        <w:rPr>
          <w:rFonts w:hAnsi="宋体"/>
          <w:kern w:val="0"/>
          <w:sz w:val="24"/>
        </w:rPr>
        <w:t>3</w:t>
      </w:r>
      <w:r>
        <w:rPr>
          <w:rFonts w:hint="eastAsia" w:hAnsi="宋体"/>
          <w:kern w:val="0"/>
          <w:sz w:val="24"/>
        </w:rPr>
        <w:t>、基金管理人高级管理人员</w:t>
      </w:r>
      <w:r>
        <w:rPr>
          <w:rFonts w:hAnsi="宋体"/>
          <w:kern w:val="0"/>
          <w:sz w:val="24"/>
        </w:rPr>
        <w:t xml:space="preserve"> </w:t>
      </w:r>
    </w:p>
    <w:p>
      <w:pPr>
        <w:widowControl/>
        <w:adjustRightInd w:val="0"/>
        <w:snapToGrid w:val="0"/>
        <w:spacing w:line="360" w:lineRule="auto"/>
        <w:ind w:firstLine="480" w:firstLineChars="200"/>
        <w:rPr>
          <w:rFonts w:hAnsi="宋体"/>
          <w:kern w:val="0"/>
          <w:sz w:val="24"/>
        </w:rPr>
      </w:pPr>
      <w:r>
        <w:rPr>
          <w:rFonts w:hint="eastAsia" w:hAnsi="宋体"/>
          <w:kern w:val="0"/>
          <w:sz w:val="24"/>
        </w:rPr>
        <w:t>谢卫先生，总经理。简历同上。</w:t>
      </w:r>
      <w:r>
        <w:rPr>
          <w:rFonts w:hAnsi="宋体"/>
          <w:kern w:val="0"/>
          <w:sz w:val="24"/>
        </w:rPr>
        <w:t xml:space="preserve"> </w:t>
      </w:r>
    </w:p>
    <w:p>
      <w:pPr>
        <w:widowControl/>
        <w:adjustRightInd w:val="0"/>
        <w:snapToGrid w:val="0"/>
        <w:spacing w:line="360" w:lineRule="auto"/>
        <w:ind w:firstLine="480" w:firstLineChars="200"/>
        <w:rPr>
          <w:rFonts w:hAnsi="宋体"/>
          <w:kern w:val="0"/>
          <w:sz w:val="24"/>
        </w:rPr>
      </w:pPr>
      <w:r>
        <w:rPr>
          <w:rFonts w:hint="eastAsia" w:hAnsi="宋体"/>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rFonts w:hAnsi="宋体"/>
          <w:kern w:val="0"/>
          <w:sz w:val="24"/>
        </w:rPr>
      </w:pPr>
      <w:r>
        <w:rPr>
          <w:rFonts w:hint="eastAsia" w:hAnsi="宋体"/>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rFonts w:hAnsi="宋体"/>
          <w:kern w:val="0"/>
          <w:sz w:val="24"/>
        </w:rPr>
      </w:pPr>
      <w:r>
        <w:rPr>
          <w:rFonts w:hint="eastAsia" w:hAnsi="宋体"/>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128" w:name="_GoBack"/>
      <w:bookmarkEnd w:id="128"/>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kern w:val="0"/>
          <w:sz w:val="24"/>
        </w:rPr>
      </w:pPr>
      <w:r>
        <w:rPr>
          <w:rFonts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w:t>
      </w:r>
      <w:r>
        <w:rPr>
          <w:kern w:val="0"/>
          <w:sz w:val="24"/>
        </w:rPr>
        <w:t>固定收益（公募）投资总监</w:t>
      </w:r>
      <w:r>
        <w:rPr>
          <w:rFonts w:hint="eastAsia"/>
          <w:kern w:val="0"/>
          <w:sz w:val="24"/>
        </w:rPr>
        <w:t>、</w:t>
      </w:r>
      <w:r>
        <w:rPr>
          <w:kern w:val="0"/>
          <w:sz w:val="24"/>
        </w:rPr>
        <w:t>基金经理）</w:t>
      </w:r>
    </w:p>
    <w:p>
      <w:pPr>
        <w:adjustRightInd w:val="0"/>
        <w:snapToGrid w:val="0"/>
        <w:spacing w:line="360" w:lineRule="auto"/>
        <w:ind w:firstLine="480" w:firstLineChars="200"/>
        <w:rPr>
          <w:rFonts w:hAnsi="宋体"/>
          <w:kern w:val="0"/>
          <w:sz w:val="24"/>
        </w:rPr>
      </w:pPr>
      <w:r>
        <w:rPr>
          <w:kern w:val="0"/>
          <w:sz w:val="24"/>
          <w:szCs w:val="24"/>
        </w:rPr>
        <w:t>上述人员之间不存在近亲属关系。</w:t>
      </w:r>
      <w:r>
        <w:rPr>
          <w:rFonts w:hint="eastAsia"/>
          <w:kern w:val="0"/>
          <w:sz w:val="24"/>
          <w:szCs w:val="24"/>
        </w:rPr>
        <w:t>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bookmarkEnd w:id="8"/>
    <w:bookmarkEnd w:id="9"/>
    <w:bookmarkEnd w:id="10"/>
    <w:p>
      <w:pPr>
        <w:widowControl/>
        <w:adjustRightInd w:val="0"/>
        <w:snapToGrid w:val="0"/>
        <w:spacing w:line="360" w:lineRule="auto"/>
        <w:ind w:firstLine="482" w:firstLineChars="200"/>
        <w:rPr>
          <w:b/>
          <w:kern w:val="0"/>
          <w:sz w:val="24"/>
        </w:rPr>
      </w:pPr>
      <w:r>
        <w:rPr>
          <w:rFonts w:hAnsi="宋体"/>
          <w:b/>
          <w:kern w:val="0"/>
          <w:sz w:val="24"/>
        </w:rPr>
        <w:t>（三）基金管理人的职责</w:t>
      </w:r>
      <w:r>
        <w:rPr>
          <w:b/>
          <w:kern w:val="0"/>
          <w:sz w:val="24"/>
        </w:rPr>
        <w:t xml:space="preserve"> </w:t>
      </w:r>
    </w:p>
    <w:p>
      <w:pPr>
        <w:adjustRightInd w:val="0"/>
        <w:snapToGrid w:val="0"/>
        <w:spacing w:line="360" w:lineRule="auto"/>
        <w:ind w:firstLine="480" w:firstLineChars="200"/>
        <w:rPr>
          <w:sz w:val="24"/>
          <w:szCs w:val="24"/>
        </w:rPr>
      </w:pPr>
      <w:r>
        <w:rPr>
          <w:sz w:val="24"/>
          <w:szCs w:val="24"/>
        </w:rPr>
        <w:t>1</w:t>
      </w:r>
      <w:r>
        <w:rPr>
          <w:rFonts w:hint="eastAsia"/>
          <w:sz w:val="24"/>
          <w:szCs w:val="24"/>
        </w:rPr>
        <w:t>、依法募集资金，办理或者委托经中国证监会认定的其他机构办理基金份额的发售、申购、赎回和登记事宜；</w:t>
      </w:r>
      <w:r>
        <w:rPr>
          <w:sz w:val="24"/>
          <w:szCs w:val="24"/>
        </w:rPr>
        <w:t xml:space="preserve"> </w:t>
      </w:r>
    </w:p>
    <w:p>
      <w:pPr>
        <w:adjustRightInd w:val="0"/>
        <w:snapToGrid w:val="0"/>
        <w:spacing w:line="360" w:lineRule="auto"/>
        <w:ind w:firstLine="480" w:firstLineChars="200"/>
        <w:rPr>
          <w:sz w:val="24"/>
          <w:szCs w:val="24"/>
        </w:rPr>
      </w:pPr>
      <w:r>
        <w:rPr>
          <w:sz w:val="24"/>
          <w:szCs w:val="24"/>
        </w:rPr>
        <w:t>2</w:t>
      </w:r>
      <w:r>
        <w:rPr>
          <w:rFonts w:hint="eastAsia"/>
          <w:sz w:val="24"/>
          <w:szCs w:val="24"/>
        </w:rPr>
        <w:t>、办理基金备案手续；</w:t>
      </w:r>
      <w:r>
        <w:rPr>
          <w:sz w:val="24"/>
          <w:szCs w:val="24"/>
        </w:rPr>
        <w:t xml:space="preserve"> </w:t>
      </w:r>
    </w:p>
    <w:p>
      <w:pPr>
        <w:adjustRightInd w:val="0"/>
        <w:snapToGrid w:val="0"/>
        <w:spacing w:line="360" w:lineRule="auto"/>
        <w:ind w:firstLine="480" w:firstLineChars="200"/>
        <w:rPr>
          <w:sz w:val="24"/>
          <w:szCs w:val="24"/>
        </w:rPr>
      </w:pPr>
      <w:r>
        <w:rPr>
          <w:sz w:val="24"/>
          <w:szCs w:val="24"/>
        </w:rPr>
        <w:t>3</w:t>
      </w:r>
      <w:r>
        <w:rPr>
          <w:rFonts w:hint="eastAsia"/>
          <w:sz w:val="24"/>
          <w:szCs w:val="24"/>
        </w:rPr>
        <w:t>、对所管理的不同基金财产分别管理、分别记账，进行证券投资；</w:t>
      </w:r>
      <w:r>
        <w:rPr>
          <w:sz w:val="24"/>
          <w:szCs w:val="24"/>
        </w:rPr>
        <w:t xml:space="preserve"> </w:t>
      </w:r>
    </w:p>
    <w:p>
      <w:pPr>
        <w:adjustRightInd w:val="0"/>
        <w:snapToGrid w:val="0"/>
        <w:spacing w:line="360" w:lineRule="auto"/>
        <w:ind w:firstLine="480" w:firstLineChars="200"/>
        <w:rPr>
          <w:sz w:val="24"/>
          <w:szCs w:val="24"/>
        </w:rPr>
      </w:pPr>
      <w:r>
        <w:rPr>
          <w:sz w:val="24"/>
          <w:szCs w:val="24"/>
        </w:rPr>
        <w:t>4</w:t>
      </w:r>
      <w:r>
        <w:rPr>
          <w:rFonts w:hint="eastAsia"/>
          <w:sz w:val="24"/>
          <w:szCs w:val="24"/>
        </w:rPr>
        <w:t>、按照基金合同的约定确定基金收益分配方案，及时向基金份额持有人分配收益；</w:t>
      </w:r>
      <w:r>
        <w:rPr>
          <w:sz w:val="24"/>
          <w:szCs w:val="24"/>
        </w:rPr>
        <w:t xml:space="preserve"> </w:t>
      </w:r>
    </w:p>
    <w:p>
      <w:pPr>
        <w:adjustRightInd w:val="0"/>
        <w:snapToGrid w:val="0"/>
        <w:spacing w:line="360" w:lineRule="auto"/>
        <w:ind w:firstLine="480" w:firstLineChars="200"/>
        <w:rPr>
          <w:sz w:val="24"/>
          <w:szCs w:val="24"/>
        </w:rPr>
      </w:pPr>
      <w:r>
        <w:rPr>
          <w:sz w:val="24"/>
          <w:szCs w:val="24"/>
        </w:rPr>
        <w:t>5</w:t>
      </w:r>
      <w:r>
        <w:rPr>
          <w:rFonts w:hint="eastAsia"/>
          <w:sz w:val="24"/>
          <w:szCs w:val="24"/>
        </w:rPr>
        <w:t>、进行基金会计核算并编制基金财务会计报告；</w:t>
      </w:r>
      <w:r>
        <w:rPr>
          <w:sz w:val="24"/>
          <w:szCs w:val="24"/>
        </w:rPr>
        <w:t xml:space="preserve"> </w:t>
      </w:r>
    </w:p>
    <w:p>
      <w:pPr>
        <w:adjustRightInd w:val="0"/>
        <w:snapToGrid w:val="0"/>
        <w:spacing w:line="360" w:lineRule="auto"/>
        <w:ind w:firstLine="480" w:firstLineChars="200"/>
        <w:rPr>
          <w:sz w:val="24"/>
          <w:szCs w:val="24"/>
        </w:rPr>
      </w:pPr>
      <w:r>
        <w:rPr>
          <w:sz w:val="24"/>
          <w:szCs w:val="24"/>
        </w:rPr>
        <w:t>6</w:t>
      </w:r>
      <w:r>
        <w:rPr>
          <w:rFonts w:hint="eastAsia"/>
          <w:sz w:val="24"/>
          <w:szCs w:val="24"/>
        </w:rPr>
        <w:t>、编制季度报告、中期报告和年度报告；</w:t>
      </w:r>
      <w:r>
        <w:rPr>
          <w:sz w:val="24"/>
          <w:szCs w:val="24"/>
        </w:rPr>
        <w:t xml:space="preserve"> </w:t>
      </w:r>
    </w:p>
    <w:p>
      <w:pPr>
        <w:adjustRightInd w:val="0"/>
        <w:snapToGrid w:val="0"/>
        <w:spacing w:line="360" w:lineRule="auto"/>
        <w:ind w:firstLine="480" w:firstLineChars="200"/>
        <w:rPr>
          <w:sz w:val="24"/>
          <w:szCs w:val="24"/>
        </w:rPr>
      </w:pPr>
      <w:r>
        <w:rPr>
          <w:sz w:val="24"/>
          <w:szCs w:val="24"/>
        </w:rPr>
        <w:t>7</w:t>
      </w:r>
      <w:r>
        <w:rPr>
          <w:rFonts w:hint="eastAsia"/>
          <w:sz w:val="24"/>
          <w:szCs w:val="24"/>
        </w:rPr>
        <w:t>、计算并公告基金净值信息，确定基金份额申购、赎回价格；</w:t>
      </w:r>
      <w:r>
        <w:rPr>
          <w:sz w:val="24"/>
          <w:szCs w:val="24"/>
        </w:rPr>
        <w:t xml:space="preserve"> </w:t>
      </w:r>
    </w:p>
    <w:p>
      <w:pPr>
        <w:adjustRightInd w:val="0"/>
        <w:snapToGrid w:val="0"/>
        <w:spacing w:line="360" w:lineRule="auto"/>
        <w:ind w:firstLine="480" w:firstLineChars="200"/>
        <w:rPr>
          <w:sz w:val="24"/>
          <w:szCs w:val="24"/>
        </w:rPr>
      </w:pPr>
      <w:r>
        <w:rPr>
          <w:sz w:val="24"/>
          <w:szCs w:val="24"/>
        </w:rPr>
        <w:t>8</w:t>
      </w:r>
      <w:r>
        <w:rPr>
          <w:rFonts w:hint="eastAsia"/>
          <w:sz w:val="24"/>
          <w:szCs w:val="24"/>
        </w:rPr>
        <w:t>、办理与基金财产管理业务活动有关的信息披露事项；</w:t>
      </w:r>
      <w:r>
        <w:rPr>
          <w:sz w:val="24"/>
          <w:szCs w:val="24"/>
        </w:rPr>
        <w:t xml:space="preserve"> </w:t>
      </w:r>
    </w:p>
    <w:p>
      <w:pPr>
        <w:adjustRightInd w:val="0"/>
        <w:snapToGrid w:val="0"/>
        <w:spacing w:line="360" w:lineRule="auto"/>
        <w:ind w:firstLine="480" w:firstLineChars="200"/>
        <w:rPr>
          <w:sz w:val="24"/>
          <w:szCs w:val="24"/>
        </w:rPr>
      </w:pPr>
      <w:r>
        <w:rPr>
          <w:sz w:val="24"/>
          <w:szCs w:val="24"/>
        </w:rPr>
        <w:t>9</w:t>
      </w:r>
      <w:r>
        <w:rPr>
          <w:rFonts w:hint="eastAsia"/>
          <w:sz w:val="24"/>
          <w:szCs w:val="24"/>
        </w:rPr>
        <w:t>、按照规定召集基金份额持有人大会；</w:t>
      </w:r>
      <w:r>
        <w:rPr>
          <w:sz w:val="24"/>
          <w:szCs w:val="24"/>
        </w:rPr>
        <w:t xml:space="preserve"> </w:t>
      </w:r>
    </w:p>
    <w:p>
      <w:pPr>
        <w:adjustRightInd w:val="0"/>
        <w:snapToGrid w:val="0"/>
        <w:spacing w:line="360" w:lineRule="auto"/>
        <w:ind w:firstLine="480" w:firstLineChars="200"/>
        <w:rPr>
          <w:sz w:val="24"/>
          <w:szCs w:val="24"/>
        </w:rPr>
      </w:pPr>
      <w:r>
        <w:rPr>
          <w:sz w:val="24"/>
          <w:szCs w:val="24"/>
        </w:rPr>
        <w:t>10</w:t>
      </w:r>
      <w:r>
        <w:rPr>
          <w:rFonts w:hint="eastAsia"/>
          <w:sz w:val="24"/>
          <w:szCs w:val="24"/>
        </w:rPr>
        <w:t>、保存基金财产管理业务活动的记录、账册、报表和其他相关资料；</w:t>
      </w:r>
      <w:r>
        <w:rPr>
          <w:sz w:val="24"/>
          <w:szCs w:val="24"/>
        </w:rPr>
        <w:t xml:space="preserve"> </w:t>
      </w:r>
    </w:p>
    <w:p>
      <w:pPr>
        <w:adjustRightInd w:val="0"/>
        <w:snapToGrid w:val="0"/>
        <w:spacing w:line="360" w:lineRule="auto"/>
        <w:ind w:firstLine="480" w:firstLineChars="200"/>
        <w:rPr>
          <w:sz w:val="24"/>
          <w:szCs w:val="24"/>
        </w:rPr>
      </w:pPr>
      <w:r>
        <w:rPr>
          <w:sz w:val="24"/>
          <w:szCs w:val="24"/>
        </w:rPr>
        <w:t>11</w:t>
      </w:r>
      <w:r>
        <w:rPr>
          <w:rFonts w:hint="eastAsia"/>
          <w:sz w:val="24"/>
          <w:szCs w:val="24"/>
        </w:rPr>
        <w:t>、以基金管理人名义，代表基金份额持有人利益行使诉讼权利或者实施其他法律行为；</w:t>
      </w:r>
      <w:r>
        <w:rPr>
          <w:sz w:val="24"/>
          <w:szCs w:val="24"/>
        </w:rPr>
        <w:t xml:space="preserve"> </w:t>
      </w:r>
    </w:p>
    <w:p>
      <w:pPr>
        <w:adjustRightInd w:val="0"/>
        <w:snapToGrid w:val="0"/>
        <w:spacing w:line="360" w:lineRule="auto"/>
        <w:ind w:firstLine="480" w:firstLineChars="200"/>
        <w:rPr>
          <w:sz w:val="24"/>
          <w:szCs w:val="24"/>
        </w:rPr>
      </w:pPr>
      <w:r>
        <w:rPr>
          <w:sz w:val="24"/>
          <w:szCs w:val="24"/>
        </w:rPr>
        <w:t>12</w:t>
      </w:r>
      <w:r>
        <w:rPr>
          <w:rFonts w:hint="eastAsia"/>
          <w:sz w:val="24"/>
          <w:szCs w:val="24"/>
        </w:rPr>
        <w:t>、有关法律法规和中国证监会规定的其他职责。</w:t>
      </w:r>
      <w:r>
        <w:rPr>
          <w:sz w:val="24"/>
          <w:szCs w:val="24"/>
        </w:rPr>
        <w:t xml:space="preserve"> </w:t>
      </w:r>
    </w:p>
    <w:p>
      <w:pPr>
        <w:widowControl/>
        <w:adjustRightInd w:val="0"/>
        <w:snapToGrid w:val="0"/>
        <w:spacing w:line="360" w:lineRule="auto"/>
        <w:ind w:firstLine="482" w:firstLineChars="200"/>
        <w:jc w:val="left"/>
        <w:rPr>
          <w:b/>
          <w:kern w:val="0"/>
          <w:sz w:val="24"/>
        </w:rPr>
      </w:pPr>
      <w:r>
        <w:rPr>
          <w:rFonts w:hAnsi="宋体"/>
          <w:b/>
          <w:kern w:val="0"/>
          <w:sz w:val="24"/>
        </w:rPr>
        <w:t>（四）基金管理人的承诺</w:t>
      </w:r>
      <w:r>
        <w:rPr>
          <w:b/>
          <w:kern w:val="0"/>
          <w:sz w:val="24"/>
        </w:rPr>
        <w:t xml:space="preserve"> </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、基金管理人承诺不从事违反《中华人民共和国证券法》的行为，并承诺建立健全内部控制制度，采取有效措施，防止违反《中华人民共和国证券法》行为的发生；</w:t>
      </w:r>
      <w:r>
        <w:rPr>
          <w:sz w:val="24"/>
          <w:szCs w:val="24"/>
        </w:rPr>
        <w:t xml:space="preserve"> </w:t>
      </w:r>
    </w:p>
    <w:p>
      <w:pPr>
        <w:adjustRightInd w:val="0"/>
        <w:snapToGrid w:val="0"/>
        <w:spacing w:line="360" w:lineRule="auto"/>
        <w:ind w:firstLine="480" w:firstLineChars="200"/>
        <w:rPr>
          <w:sz w:val="24"/>
          <w:szCs w:val="24"/>
        </w:rPr>
      </w:pPr>
      <w:r>
        <w:rPr>
          <w:sz w:val="24"/>
          <w:szCs w:val="24"/>
        </w:rPr>
        <w:t>2</w:t>
      </w:r>
      <w:r>
        <w:rPr>
          <w:rFonts w:hint="eastAsia"/>
          <w:sz w:val="24"/>
          <w:szCs w:val="24"/>
        </w:rPr>
        <w:t>、基金管理人承诺不从事违反《基金法》的行为，并承诺建立健全内部风险控制制度，采取有效措施，防止下列行为的发生：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）将基金管理人固有财产或者他人财产混同于基金财产从事证券投资；</w:t>
      </w:r>
    </w:p>
    <w:p>
      <w:pPr>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）不公平地对待管理的不同基金财产；</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）利用基金财产为基金份额持有人以外的第三人牟取利益；</w:t>
      </w:r>
    </w:p>
    <w:p>
      <w:pPr>
        <w:adjustRightInd w:val="0"/>
        <w:snapToGrid w:val="0"/>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）法律、行政法规和中国证监会禁止的其他行为。</w:t>
      </w:r>
      <w:r>
        <w:rPr>
          <w:sz w:val="24"/>
          <w:szCs w:val="24"/>
        </w:rPr>
        <w:t xml:space="preserve"> </w:t>
      </w:r>
    </w:p>
    <w:p>
      <w:pPr>
        <w:adjustRightInd w:val="0"/>
        <w:snapToGrid w:val="0"/>
        <w:spacing w:line="360" w:lineRule="auto"/>
        <w:ind w:firstLine="480" w:firstLineChars="200"/>
        <w:rPr>
          <w:sz w:val="24"/>
          <w:szCs w:val="24"/>
        </w:rPr>
      </w:pPr>
      <w:r>
        <w:rPr>
          <w:sz w:val="24"/>
          <w:szCs w:val="24"/>
        </w:rPr>
        <w:t>3</w:t>
      </w:r>
      <w:r>
        <w:rPr>
          <w:rFonts w:hint="eastAsia"/>
          <w:sz w:val="24"/>
          <w:szCs w:val="24"/>
        </w:rPr>
        <w:t>、基金管理人承诺严格遵守基金合同，并承诺建立健全内部控制制度，采取有效措施，防止违反基金合同行为的发生；</w:t>
      </w:r>
      <w:r>
        <w:rPr>
          <w:sz w:val="24"/>
          <w:szCs w:val="24"/>
        </w:rPr>
        <w:t xml:space="preserve"> </w:t>
      </w:r>
    </w:p>
    <w:p>
      <w:pPr>
        <w:adjustRightInd w:val="0"/>
        <w:snapToGrid w:val="0"/>
        <w:spacing w:line="360" w:lineRule="auto"/>
        <w:ind w:firstLine="480" w:firstLineChars="200"/>
        <w:rPr>
          <w:sz w:val="24"/>
          <w:szCs w:val="24"/>
        </w:rPr>
      </w:pPr>
      <w:r>
        <w:rPr>
          <w:sz w:val="24"/>
          <w:szCs w:val="24"/>
        </w:rPr>
        <w:t>4</w:t>
      </w:r>
      <w:r>
        <w:rPr>
          <w:rFonts w:hint="eastAsia"/>
          <w:sz w:val="24"/>
          <w:szCs w:val="24"/>
        </w:rPr>
        <w:t>、基金管理人承诺加强人员管理，强化职业操守，督促和约束员工遵守国家有关法律法规及行业规范，诚实信用、勤勉尽责；</w:t>
      </w:r>
      <w:r>
        <w:rPr>
          <w:sz w:val="24"/>
          <w:szCs w:val="24"/>
        </w:rPr>
        <w:t xml:space="preserve"> </w:t>
      </w:r>
    </w:p>
    <w:p>
      <w:pPr>
        <w:adjustRightInd w:val="0"/>
        <w:snapToGrid w:val="0"/>
        <w:spacing w:line="360" w:lineRule="auto"/>
        <w:ind w:firstLine="480" w:firstLineChars="200"/>
        <w:rPr>
          <w:sz w:val="24"/>
          <w:szCs w:val="24"/>
        </w:rPr>
      </w:pPr>
      <w:r>
        <w:rPr>
          <w:sz w:val="24"/>
          <w:szCs w:val="24"/>
        </w:rPr>
        <w:t>5</w:t>
      </w:r>
      <w:r>
        <w:rPr>
          <w:rFonts w:hint="eastAsia"/>
          <w:sz w:val="24"/>
          <w:szCs w:val="24"/>
        </w:rPr>
        <w:t>、基金管理人承诺不从事其他法规规定禁止从事的行为。</w:t>
      </w:r>
      <w:r>
        <w:rPr>
          <w:sz w:val="24"/>
          <w:szCs w:val="24"/>
        </w:rPr>
        <w:t xml:space="preserve"> </w:t>
      </w:r>
    </w:p>
    <w:p>
      <w:pPr>
        <w:widowControl/>
        <w:adjustRightInd w:val="0"/>
        <w:snapToGrid w:val="0"/>
        <w:spacing w:line="360" w:lineRule="auto"/>
        <w:ind w:firstLine="482" w:firstLineChars="200"/>
        <w:jc w:val="left"/>
        <w:rPr>
          <w:b/>
          <w:kern w:val="0"/>
          <w:sz w:val="24"/>
        </w:rPr>
      </w:pPr>
      <w:r>
        <w:rPr>
          <w:rFonts w:hAnsi="宋体"/>
          <w:b/>
          <w:kern w:val="0"/>
          <w:sz w:val="24"/>
        </w:rPr>
        <w:t>（五）基金经理承诺</w:t>
      </w:r>
      <w:r>
        <w:rPr>
          <w:b/>
          <w:kern w:val="0"/>
          <w:sz w:val="24"/>
        </w:rPr>
        <w:t xml:space="preserve"> </w:t>
      </w:r>
    </w:p>
    <w:p>
      <w:pPr>
        <w:adjustRightInd w:val="0"/>
        <w:snapToGrid w:val="0"/>
        <w:spacing w:line="360" w:lineRule="auto"/>
        <w:ind w:firstLine="480" w:firstLineChars="200"/>
        <w:rPr>
          <w:sz w:val="24"/>
          <w:szCs w:val="24"/>
        </w:rPr>
      </w:pPr>
      <w:r>
        <w:rPr>
          <w:sz w:val="24"/>
          <w:szCs w:val="24"/>
        </w:rPr>
        <w:t>1</w:t>
      </w:r>
      <w:r>
        <w:rPr>
          <w:rFonts w:hint="eastAsia"/>
          <w:sz w:val="24"/>
          <w:szCs w:val="24"/>
        </w:rPr>
        <w:t>、依照有关法律法规和基金合同的规定，本着谨慎的原则为基金份额持有人谋取最大利益；</w:t>
      </w:r>
      <w:r>
        <w:rPr>
          <w:sz w:val="24"/>
          <w:szCs w:val="24"/>
        </w:rPr>
        <w:t xml:space="preserve"> </w:t>
      </w:r>
    </w:p>
    <w:p>
      <w:pPr>
        <w:adjustRightInd w:val="0"/>
        <w:snapToGrid w:val="0"/>
        <w:spacing w:line="360" w:lineRule="auto"/>
        <w:ind w:firstLine="480" w:firstLineChars="200"/>
        <w:rPr>
          <w:sz w:val="24"/>
          <w:szCs w:val="24"/>
        </w:rPr>
      </w:pPr>
      <w:r>
        <w:rPr>
          <w:sz w:val="24"/>
          <w:szCs w:val="24"/>
        </w:rPr>
        <w:t>2</w:t>
      </w:r>
      <w:r>
        <w:rPr>
          <w:rFonts w:hint="eastAsia"/>
          <w:sz w:val="24"/>
          <w:szCs w:val="24"/>
        </w:rPr>
        <w:t>、不利用职务之便为自己、受雇人或任何第三者谋取利益；</w:t>
      </w:r>
      <w:r>
        <w:rPr>
          <w:sz w:val="24"/>
          <w:szCs w:val="24"/>
        </w:rPr>
        <w:t xml:space="preserve"> </w:t>
      </w:r>
    </w:p>
    <w:p>
      <w:pPr>
        <w:widowControl/>
        <w:adjustRightInd w:val="0"/>
        <w:snapToGrid w:val="0"/>
        <w:spacing w:line="360" w:lineRule="auto"/>
        <w:ind w:firstLine="480" w:firstLineChars="200"/>
        <w:rPr>
          <w:sz w:val="24"/>
          <w:szCs w:val="24"/>
        </w:rPr>
      </w:pPr>
      <w:r>
        <w:rPr>
          <w:sz w:val="24"/>
          <w:szCs w:val="24"/>
        </w:rPr>
        <w:t>3</w:t>
      </w:r>
      <w:r>
        <w:rPr>
          <w:rFonts w:hint="eastAsia"/>
          <w:sz w:val="24"/>
          <w:szCs w:val="24"/>
        </w:rPr>
        <w:t>、不泄露在任职期间知悉的有关证券、基金的商业秘密，尚未依法公开的基金投资内容、基金投资计划等信息，或利用该信息从事或者明示、暗示他人从事相关的交易活动；</w:t>
      </w:r>
      <w:r>
        <w:rPr>
          <w:sz w:val="24"/>
          <w:szCs w:val="24"/>
        </w:rPr>
        <w:t xml:space="preserve"> </w:t>
      </w:r>
    </w:p>
    <w:p>
      <w:pPr>
        <w:widowControl/>
        <w:adjustRightInd w:val="0"/>
        <w:snapToGrid w:val="0"/>
        <w:spacing w:line="360" w:lineRule="auto"/>
        <w:ind w:firstLine="480" w:firstLineChars="200"/>
        <w:rPr>
          <w:kern w:val="0"/>
          <w:sz w:val="24"/>
          <w:szCs w:val="24"/>
        </w:rPr>
      </w:pPr>
      <w:r>
        <w:rPr>
          <w:sz w:val="24"/>
          <w:szCs w:val="24"/>
        </w:rPr>
        <w:t>4</w:t>
      </w:r>
      <w:r>
        <w:rPr>
          <w:rFonts w:hint="eastAsia"/>
          <w:sz w:val="24"/>
          <w:szCs w:val="24"/>
        </w:rPr>
        <w:t>、不以任何形式为其他组织或个人进行证券交易。</w:t>
      </w:r>
      <w:r>
        <w:rPr>
          <w:sz w:val="24"/>
          <w:szCs w:val="24"/>
        </w:rPr>
        <w:t xml:space="preserve"> </w:t>
      </w:r>
    </w:p>
    <w:p>
      <w:pPr>
        <w:widowControl/>
        <w:adjustRightInd w:val="0"/>
        <w:snapToGrid w:val="0"/>
        <w:spacing w:line="360" w:lineRule="auto"/>
        <w:ind w:firstLine="482" w:firstLineChars="200"/>
        <w:rPr>
          <w:b/>
          <w:kern w:val="0"/>
          <w:sz w:val="24"/>
        </w:rPr>
      </w:pPr>
      <w:r>
        <w:rPr>
          <w:rFonts w:hAnsi="宋体"/>
          <w:b/>
          <w:kern w:val="0"/>
          <w:sz w:val="24"/>
        </w:rPr>
        <w:t>（六）基金管理人的内部控制制度</w:t>
      </w:r>
      <w:r>
        <w:rPr>
          <w:b/>
          <w:kern w:val="0"/>
          <w:sz w:val="24"/>
        </w:rPr>
        <w:t xml:space="preserve"> </w:t>
      </w:r>
    </w:p>
    <w:p>
      <w:pPr>
        <w:widowControl/>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、风险管理的原则</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1</w:t>
      </w:r>
      <w:r>
        <w:rPr>
          <w:rFonts w:hint="eastAsia"/>
          <w:kern w:val="0"/>
          <w:sz w:val="24"/>
          <w:szCs w:val="24"/>
        </w:rPr>
        <w:t>）全面性原则</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公司风险管理必须覆盖公司的所有部门和岗位，渗透各项业务过程和业务环节。</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2</w:t>
      </w:r>
      <w:r>
        <w:rPr>
          <w:rFonts w:hint="eastAsia"/>
          <w:kern w:val="0"/>
          <w:sz w:val="24"/>
          <w:szCs w:val="24"/>
        </w:rPr>
        <w:t>）独立性原则</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）相互制约原则</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公司及各部门在内部组织结构的设计上要形成一种相互制约的机制，建立不同岗位之间的制衡体系。</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4</w:t>
      </w:r>
      <w:r>
        <w:rPr>
          <w:rFonts w:hint="eastAsia"/>
          <w:kern w:val="0"/>
          <w:sz w:val="24"/>
          <w:szCs w:val="24"/>
        </w:rPr>
        <w:t>）定性和定量相结合原则</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建立完备的风险管理指标体系，使风险管理更具客观性和操作性。</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kern w:val="0"/>
          <w:sz w:val="24"/>
          <w:szCs w:val="24"/>
        </w:rPr>
        <w:t>、风险管理和内部风险控制体系结构</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1</w:t>
      </w:r>
      <w:r>
        <w:rPr>
          <w:rFonts w:hint="eastAsia"/>
          <w:kern w:val="0"/>
          <w:sz w:val="24"/>
          <w:szCs w:val="24"/>
        </w:rPr>
        <w:t>）董事会</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负责制定公司的风险管理政策，对风险管理负完全的和最终的责任。</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2</w:t>
      </w:r>
      <w:r>
        <w:rPr>
          <w:rFonts w:hint="eastAsia"/>
          <w:kern w:val="0"/>
          <w:sz w:val="24"/>
          <w:szCs w:val="24"/>
        </w:rPr>
        <w:t>）监事会</w:t>
      </w:r>
    </w:p>
    <w:p>
      <w:pPr>
        <w:widowControl/>
        <w:adjustRightInd w:val="0"/>
        <w:snapToGrid w:val="0"/>
        <w:spacing w:line="360" w:lineRule="auto"/>
        <w:ind w:firstLine="480" w:firstLineChars="200"/>
        <w:rPr>
          <w:kern w:val="0"/>
          <w:sz w:val="24"/>
          <w:szCs w:val="24"/>
        </w:rPr>
      </w:pPr>
      <w:r>
        <w:rPr>
          <w:rFonts w:hint="eastAsia"/>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）合规审核及风险管理委员会</w:t>
      </w:r>
    </w:p>
    <w:p>
      <w:pPr>
        <w:widowControl/>
        <w:adjustRightInd w:val="0"/>
        <w:snapToGrid w:val="0"/>
        <w:spacing w:line="360" w:lineRule="auto"/>
        <w:ind w:firstLine="480" w:firstLineChars="200"/>
        <w:rPr>
          <w:kern w:val="0"/>
          <w:sz w:val="24"/>
          <w:szCs w:val="24"/>
        </w:rPr>
      </w:pPr>
      <w:r>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4</w:t>
      </w:r>
      <w:r>
        <w:rPr>
          <w:rFonts w:hint="eastAsia"/>
          <w:kern w:val="0"/>
          <w:sz w:val="24"/>
          <w:szCs w:val="24"/>
        </w:rPr>
        <w:t>）风险控制委员会</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pPr>
        <w:widowControl/>
        <w:adjustRightInd w:val="0"/>
        <w:snapToGrid w:val="0"/>
        <w:spacing w:line="360" w:lineRule="auto"/>
        <w:ind w:firstLine="360" w:firstLineChars="150"/>
        <w:rPr>
          <w:kern w:val="0"/>
          <w:sz w:val="24"/>
          <w:szCs w:val="24"/>
        </w:rPr>
      </w:pPr>
      <w:r>
        <w:rPr>
          <w:kern w:val="0"/>
          <w:sz w:val="24"/>
          <w:szCs w:val="24"/>
        </w:rPr>
        <w:t xml:space="preserve"> </w:t>
      </w:r>
      <w:r>
        <w:rPr>
          <w:rFonts w:hint="eastAsia"/>
          <w:kern w:val="0"/>
          <w:sz w:val="24"/>
          <w:szCs w:val="24"/>
        </w:rPr>
        <w:t>（</w:t>
      </w:r>
      <w:r>
        <w:rPr>
          <w:kern w:val="0"/>
          <w:sz w:val="24"/>
          <w:szCs w:val="24"/>
        </w:rPr>
        <w:t>5</w:t>
      </w:r>
      <w:r>
        <w:rPr>
          <w:rFonts w:hint="eastAsia"/>
          <w:kern w:val="0"/>
          <w:sz w:val="24"/>
          <w:szCs w:val="24"/>
        </w:rPr>
        <w:t>）督察长</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6</w:t>
      </w:r>
      <w:r>
        <w:rPr>
          <w:rFonts w:hint="eastAsia"/>
          <w:kern w:val="0"/>
          <w:sz w:val="24"/>
          <w:szCs w:val="24"/>
        </w:rPr>
        <w:t>）风险管理部</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9</w:t>
      </w:r>
      <w:r>
        <w:rPr>
          <w:rFonts w:hint="eastAsia"/>
          <w:kern w:val="0"/>
          <w:sz w:val="24"/>
          <w:szCs w:val="24"/>
        </w:rPr>
        <w:t>）业务部门</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kern w:val="0"/>
          <w:sz w:val="24"/>
          <w:szCs w:val="24"/>
        </w:rPr>
        <w:t>、风险管理和内部风险控制的措施</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1</w:t>
      </w:r>
      <w:r>
        <w:rPr>
          <w:rFonts w:hint="eastAsia"/>
          <w:kern w:val="0"/>
          <w:sz w:val="24"/>
          <w:szCs w:val="24"/>
        </w:rPr>
        <w:t>）建立内控体系，完善内控制度</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2</w:t>
      </w:r>
      <w:r>
        <w:rPr>
          <w:rFonts w:hint="eastAsia"/>
          <w:kern w:val="0"/>
          <w:sz w:val="24"/>
          <w:szCs w:val="24"/>
        </w:rPr>
        <w:t>）建立相互分离、相互制衡的内控机制</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）建立、健全岗位责任制</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4</w:t>
      </w:r>
      <w:r>
        <w:rPr>
          <w:rFonts w:hint="eastAsia"/>
          <w:kern w:val="0"/>
          <w:sz w:val="24"/>
          <w:szCs w:val="24"/>
        </w:rPr>
        <w:t>）建立风险分类、识别、评估、报告、提示程序</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5</w:t>
      </w:r>
      <w:r>
        <w:rPr>
          <w:rFonts w:hint="eastAsia"/>
          <w:kern w:val="0"/>
          <w:sz w:val="24"/>
          <w:szCs w:val="24"/>
        </w:rPr>
        <w:t>）建立有效的内部监控系统</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建立了足够、有效的内部监控系统，如电脑预警系统、投资监控系统，对可能出现的各种风险进行全面和实时的监控。</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6</w:t>
      </w:r>
      <w:r>
        <w:rPr>
          <w:rFonts w:hint="eastAsia"/>
          <w:kern w:val="0"/>
          <w:sz w:val="24"/>
          <w:szCs w:val="24"/>
        </w:rPr>
        <w:t>）使用数量化的风险管理手段</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）提供足够的培训</w:t>
      </w:r>
      <w:r>
        <w:rPr>
          <w:kern w:val="0"/>
          <w:sz w:val="24"/>
          <w:szCs w:val="24"/>
        </w:rPr>
        <w:t xml:space="preserve"> </w:t>
      </w:r>
    </w:p>
    <w:p>
      <w:pPr>
        <w:widowControl/>
        <w:adjustRightInd w:val="0"/>
        <w:snapToGrid w:val="0"/>
        <w:spacing w:line="360" w:lineRule="auto"/>
        <w:ind w:firstLine="480" w:firstLineChars="200"/>
        <w:rPr>
          <w:kern w:val="0"/>
          <w:sz w:val="24"/>
        </w:rPr>
      </w:pPr>
      <w:r>
        <w:rPr>
          <w:rFonts w:hint="eastAsia"/>
          <w:kern w:val="0"/>
          <w:sz w:val="24"/>
          <w:szCs w:val="24"/>
        </w:rPr>
        <w:t>制定了完整的培训计划，为所有员工提供足够和适当的培训，使员工明确其职责所在，控制风险。</w:t>
      </w:r>
    </w:p>
    <w:p>
      <w:pPr>
        <w:widowControl/>
        <w:spacing w:line="360" w:lineRule="auto"/>
        <w:ind w:firstLine="480" w:firstLineChars="200"/>
        <w:rPr>
          <w:rFonts w:ascii="宋体" w:hAnsi="宋体"/>
          <w:kern w:val="0"/>
          <w:sz w:val="24"/>
        </w:rPr>
      </w:pPr>
    </w:p>
    <w:p>
      <w:pPr>
        <w:widowControl/>
        <w:jc w:val="left"/>
        <w:rPr>
          <w:rFonts w:ascii="宋体" w:hAnsi="宋体"/>
          <w:b/>
          <w:kern w:val="0"/>
          <w:sz w:val="30"/>
        </w:rPr>
      </w:pPr>
      <w:bookmarkStart w:id="11" w:name="_Toc109537382"/>
      <w:r>
        <w:rPr>
          <w:rFonts w:ascii="宋体" w:hAnsi="宋体"/>
          <w:b/>
          <w:kern w:val="0"/>
          <w:sz w:val="30"/>
        </w:rPr>
        <w:br w:type="page"/>
      </w:r>
    </w:p>
    <w:p>
      <w:pPr>
        <w:spacing w:line="360" w:lineRule="auto"/>
        <w:jc w:val="center"/>
        <w:outlineLvl w:val="0"/>
        <w:rPr>
          <w:rFonts w:ascii="宋体" w:hAnsi="宋体"/>
          <w:b/>
          <w:kern w:val="0"/>
          <w:sz w:val="30"/>
        </w:rPr>
      </w:pPr>
      <w:bookmarkStart w:id="12" w:name="_Toc524440780"/>
      <w:r>
        <w:rPr>
          <w:rFonts w:hint="eastAsia" w:ascii="宋体" w:hAnsi="宋体"/>
          <w:b/>
          <w:kern w:val="0"/>
          <w:sz w:val="30"/>
        </w:rPr>
        <w:t>四、基金托管人</w:t>
      </w:r>
      <w:bookmarkEnd w:id="11"/>
      <w:bookmarkEnd w:id="12"/>
    </w:p>
    <w:p>
      <w:pPr>
        <w:adjustRightInd w:val="0"/>
        <w:snapToGrid w:val="0"/>
        <w:spacing w:line="360" w:lineRule="auto"/>
        <w:ind w:firstLine="482" w:firstLineChars="200"/>
        <w:rPr>
          <w:b/>
          <w:color w:val="000000"/>
          <w:sz w:val="24"/>
          <w:szCs w:val="24"/>
        </w:rPr>
      </w:pPr>
      <w:r>
        <w:rPr>
          <w:rFonts w:hint="eastAsia"/>
          <w:b/>
          <w:color w:val="000000"/>
          <w:sz w:val="24"/>
          <w:szCs w:val="24"/>
        </w:rPr>
        <w:t>（</w:t>
      </w:r>
      <w:r>
        <w:rPr>
          <w:rFonts w:hAnsi="宋体"/>
          <w:b/>
          <w:color w:val="000000"/>
          <w:sz w:val="24"/>
          <w:szCs w:val="24"/>
        </w:rPr>
        <w:t>一</w:t>
      </w:r>
      <w:r>
        <w:rPr>
          <w:rFonts w:hint="eastAsia"/>
          <w:b/>
          <w:color w:val="000000"/>
          <w:sz w:val="24"/>
          <w:szCs w:val="24"/>
        </w:rPr>
        <w:t>）</w:t>
      </w:r>
      <w:r>
        <w:rPr>
          <w:rFonts w:hAnsi="宋体"/>
          <w:b/>
          <w:color w:val="000000"/>
          <w:sz w:val="24"/>
          <w:szCs w:val="24"/>
        </w:rPr>
        <w:t>基金托管人情况</w:t>
      </w:r>
    </w:p>
    <w:p>
      <w:pPr>
        <w:adjustRightInd w:val="0"/>
        <w:snapToGrid w:val="0"/>
        <w:spacing w:line="360" w:lineRule="auto"/>
        <w:ind w:firstLine="480" w:firstLineChars="200"/>
        <w:rPr>
          <w:sz w:val="24"/>
        </w:rPr>
      </w:pPr>
      <w:r>
        <w:rPr>
          <w:sz w:val="24"/>
        </w:rPr>
        <w:t>1</w:t>
      </w:r>
      <w:r>
        <w:rPr>
          <w:rFonts w:hint="eastAsia"/>
          <w:sz w:val="24"/>
        </w:rPr>
        <w:t>、基本情况</w:t>
      </w:r>
    </w:p>
    <w:p>
      <w:pPr>
        <w:adjustRightInd w:val="0"/>
        <w:snapToGrid w:val="0"/>
        <w:spacing w:line="360" w:lineRule="auto"/>
        <w:ind w:firstLine="480" w:firstLineChars="200"/>
        <w:rPr>
          <w:sz w:val="24"/>
        </w:rPr>
      </w:pPr>
      <w:r>
        <w:rPr>
          <w:rFonts w:hint="eastAsia"/>
          <w:sz w:val="24"/>
        </w:rPr>
        <w:t>名称：中信银行股份有限公司（简称“中信银行”）</w:t>
      </w:r>
    </w:p>
    <w:p>
      <w:pPr>
        <w:adjustRightInd w:val="0"/>
        <w:snapToGrid w:val="0"/>
        <w:spacing w:line="360" w:lineRule="auto"/>
        <w:ind w:firstLine="480" w:firstLineChars="200"/>
        <w:rPr>
          <w:sz w:val="24"/>
        </w:rPr>
      </w:pPr>
      <w:r>
        <w:rPr>
          <w:rFonts w:hint="eastAsia"/>
          <w:sz w:val="24"/>
        </w:rPr>
        <w:t>住所：北京市东城区朝阳门北大街</w:t>
      </w:r>
      <w:r>
        <w:rPr>
          <w:sz w:val="24"/>
        </w:rPr>
        <w:t>9</w:t>
      </w:r>
      <w:r>
        <w:rPr>
          <w:rFonts w:hint="eastAsia"/>
          <w:sz w:val="24"/>
        </w:rPr>
        <w:t>号</w:t>
      </w:r>
    </w:p>
    <w:p>
      <w:pPr>
        <w:adjustRightInd w:val="0"/>
        <w:snapToGrid w:val="0"/>
        <w:spacing w:line="360" w:lineRule="auto"/>
        <w:ind w:firstLine="480" w:firstLineChars="200"/>
        <w:rPr>
          <w:sz w:val="24"/>
        </w:rPr>
      </w:pPr>
      <w:r>
        <w:rPr>
          <w:rFonts w:hint="eastAsia"/>
          <w:sz w:val="24"/>
        </w:rPr>
        <w:t>办公地址：北京市东城区朝阳门北大街</w:t>
      </w:r>
      <w:r>
        <w:rPr>
          <w:sz w:val="24"/>
        </w:rPr>
        <w:t>9</w:t>
      </w:r>
      <w:r>
        <w:rPr>
          <w:rFonts w:hint="eastAsia"/>
          <w:sz w:val="24"/>
        </w:rPr>
        <w:t>号</w:t>
      </w:r>
    </w:p>
    <w:p>
      <w:pPr>
        <w:adjustRightInd w:val="0"/>
        <w:snapToGrid w:val="0"/>
        <w:spacing w:line="360" w:lineRule="auto"/>
        <w:ind w:firstLine="480" w:firstLineChars="200"/>
        <w:rPr>
          <w:sz w:val="24"/>
        </w:rPr>
      </w:pPr>
      <w:r>
        <w:rPr>
          <w:rFonts w:hint="eastAsia"/>
          <w:sz w:val="24"/>
        </w:rPr>
        <w:t>法定代表人：李庆萍</w:t>
      </w:r>
    </w:p>
    <w:p>
      <w:pPr>
        <w:adjustRightInd w:val="0"/>
        <w:snapToGrid w:val="0"/>
        <w:spacing w:line="360" w:lineRule="auto"/>
        <w:ind w:firstLine="480" w:firstLineChars="200"/>
        <w:rPr>
          <w:sz w:val="24"/>
        </w:rPr>
      </w:pPr>
      <w:r>
        <w:rPr>
          <w:rFonts w:hint="eastAsia"/>
          <w:sz w:val="24"/>
        </w:rPr>
        <w:t>成立时间：</w:t>
      </w:r>
      <w:r>
        <w:rPr>
          <w:sz w:val="24"/>
        </w:rPr>
        <w:t>1987</w:t>
      </w:r>
      <w:r>
        <w:rPr>
          <w:rFonts w:hint="eastAsia"/>
          <w:sz w:val="24"/>
        </w:rPr>
        <w:t>年</w:t>
      </w:r>
      <w:r>
        <w:rPr>
          <w:sz w:val="24"/>
        </w:rPr>
        <w:t>4</w:t>
      </w:r>
      <w:r>
        <w:rPr>
          <w:rFonts w:hint="eastAsia"/>
          <w:sz w:val="24"/>
        </w:rPr>
        <w:t>月</w:t>
      </w:r>
      <w:r>
        <w:rPr>
          <w:sz w:val="24"/>
        </w:rPr>
        <w:t>20</w:t>
      </w:r>
      <w:r>
        <w:rPr>
          <w:rFonts w:hint="eastAsia"/>
          <w:sz w:val="24"/>
        </w:rPr>
        <w:t>日</w:t>
      </w:r>
    </w:p>
    <w:p>
      <w:pPr>
        <w:adjustRightInd w:val="0"/>
        <w:snapToGrid w:val="0"/>
        <w:spacing w:line="360" w:lineRule="auto"/>
        <w:ind w:firstLine="480" w:firstLineChars="200"/>
        <w:rPr>
          <w:sz w:val="24"/>
        </w:rPr>
      </w:pPr>
      <w:r>
        <w:rPr>
          <w:rFonts w:hint="eastAsia"/>
          <w:sz w:val="24"/>
        </w:rPr>
        <w:t>组织形式：股份有限公司</w:t>
      </w:r>
    </w:p>
    <w:p>
      <w:pPr>
        <w:adjustRightInd w:val="0"/>
        <w:snapToGrid w:val="0"/>
        <w:spacing w:line="360" w:lineRule="auto"/>
        <w:ind w:firstLine="480" w:firstLineChars="200"/>
        <w:rPr>
          <w:sz w:val="24"/>
        </w:rPr>
      </w:pPr>
      <w:r>
        <w:rPr>
          <w:rFonts w:hint="eastAsia"/>
          <w:sz w:val="24"/>
        </w:rPr>
        <w:t>注册资本：</w:t>
      </w:r>
      <w:r>
        <w:rPr>
          <w:sz w:val="24"/>
        </w:rPr>
        <w:t>489.35</w:t>
      </w:r>
      <w:r>
        <w:rPr>
          <w:rFonts w:hint="eastAsia"/>
          <w:sz w:val="24"/>
        </w:rPr>
        <w:t>亿元人民币</w:t>
      </w:r>
    </w:p>
    <w:p>
      <w:pPr>
        <w:adjustRightInd w:val="0"/>
        <w:snapToGrid w:val="0"/>
        <w:spacing w:line="360" w:lineRule="auto"/>
        <w:ind w:firstLine="480" w:firstLineChars="200"/>
        <w:rPr>
          <w:sz w:val="24"/>
        </w:rPr>
      </w:pPr>
      <w:r>
        <w:rPr>
          <w:rFonts w:hint="eastAsia"/>
          <w:sz w:val="24"/>
        </w:rPr>
        <w:t>存续期间：持续经营</w:t>
      </w:r>
    </w:p>
    <w:p>
      <w:pPr>
        <w:adjustRightInd w:val="0"/>
        <w:snapToGrid w:val="0"/>
        <w:spacing w:line="360" w:lineRule="auto"/>
        <w:ind w:firstLine="480" w:firstLineChars="200"/>
        <w:rPr>
          <w:sz w:val="24"/>
        </w:rPr>
      </w:pPr>
      <w:r>
        <w:rPr>
          <w:rFonts w:hint="eastAsia"/>
          <w:sz w:val="24"/>
        </w:rPr>
        <w:t>批准设立文号：中华人民共和国国务院办公厅国办函</w:t>
      </w:r>
      <w:r>
        <w:rPr>
          <w:sz w:val="24"/>
        </w:rPr>
        <w:t>[1987]14</w:t>
      </w:r>
      <w:r>
        <w:rPr>
          <w:rFonts w:hint="eastAsia"/>
          <w:sz w:val="24"/>
        </w:rPr>
        <w:t>号</w:t>
      </w:r>
    </w:p>
    <w:p>
      <w:pPr>
        <w:adjustRightInd w:val="0"/>
        <w:snapToGrid w:val="0"/>
        <w:spacing w:line="360" w:lineRule="auto"/>
        <w:ind w:firstLine="480" w:firstLineChars="200"/>
        <w:rPr>
          <w:sz w:val="24"/>
        </w:rPr>
      </w:pPr>
      <w:r>
        <w:rPr>
          <w:rFonts w:hint="eastAsia"/>
          <w:sz w:val="24"/>
        </w:rPr>
        <w:t>基金托管业务批准文号：中国证监会证监基字</w:t>
      </w:r>
      <w:r>
        <w:rPr>
          <w:sz w:val="24"/>
        </w:rPr>
        <w:t>[2004]125</w:t>
      </w:r>
      <w:r>
        <w:rPr>
          <w:rFonts w:hint="eastAsia"/>
          <w:sz w:val="24"/>
        </w:rPr>
        <w:t>号</w:t>
      </w:r>
    </w:p>
    <w:p>
      <w:pPr>
        <w:adjustRightInd w:val="0"/>
        <w:snapToGrid w:val="0"/>
        <w:spacing w:line="360" w:lineRule="auto"/>
        <w:ind w:firstLine="480" w:firstLineChars="200"/>
        <w:rPr>
          <w:sz w:val="24"/>
        </w:rPr>
      </w:pPr>
      <w:r>
        <w:rPr>
          <w:rFonts w:hint="eastAsia"/>
          <w:sz w:val="24"/>
        </w:rPr>
        <w:t>联系人：中信银行资产托管部</w:t>
      </w:r>
    </w:p>
    <w:p>
      <w:pPr>
        <w:adjustRightInd w:val="0"/>
        <w:snapToGrid w:val="0"/>
        <w:spacing w:line="360" w:lineRule="auto"/>
        <w:ind w:firstLine="480" w:firstLineChars="200"/>
        <w:rPr>
          <w:sz w:val="24"/>
        </w:rPr>
      </w:pPr>
      <w:r>
        <w:rPr>
          <w:rFonts w:hint="eastAsia"/>
          <w:sz w:val="24"/>
        </w:rPr>
        <w:t>联系电话：</w:t>
      </w:r>
      <w:r>
        <w:rPr>
          <w:sz w:val="24"/>
        </w:rPr>
        <w:t>4006800000</w:t>
      </w:r>
    </w:p>
    <w:p>
      <w:pPr>
        <w:adjustRightInd w:val="0"/>
        <w:snapToGrid w:val="0"/>
        <w:spacing w:line="360" w:lineRule="auto"/>
        <w:ind w:firstLine="480" w:firstLineChars="200"/>
        <w:rPr>
          <w:sz w:val="24"/>
        </w:rPr>
      </w:pPr>
      <w:r>
        <w:rPr>
          <w:rFonts w:hint="eastAsia"/>
          <w:sz w:val="24"/>
        </w:rPr>
        <w:t>传真：</w:t>
      </w:r>
      <w:r>
        <w:rPr>
          <w:sz w:val="24"/>
        </w:rPr>
        <w:t>010-85230024</w:t>
      </w:r>
    </w:p>
    <w:p>
      <w:pPr>
        <w:adjustRightInd w:val="0"/>
        <w:snapToGrid w:val="0"/>
        <w:spacing w:line="360" w:lineRule="auto"/>
        <w:ind w:firstLine="480" w:firstLineChars="200"/>
        <w:rPr>
          <w:sz w:val="24"/>
        </w:rPr>
      </w:pPr>
      <w:r>
        <w:rPr>
          <w:rFonts w:hint="eastAsia"/>
          <w:sz w:val="24"/>
        </w:rPr>
        <w:t>客服电话：</w:t>
      </w:r>
      <w:r>
        <w:rPr>
          <w:sz w:val="24"/>
        </w:rPr>
        <w:t>95558</w:t>
      </w:r>
    </w:p>
    <w:p>
      <w:pPr>
        <w:adjustRightInd w:val="0"/>
        <w:snapToGrid w:val="0"/>
        <w:spacing w:line="360" w:lineRule="auto"/>
        <w:ind w:firstLine="480" w:firstLineChars="200"/>
        <w:rPr>
          <w:sz w:val="24"/>
        </w:rPr>
      </w:pPr>
      <w:r>
        <w:rPr>
          <w:rFonts w:hint="eastAsia"/>
          <w:sz w:val="24"/>
        </w:rPr>
        <w:t>网址：</w:t>
      </w:r>
      <w:r>
        <w:rPr>
          <w:sz w:val="24"/>
        </w:rPr>
        <w:t>bank.ecitic.com</w:t>
      </w:r>
    </w:p>
    <w:p>
      <w:pPr>
        <w:adjustRightInd w:val="0"/>
        <w:snapToGrid w:val="0"/>
        <w:spacing w:line="360" w:lineRule="auto"/>
        <w:ind w:firstLine="480" w:firstLineChars="200"/>
        <w:rPr>
          <w:sz w:val="24"/>
        </w:rPr>
      </w:pPr>
      <w:bookmarkStart w:id="13" w:name="_Hlk524358064"/>
      <w:r>
        <w:rPr>
          <w:rFonts w:hint="eastAsia"/>
          <w:sz w:val="24"/>
        </w:rPr>
        <w:t>经营范围：保险兼业代理业务（有效期至</w:t>
      </w:r>
      <w:r>
        <w:rPr>
          <w:sz w:val="24"/>
        </w:rPr>
        <w:t>2020</w:t>
      </w:r>
      <w:r>
        <w:rPr>
          <w:rFonts w:hint="eastAsia"/>
          <w:sz w:val="24"/>
        </w:rPr>
        <w:t>年</w:t>
      </w:r>
      <w:r>
        <w:rPr>
          <w:sz w:val="24"/>
        </w:rPr>
        <w:t>09</w:t>
      </w:r>
      <w:r>
        <w:rPr>
          <w:rFonts w:hint="eastAsia"/>
          <w:sz w:val="24"/>
        </w:rPr>
        <w:t>月</w:t>
      </w:r>
      <w:r>
        <w:rPr>
          <w:sz w:val="24"/>
        </w:rPr>
        <w:t>09</w:t>
      </w:r>
      <w:r>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3"/>
    </w:p>
    <w:p>
      <w:pPr>
        <w:adjustRightInd w:val="0"/>
        <w:snapToGrid w:val="0"/>
        <w:spacing w:line="360" w:lineRule="auto"/>
        <w:ind w:firstLine="480" w:firstLineChars="200"/>
        <w:rPr>
          <w:sz w:val="24"/>
        </w:rPr>
      </w:pPr>
      <w:r>
        <w:rPr>
          <w:rFonts w:hint="eastAsia"/>
          <w:sz w:val="24"/>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pPr>
        <w:adjustRightInd w:val="0"/>
        <w:snapToGrid w:val="0"/>
        <w:spacing w:line="360" w:lineRule="auto"/>
        <w:ind w:firstLine="480" w:firstLineChars="200"/>
        <w:rPr>
          <w:sz w:val="24"/>
        </w:rPr>
      </w:pPr>
      <w:r>
        <w:rPr>
          <w:rFonts w:hint="eastAsia"/>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pPr>
        <w:adjustRightInd w:val="0"/>
        <w:snapToGrid w:val="0"/>
        <w:spacing w:line="360" w:lineRule="auto"/>
        <w:ind w:firstLine="480" w:firstLineChars="200"/>
        <w:rPr>
          <w:sz w:val="24"/>
        </w:rPr>
      </w:pPr>
      <w:r>
        <w:rPr>
          <w:rFonts w:hint="eastAsia"/>
          <w:sz w:val="24"/>
        </w:rPr>
        <w:t>截至2019年6月末，本行在国内149个大中城市设有1,410家营业网点，同时在境内外下设6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37家营业网点。信银（香港）投资有限公司在香港和境内设立有3家子公司。中信百信银行股份有限公司为本行与百度公司发起设立的国内首家具有独立法人资格的直销银行。阿尔金银行在哈萨克斯坦设有6家营业网点和1个私人银行中心。</w:t>
      </w:r>
    </w:p>
    <w:p>
      <w:pPr>
        <w:adjustRightInd w:val="0"/>
        <w:snapToGrid w:val="0"/>
        <w:spacing w:line="360" w:lineRule="auto"/>
        <w:ind w:firstLine="480" w:firstLineChars="200"/>
        <w:rPr>
          <w:sz w:val="24"/>
        </w:rPr>
      </w:pPr>
      <w:r>
        <w:rPr>
          <w:rFonts w:hint="eastAsia"/>
          <w:sz w:val="24"/>
        </w:rPr>
        <w:t>30多年来，本行坚持服务实体经济，稳健经营，与时俱进。经过30余年的发展，本行已成为一家总资产规模超6万亿元、员工人数近6万名，具有强大综合实力和品牌竞争力的金融集团。2019年，本行在英国《银行家》杂志“全球银行品牌500强排行榜”中排名第19位；本行一级资本在英国《银行家》杂志“世界1000家银行排名”中排名第26位。</w:t>
      </w:r>
    </w:p>
    <w:p>
      <w:pPr>
        <w:adjustRightInd w:val="0"/>
        <w:snapToGrid w:val="0"/>
        <w:spacing w:line="360" w:lineRule="auto"/>
        <w:ind w:firstLine="480" w:firstLineChars="200"/>
        <w:rPr>
          <w:sz w:val="24"/>
        </w:rPr>
      </w:pPr>
      <w:r>
        <w:rPr>
          <w:sz w:val="24"/>
        </w:rPr>
        <w:t>2</w:t>
      </w:r>
      <w:r>
        <w:rPr>
          <w:rFonts w:hint="eastAsia"/>
          <w:sz w:val="24"/>
        </w:rPr>
        <w:t>、主要人员情况</w:t>
      </w:r>
    </w:p>
    <w:p>
      <w:pPr>
        <w:adjustRightInd w:val="0"/>
        <w:snapToGrid w:val="0"/>
        <w:spacing w:line="360" w:lineRule="auto"/>
        <w:ind w:firstLine="480" w:firstLineChars="200"/>
        <w:rPr>
          <w:sz w:val="24"/>
        </w:rPr>
      </w:pPr>
      <w:r>
        <w:rPr>
          <w:rFonts w:hint="eastAsia"/>
          <w:sz w:val="24"/>
        </w:rPr>
        <w:t>方合英先生，中信银行执行董事、行长兼财务总监。方先生于2018年9月加入本行董事会。方先生自2014年8月起任本行党委委员，2014年11月起任本行副行长，2017年1月起兼任本行财务总监，2019年2月起任本行党委副书记。方先生现同时担任信银（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pPr>
        <w:adjustRightInd w:val="0"/>
        <w:snapToGrid w:val="0"/>
        <w:spacing w:line="360" w:lineRule="auto"/>
        <w:ind w:firstLine="480" w:firstLineChars="200"/>
        <w:rPr>
          <w:sz w:val="24"/>
        </w:rPr>
      </w:pPr>
      <w:r>
        <w:rPr>
          <w:rFonts w:hint="eastAsia"/>
          <w:sz w:val="24"/>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pPr>
        <w:adjustRightInd w:val="0"/>
        <w:snapToGrid w:val="0"/>
        <w:spacing w:line="360" w:lineRule="auto"/>
        <w:ind w:firstLine="480" w:firstLineChars="200"/>
        <w:rPr>
          <w:sz w:val="24"/>
        </w:rPr>
      </w:pPr>
      <w:r>
        <w:rPr>
          <w:rFonts w:hint="eastAsia"/>
          <w:sz w:val="24"/>
        </w:rPr>
        <w:t>杨璋琪先生，中信银行资产托管部副总经理（主持工作），硕士研究生学历。杨先生2018年1月至2019年3月，任本行金融同业部副总经理；2015年5月至2018年1月，任本行长春分行副行长；2013年4月至2015年5月，任本行机构业务部总经理助理；1996年7月至2013年4月，就职于本行北京分行（原总行营业部），历任支行行长、投资银行部总经理、贸易金融部总经理。</w:t>
      </w:r>
    </w:p>
    <w:p>
      <w:pPr>
        <w:adjustRightInd w:val="0"/>
        <w:snapToGrid w:val="0"/>
        <w:spacing w:line="360" w:lineRule="auto"/>
        <w:ind w:firstLine="480" w:firstLineChars="200"/>
        <w:rPr>
          <w:sz w:val="24"/>
        </w:rPr>
      </w:pPr>
      <w:r>
        <w:rPr>
          <w:sz w:val="24"/>
        </w:rPr>
        <w:t>3</w:t>
      </w:r>
      <w:r>
        <w:rPr>
          <w:rFonts w:hint="eastAsia"/>
          <w:sz w:val="24"/>
        </w:rPr>
        <w:t>、基金托管业务经营情况</w:t>
      </w:r>
    </w:p>
    <w:p>
      <w:pPr>
        <w:adjustRightInd w:val="0"/>
        <w:snapToGrid w:val="0"/>
        <w:spacing w:line="360" w:lineRule="auto"/>
        <w:ind w:firstLine="480" w:firstLineChars="200"/>
        <w:rPr>
          <w:sz w:val="24"/>
        </w:rPr>
      </w:pPr>
      <w:r>
        <w:rPr>
          <w:sz w:val="24"/>
        </w:rPr>
        <w:t xml:space="preserve">2004 </w:t>
      </w:r>
      <w:r>
        <w:rPr>
          <w:rFonts w:hint="eastAsia"/>
          <w:sz w:val="24"/>
        </w:rPr>
        <w:t>年</w:t>
      </w:r>
      <w:r>
        <w:rPr>
          <w:sz w:val="24"/>
        </w:rPr>
        <w:t xml:space="preserve">8 </w:t>
      </w:r>
      <w:r>
        <w:rPr>
          <w:rFonts w:hint="eastAsia"/>
          <w:sz w:val="24"/>
        </w:rPr>
        <w:t>月</w:t>
      </w:r>
      <w:r>
        <w:rPr>
          <w:sz w:val="24"/>
        </w:rPr>
        <w:t xml:space="preserve">18 </w:t>
      </w:r>
      <w:r>
        <w:rPr>
          <w:rFonts w:hint="eastAsia"/>
          <w:sz w:val="24"/>
        </w:rPr>
        <w:t>日，中信银行经中国证券监督管理委员会和中国银行业监督管理委员会批准，取得基金托管人资格。中信银行本着“诚实信用、勤勉尽责”的原则，切实履行托管人职责。</w:t>
      </w:r>
    </w:p>
    <w:p>
      <w:pPr>
        <w:adjustRightInd w:val="0"/>
        <w:snapToGrid w:val="0"/>
        <w:spacing w:line="360" w:lineRule="auto"/>
        <w:ind w:firstLine="480" w:firstLineChars="200"/>
        <w:rPr>
          <w:kern w:val="0"/>
          <w:sz w:val="24"/>
          <w:szCs w:val="24"/>
        </w:rPr>
      </w:pPr>
      <w:r>
        <w:rPr>
          <w:rFonts w:hint="eastAsia"/>
          <w:sz w:val="24"/>
        </w:rPr>
        <w:t>截至2020年一季度末，中信银行托管150只公开募集证券投资基金，以及基金公司、证券公司资产管理产品、信托产品、企业年金、股权基金、QDII等其他托管资产，托管总规模达到9.49万亿元人民币。</w:t>
      </w:r>
    </w:p>
    <w:p>
      <w:pPr>
        <w:adjustRightInd w:val="0"/>
        <w:snapToGrid w:val="0"/>
        <w:spacing w:line="360" w:lineRule="auto"/>
        <w:ind w:firstLine="482" w:firstLineChars="200"/>
        <w:rPr>
          <w:b/>
          <w:color w:val="000000"/>
          <w:sz w:val="24"/>
          <w:szCs w:val="24"/>
        </w:rPr>
      </w:pPr>
      <w:r>
        <w:rPr>
          <w:b/>
          <w:color w:val="000000"/>
          <w:sz w:val="24"/>
          <w:szCs w:val="24"/>
        </w:rPr>
        <w:t>（二）基金托管人的内部控制制度</w:t>
      </w:r>
    </w:p>
    <w:p>
      <w:pPr>
        <w:adjustRightInd w:val="0"/>
        <w:snapToGrid w:val="0"/>
        <w:spacing w:line="360" w:lineRule="auto"/>
        <w:ind w:firstLine="480" w:firstLineChars="200"/>
        <w:rPr>
          <w:sz w:val="24"/>
        </w:rPr>
      </w:pPr>
      <w:r>
        <w:rPr>
          <w:sz w:val="24"/>
        </w:rPr>
        <w:t>1</w:t>
      </w:r>
      <w:r>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pPr>
        <w:adjustRightInd w:val="0"/>
        <w:snapToGrid w:val="0"/>
        <w:spacing w:line="360" w:lineRule="auto"/>
        <w:ind w:firstLine="480" w:firstLineChars="200"/>
        <w:rPr>
          <w:sz w:val="24"/>
        </w:rPr>
      </w:pPr>
      <w:r>
        <w:rPr>
          <w:sz w:val="24"/>
        </w:rPr>
        <w:t>2</w:t>
      </w:r>
      <w:r>
        <w:rPr>
          <w:rFonts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pPr>
        <w:adjustRightInd w:val="0"/>
        <w:snapToGrid w:val="0"/>
        <w:spacing w:line="360" w:lineRule="auto"/>
        <w:ind w:firstLine="480" w:firstLineChars="200"/>
        <w:rPr>
          <w:sz w:val="24"/>
        </w:rPr>
      </w:pPr>
      <w:r>
        <w:rPr>
          <w:sz w:val="24"/>
        </w:rPr>
        <w:t>3</w:t>
      </w:r>
      <w:r>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pPr>
        <w:adjustRightInd w:val="0"/>
        <w:snapToGrid w:val="0"/>
        <w:spacing w:line="360" w:lineRule="auto"/>
        <w:ind w:firstLine="480" w:firstLineChars="200"/>
        <w:rPr>
          <w:sz w:val="24"/>
        </w:rPr>
      </w:pPr>
      <w:r>
        <w:rPr>
          <w:sz w:val="24"/>
        </w:rPr>
        <w:t>4</w:t>
      </w:r>
      <w:r>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pPr>
        <w:adjustRightInd w:val="0"/>
        <w:snapToGrid w:val="0"/>
        <w:spacing w:line="360" w:lineRule="auto"/>
        <w:ind w:firstLine="482" w:firstLineChars="200"/>
        <w:rPr>
          <w:b/>
          <w:color w:val="000000"/>
          <w:sz w:val="24"/>
          <w:szCs w:val="24"/>
        </w:rPr>
      </w:pPr>
      <w:r>
        <w:rPr>
          <w:b/>
          <w:color w:val="000000"/>
          <w:sz w:val="24"/>
          <w:szCs w:val="24"/>
        </w:rPr>
        <w:t>（三）基金托管人对基金管理人运作基金进行监督的方法和程序</w:t>
      </w:r>
    </w:p>
    <w:p>
      <w:pPr>
        <w:adjustRightInd w:val="0"/>
        <w:snapToGrid w:val="0"/>
        <w:spacing w:line="360" w:lineRule="auto"/>
        <w:ind w:firstLine="480" w:firstLineChars="200"/>
        <w:rPr>
          <w:sz w:val="24"/>
        </w:rPr>
      </w:pPr>
      <w:r>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pPr>
        <w:adjustRightInd w:val="0"/>
        <w:snapToGrid w:val="0"/>
        <w:spacing w:line="360" w:lineRule="auto"/>
        <w:ind w:firstLine="480" w:firstLineChars="200"/>
        <w:rPr>
          <w:sz w:val="24"/>
        </w:rPr>
      </w:pPr>
      <w:r>
        <w:rPr>
          <w:rFonts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widowControl/>
        <w:jc w:val="left"/>
        <w:rPr>
          <w:b/>
          <w:kern w:val="0"/>
          <w:sz w:val="30"/>
        </w:rPr>
      </w:pPr>
      <w:bookmarkStart w:id="14" w:name="_Toc109537383"/>
      <w:r>
        <w:rPr>
          <w:b/>
          <w:kern w:val="0"/>
          <w:sz w:val="30"/>
        </w:rPr>
        <w:br w:type="page"/>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5" w:name="_Toc524440781"/>
      <w:r>
        <w:rPr>
          <w:rFonts w:hint="eastAsia" w:ascii="宋体" w:hAnsi="宋体"/>
          <w:b/>
          <w:kern w:val="0"/>
          <w:sz w:val="30"/>
        </w:rPr>
        <w:t>五、相关服务机构</w:t>
      </w:r>
      <w:bookmarkEnd w:id="14"/>
      <w:bookmarkEnd w:id="15"/>
    </w:p>
    <w:p>
      <w:pPr>
        <w:widowControl/>
        <w:adjustRightInd w:val="0"/>
        <w:snapToGrid w:val="0"/>
        <w:spacing w:line="360" w:lineRule="auto"/>
        <w:ind w:firstLine="482" w:firstLineChars="200"/>
        <w:rPr>
          <w:b/>
          <w:kern w:val="0"/>
          <w:sz w:val="24"/>
        </w:rPr>
      </w:pPr>
      <w:r>
        <w:rPr>
          <w:rFonts w:hAnsi="宋体"/>
          <w:b/>
          <w:kern w:val="0"/>
          <w:sz w:val="24"/>
        </w:rPr>
        <w:t>（一）基金份额销售机构</w:t>
      </w:r>
      <w:r>
        <w:rPr>
          <w:b/>
          <w:kern w:val="0"/>
          <w:sz w:val="24"/>
        </w:rPr>
        <w:t xml:space="preserve"> </w:t>
      </w:r>
    </w:p>
    <w:p>
      <w:pPr>
        <w:adjustRightInd w:val="0"/>
        <w:snapToGrid w:val="0"/>
        <w:spacing w:line="360" w:lineRule="auto"/>
        <w:rPr>
          <w:sz w:val="24"/>
        </w:rPr>
      </w:pPr>
      <w:r>
        <w:rPr>
          <w:sz w:val="24"/>
        </w:rPr>
        <w:t xml:space="preserve">    1</w:t>
      </w:r>
      <w:r>
        <w:rPr>
          <w:rFonts w:hAnsi="宋体"/>
          <w:sz w:val="24"/>
        </w:rPr>
        <w:t>、直销机构</w:t>
      </w:r>
      <w:r>
        <w:rPr>
          <w:sz w:val="24"/>
        </w:rPr>
        <w:t xml:space="preserve"> </w:t>
      </w:r>
    </w:p>
    <w:p>
      <w:pPr>
        <w:widowControl/>
        <w:adjustRightInd w:val="0"/>
        <w:snapToGrid w:val="0"/>
        <w:spacing w:line="360" w:lineRule="auto"/>
        <w:rPr>
          <w:kern w:val="0"/>
          <w:sz w:val="24"/>
        </w:rPr>
      </w:pPr>
      <w:r>
        <w:rPr>
          <w:kern w:val="0"/>
          <w:sz w:val="24"/>
        </w:rPr>
        <w:t xml:space="preserve">    </w:t>
      </w:r>
      <w:r>
        <w:rPr>
          <w:rFonts w:hAnsi="宋体"/>
          <w:kern w:val="0"/>
          <w:sz w:val="24"/>
        </w:rPr>
        <w:t>本基金直销机构为</w:t>
      </w:r>
      <w:r>
        <w:rPr>
          <w:rFonts w:hint="eastAsia" w:hAnsi="宋体"/>
          <w:kern w:val="0"/>
          <w:sz w:val="24"/>
          <w:szCs w:val="24"/>
        </w:rPr>
        <w:t>本公司直销柜台</w:t>
      </w:r>
      <w:r>
        <w:rPr>
          <w:rFonts w:hAnsi="宋体"/>
          <w:kern w:val="0"/>
          <w:sz w:val="24"/>
        </w:rPr>
        <w:t>以及</w:t>
      </w:r>
      <w:r>
        <w:rPr>
          <w:rFonts w:hint="eastAsia" w:hAnsi="宋体"/>
          <w:kern w:val="0"/>
          <w:sz w:val="24"/>
          <w:szCs w:val="24"/>
        </w:rPr>
        <w:t>本公司</w:t>
      </w:r>
      <w:r>
        <w:rPr>
          <w:rFonts w:hAnsi="宋体"/>
          <w:kern w:val="0"/>
          <w:sz w:val="24"/>
        </w:rPr>
        <w:t>的</w:t>
      </w:r>
      <w:r>
        <w:rPr>
          <w:rFonts w:hAnsi="宋体"/>
          <w:color w:val="000000"/>
          <w:kern w:val="0"/>
          <w:sz w:val="24"/>
        </w:rPr>
        <w:t>网上直销交易平台</w:t>
      </w:r>
      <w:r>
        <w:rPr>
          <w:rFonts w:hint="eastAsia" w:hAnsi="宋体"/>
          <w:color w:val="000000"/>
          <w:kern w:val="0"/>
          <w:sz w:val="24"/>
        </w:rPr>
        <w:t>（</w:t>
      </w:r>
      <w:r>
        <w:rPr>
          <w:rFonts w:hAnsi="宋体"/>
          <w:color w:val="000000"/>
          <w:kern w:val="0"/>
          <w:sz w:val="24"/>
        </w:rPr>
        <w:t>网站及</w:t>
      </w:r>
      <w:r>
        <w:rPr>
          <w:rFonts w:hint="eastAsia" w:hAnsi="宋体"/>
          <w:color w:val="000000"/>
          <w:kern w:val="0"/>
          <w:sz w:val="24"/>
        </w:rPr>
        <w:t>APP，</w:t>
      </w:r>
      <w:r>
        <w:rPr>
          <w:rFonts w:hAnsi="宋体"/>
          <w:color w:val="000000"/>
          <w:kern w:val="0"/>
          <w:sz w:val="24"/>
        </w:rPr>
        <w:t>下同）</w:t>
      </w:r>
      <w:r>
        <w:rPr>
          <w:rFonts w:hAnsi="宋体"/>
          <w:kern w:val="0"/>
          <w:sz w:val="24"/>
        </w:rPr>
        <w:t>。</w:t>
      </w:r>
    </w:p>
    <w:p>
      <w:pPr>
        <w:adjustRightInd w:val="0"/>
        <w:snapToGrid w:val="0"/>
        <w:spacing w:line="360" w:lineRule="auto"/>
        <w:ind w:firstLine="480" w:firstLineChars="200"/>
        <w:rPr>
          <w:sz w:val="24"/>
          <w:szCs w:val="24"/>
        </w:rPr>
      </w:pPr>
      <w:r>
        <w:rPr>
          <w:rFonts w:hAnsi="宋体"/>
          <w:sz w:val="24"/>
          <w:szCs w:val="24"/>
        </w:rPr>
        <w:t>名称：交银施罗德基金管理有限公司</w:t>
      </w:r>
    </w:p>
    <w:p>
      <w:pPr>
        <w:adjustRightInd w:val="0"/>
        <w:snapToGrid w:val="0"/>
        <w:spacing w:line="360" w:lineRule="auto"/>
        <w:ind w:firstLine="480" w:firstLineChars="200"/>
        <w:rPr>
          <w:sz w:val="24"/>
          <w:szCs w:val="24"/>
        </w:rPr>
      </w:pPr>
      <w:r>
        <w:rPr>
          <w:rFonts w:hAnsi="宋体"/>
          <w:sz w:val="24"/>
          <w:szCs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Ansi="宋体"/>
          <w:sz w:val="24"/>
          <w:szCs w:val="24"/>
        </w:rPr>
        <w:t>银城中路</w:t>
      </w:r>
      <w:r>
        <w:rPr>
          <w:sz w:val="24"/>
          <w:szCs w:val="24"/>
        </w:rPr>
        <w:t>188</w:t>
      </w:r>
      <w:r>
        <w:rPr>
          <w:rFonts w:hAnsi="宋体"/>
          <w:sz w:val="24"/>
          <w:szCs w:val="24"/>
        </w:rPr>
        <w:t>号交通银行大楼二层（裙）</w:t>
      </w:r>
    </w:p>
    <w:p>
      <w:pPr>
        <w:adjustRightInd w:val="0"/>
        <w:snapToGrid w:val="0"/>
        <w:spacing w:line="360" w:lineRule="auto"/>
        <w:ind w:firstLine="480" w:firstLineChars="200"/>
        <w:rPr>
          <w:sz w:val="24"/>
          <w:szCs w:val="24"/>
        </w:rPr>
      </w:pPr>
      <w:r>
        <w:rPr>
          <w:rFonts w:hAnsi="宋体"/>
          <w:sz w:val="24"/>
          <w:szCs w:val="24"/>
        </w:rPr>
        <w:t>办公地址：上海市</w:t>
      </w:r>
      <w:r>
        <w:rPr>
          <w:rFonts w:hint="eastAsia" w:hAnsi="宋体"/>
          <w:sz w:val="24"/>
          <w:szCs w:val="24"/>
        </w:rPr>
        <w:t>浦东新区世纪大道8号国金中心二期21-22楼</w:t>
      </w:r>
    </w:p>
    <w:p>
      <w:pPr>
        <w:adjustRightInd w:val="0"/>
        <w:snapToGrid w:val="0"/>
        <w:spacing w:line="360" w:lineRule="auto"/>
        <w:ind w:firstLine="480" w:firstLineChars="200"/>
        <w:rPr>
          <w:sz w:val="24"/>
          <w:szCs w:val="24"/>
        </w:rPr>
      </w:pPr>
      <w:r>
        <w:rPr>
          <w:rFonts w:hAnsi="宋体"/>
          <w:sz w:val="24"/>
          <w:szCs w:val="24"/>
        </w:rPr>
        <w:t>法定代表人：</w:t>
      </w:r>
      <w:r>
        <w:rPr>
          <w:rFonts w:hint="eastAsia" w:hAnsi="宋体"/>
          <w:sz w:val="24"/>
          <w:szCs w:val="24"/>
        </w:rPr>
        <w:t>阮红</w:t>
      </w:r>
    </w:p>
    <w:p>
      <w:pPr>
        <w:adjustRightInd w:val="0"/>
        <w:snapToGrid w:val="0"/>
        <w:spacing w:line="360" w:lineRule="auto"/>
        <w:ind w:firstLine="480" w:firstLineChars="20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pPr>
        <w:adjustRightInd w:val="0"/>
        <w:snapToGrid w:val="0"/>
        <w:spacing w:line="360" w:lineRule="auto"/>
        <w:ind w:firstLine="480" w:firstLineChars="200"/>
        <w:rPr>
          <w:sz w:val="24"/>
          <w:szCs w:val="24"/>
        </w:rPr>
      </w:pPr>
      <w:r>
        <w:rPr>
          <w:rFonts w:hAnsi="宋体"/>
          <w:sz w:val="24"/>
          <w:szCs w:val="24"/>
        </w:rPr>
        <w:t>电话：（</w:t>
      </w:r>
      <w:r>
        <w:rPr>
          <w:sz w:val="24"/>
          <w:szCs w:val="24"/>
        </w:rPr>
        <w:t>021</w:t>
      </w:r>
      <w:r>
        <w:rPr>
          <w:rFonts w:hAnsi="宋体"/>
          <w:sz w:val="24"/>
          <w:szCs w:val="24"/>
        </w:rPr>
        <w:t>）</w:t>
      </w:r>
      <w:r>
        <w:rPr>
          <w:sz w:val="24"/>
          <w:szCs w:val="24"/>
        </w:rPr>
        <w:t>6105</w:t>
      </w:r>
      <w:r>
        <w:rPr>
          <w:rFonts w:hint="eastAsia"/>
          <w:sz w:val="24"/>
          <w:szCs w:val="24"/>
        </w:rPr>
        <w:t>5724</w:t>
      </w:r>
    </w:p>
    <w:p>
      <w:pPr>
        <w:adjustRightInd w:val="0"/>
        <w:snapToGrid w:val="0"/>
        <w:spacing w:line="360" w:lineRule="auto"/>
        <w:ind w:firstLine="480" w:firstLineChars="20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pPr>
        <w:adjustRightInd w:val="0"/>
        <w:snapToGrid w:val="0"/>
        <w:spacing w:line="360" w:lineRule="auto"/>
        <w:ind w:firstLine="480" w:firstLineChars="200"/>
        <w:rPr>
          <w:sz w:val="24"/>
          <w:szCs w:val="24"/>
        </w:rPr>
      </w:pPr>
      <w:r>
        <w:rPr>
          <w:rFonts w:hAnsi="宋体"/>
          <w:sz w:val="24"/>
          <w:szCs w:val="24"/>
        </w:rPr>
        <w:t>联系人：</w:t>
      </w:r>
      <w:r>
        <w:rPr>
          <w:rFonts w:hint="eastAsia" w:hAnsi="宋体"/>
          <w:sz w:val="24"/>
          <w:szCs w:val="24"/>
        </w:rPr>
        <w:t>傅鲸</w:t>
      </w:r>
      <w:r>
        <w:rPr>
          <w:sz w:val="24"/>
          <w:szCs w:val="24"/>
        </w:rPr>
        <w:t xml:space="preserve">  </w:t>
      </w:r>
    </w:p>
    <w:p>
      <w:pPr>
        <w:adjustRightInd w:val="0"/>
        <w:snapToGrid w:val="0"/>
        <w:spacing w:line="360" w:lineRule="auto"/>
        <w:ind w:firstLine="480" w:firstLineChars="20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pPr>
        <w:adjustRightInd w:val="0"/>
        <w:snapToGrid w:val="0"/>
        <w:spacing w:line="360" w:lineRule="auto"/>
        <w:ind w:firstLine="480" w:firstLineChars="200"/>
        <w:rPr>
          <w:rStyle w:val="32"/>
          <w:color w:val="auto"/>
          <w:sz w:val="24"/>
          <w:szCs w:val="24"/>
          <w:u w:val="none"/>
        </w:rPr>
      </w:pPr>
      <w:r>
        <w:rPr>
          <w:rFonts w:hAnsi="宋体"/>
          <w:sz w:val="24"/>
          <w:szCs w:val="24"/>
        </w:rPr>
        <w:t>网址：</w:t>
      </w:r>
      <w:r>
        <w:rPr>
          <w:rStyle w:val="32"/>
          <w:rFonts w:hint="eastAsia"/>
          <w:color w:val="auto"/>
          <w:sz w:val="24"/>
          <w:szCs w:val="24"/>
          <w:u w:val="none"/>
        </w:rPr>
        <w:t>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kern w:val="0"/>
          <w:sz w:val="24"/>
          <w:szCs w:val="24"/>
        </w:rPr>
        <w:t>基金管理人</w:t>
      </w:r>
      <w:r>
        <w:rPr>
          <w:rFonts w:hAnsi="宋体"/>
          <w:kern w:val="0"/>
          <w:sz w:val="24"/>
          <w:szCs w:val="24"/>
        </w:rPr>
        <w:t>网上直销交易平台办理开户、本基金的</w:t>
      </w:r>
      <w:r>
        <w:rPr>
          <w:rFonts w:hint="eastAsia" w:hAnsi="宋体"/>
          <w:kern w:val="0"/>
          <w:sz w:val="24"/>
          <w:szCs w:val="24"/>
        </w:rPr>
        <w:t>场外</w:t>
      </w:r>
      <w:r>
        <w:rPr>
          <w:rFonts w:hAnsi="宋体"/>
          <w:kern w:val="0"/>
          <w:sz w:val="24"/>
          <w:szCs w:val="24"/>
        </w:rPr>
        <w:t>申购、赎回等业务，具体交易细则请参阅</w:t>
      </w:r>
      <w:r>
        <w:rPr>
          <w:rFonts w:hint="eastAsia" w:hAnsi="宋体"/>
          <w:kern w:val="0"/>
          <w:sz w:val="24"/>
          <w:szCs w:val="24"/>
        </w:rPr>
        <w:t>基金管理人</w:t>
      </w:r>
      <w:r>
        <w:rPr>
          <w:rFonts w:hAnsi="宋体"/>
          <w:kern w:val="0"/>
          <w:sz w:val="24"/>
          <w:szCs w:val="24"/>
        </w:rPr>
        <w:t>网站。</w:t>
      </w:r>
    </w:p>
    <w:p>
      <w:pPr>
        <w:widowControl/>
        <w:adjustRightInd w:val="0"/>
        <w:snapToGrid w:val="0"/>
        <w:spacing w:line="360" w:lineRule="auto"/>
        <w:ind w:firstLine="480" w:firstLineChars="200"/>
        <w:rPr>
          <w:rStyle w:val="32"/>
          <w:color w:val="auto"/>
          <w:kern w:val="0"/>
          <w:sz w:val="24"/>
          <w:u w:val="none"/>
        </w:rPr>
      </w:pPr>
      <w:r>
        <w:rPr>
          <w:rFonts w:hAnsi="宋体"/>
          <w:kern w:val="0"/>
          <w:sz w:val="24"/>
          <w:szCs w:val="24"/>
        </w:rPr>
        <w:t>网上直销交易平台网址：</w:t>
      </w:r>
      <w:r>
        <w:fldChar w:fldCharType="begin"/>
      </w:r>
      <w:r>
        <w:instrText xml:space="preserve"> HYPERLINK "http://www.fund001.com，www.bocomschroder.com" </w:instrText>
      </w:r>
      <w:r>
        <w:fldChar w:fldCharType="separate"/>
      </w:r>
      <w:r>
        <w:rPr>
          <w:rStyle w:val="32"/>
          <w:color w:val="auto"/>
          <w:sz w:val="24"/>
          <w:szCs w:val="24"/>
          <w:u w:val="none"/>
        </w:rPr>
        <w:t>www.fund001.com</w:t>
      </w:r>
      <w:r>
        <w:rPr>
          <w:rStyle w:val="32"/>
          <w:color w:val="auto"/>
          <w:sz w:val="24"/>
          <w:szCs w:val="24"/>
          <w:u w:val="none"/>
        </w:rPr>
        <w:fldChar w:fldCharType="end"/>
      </w:r>
      <w:r>
        <w:rPr>
          <w:rStyle w:val="32"/>
          <w:rFonts w:hAnsi="宋体"/>
          <w:color w:val="auto"/>
          <w:sz w:val="24"/>
          <w:szCs w:val="24"/>
          <w:u w:val="none"/>
        </w:rPr>
        <w:t>。</w:t>
      </w:r>
    </w:p>
    <w:p>
      <w:pPr>
        <w:adjustRightInd w:val="0"/>
        <w:snapToGrid w:val="0"/>
        <w:spacing w:line="360" w:lineRule="auto"/>
        <w:ind w:firstLine="480" w:firstLineChars="200"/>
        <w:rPr>
          <w:sz w:val="24"/>
        </w:rPr>
      </w:pPr>
      <w:r>
        <w:rPr>
          <w:rFonts w:hint="eastAsia"/>
          <w:sz w:val="24"/>
        </w:rPr>
        <w:t xml:space="preserve">2、场内销售机构 </w:t>
      </w:r>
    </w:p>
    <w:p>
      <w:pPr>
        <w:adjustRightInd w:val="0"/>
        <w:snapToGrid w:val="0"/>
        <w:spacing w:line="360" w:lineRule="auto"/>
        <w:ind w:firstLine="480" w:firstLineChars="200"/>
        <w:rPr>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pPr>
        <w:adjustRightInd w:val="0"/>
        <w:snapToGrid w:val="0"/>
        <w:spacing w:line="360" w:lineRule="auto"/>
        <w:ind w:firstLine="480" w:firstLineChars="200"/>
        <w:rPr>
          <w:sz w:val="24"/>
        </w:rPr>
      </w:pPr>
      <w:r>
        <w:rPr>
          <w:rFonts w:hint="eastAsia"/>
          <w:sz w:val="24"/>
        </w:rPr>
        <w:t xml:space="preserve">3、除基金管理人之外的其他场外销售机构  </w:t>
      </w:r>
      <w:r>
        <w:rPr>
          <w:sz w:val="24"/>
        </w:rPr>
        <w:t xml:space="preserve">  </w:t>
      </w:r>
    </w:p>
    <w:p>
      <w:pPr>
        <w:adjustRightInd w:val="0"/>
        <w:snapToGrid w:val="0"/>
        <w:spacing w:line="360" w:lineRule="auto"/>
        <w:ind w:firstLine="480" w:firstLineChars="200"/>
        <w:rPr>
          <w:sz w:val="24"/>
        </w:rPr>
      </w:pPr>
      <w:r>
        <w:rPr>
          <w:rFonts w:hint="eastAsia"/>
          <w:sz w:val="24"/>
        </w:rPr>
        <w:t xml:space="preserve">（1）交通银行股份有限公司  </w:t>
      </w:r>
    </w:p>
    <w:p>
      <w:pPr>
        <w:adjustRightInd w:val="0"/>
        <w:snapToGrid w:val="0"/>
        <w:spacing w:line="360" w:lineRule="auto"/>
        <w:ind w:firstLine="480" w:firstLineChars="200"/>
        <w:rPr>
          <w:sz w:val="24"/>
        </w:rPr>
      </w:pPr>
      <w:r>
        <w:rPr>
          <w:rFonts w:hint="eastAsia"/>
          <w:sz w:val="24"/>
        </w:rPr>
        <w:t xml:space="preserve">住所：上海市浦东新区银城中路188号 </w:t>
      </w:r>
    </w:p>
    <w:p>
      <w:pPr>
        <w:adjustRightInd w:val="0"/>
        <w:snapToGrid w:val="0"/>
        <w:spacing w:line="360" w:lineRule="auto"/>
        <w:ind w:firstLine="480" w:firstLineChars="200"/>
        <w:rPr>
          <w:sz w:val="24"/>
        </w:rPr>
      </w:pPr>
      <w:r>
        <w:rPr>
          <w:rFonts w:hint="eastAsia"/>
          <w:sz w:val="24"/>
        </w:rPr>
        <w:t>办公地址：上海市浦东新区银城中路188号</w:t>
      </w:r>
    </w:p>
    <w:p>
      <w:pPr>
        <w:adjustRightInd w:val="0"/>
        <w:snapToGrid w:val="0"/>
        <w:spacing w:line="360" w:lineRule="auto"/>
        <w:ind w:firstLine="480" w:firstLineChars="200"/>
        <w:rPr>
          <w:sz w:val="24"/>
        </w:rPr>
      </w:pPr>
      <w:r>
        <w:rPr>
          <w:rFonts w:hint="eastAsia"/>
          <w:sz w:val="24"/>
        </w:rPr>
        <w:t>法定代表人：彭纯</w:t>
      </w:r>
    </w:p>
    <w:p>
      <w:pPr>
        <w:adjustRightInd w:val="0"/>
        <w:snapToGrid w:val="0"/>
        <w:spacing w:line="360" w:lineRule="auto"/>
        <w:ind w:firstLine="480" w:firstLineChars="200"/>
        <w:rPr>
          <w:sz w:val="24"/>
        </w:rPr>
      </w:pPr>
      <w:r>
        <w:rPr>
          <w:rFonts w:hint="eastAsia"/>
          <w:sz w:val="24"/>
        </w:rPr>
        <w:t xml:space="preserve">电话：（021）58781234 </w:t>
      </w:r>
    </w:p>
    <w:p>
      <w:pPr>
        <w:adjustRightInd w:val="0"/>
        <w:snapToGrid w:val="0"/>
        <w:spacing w:line="360" w:lineRule="auto"/>
        <w:ind w:firstLine="480" w:firstLineChars="200"/>
        <w:rPr>
          <w:sz w:val="24"/>
        </w:rPr>
      </w:pPr>
      <w:r>
        <w:rPr>
          <w:rFonts w:hint="eastAsia"/>
          <w:sz w:val="24"/>
        </w:rPr>
        <w:t xml:space="preserve">传真：（021）58408483 </w:t>
      </w:r>
    </w:p>
    <w:p>
      <w:pPr>
        <w:adjustRightInd w:val="0"/>
        <w:snapToGrid w:val="0"/>
        <w:spacing w:line="360" w:lineRule="auto"/>
        <w:ind w:firstLine="480" w:firstLineChars="200"/>
        <w:rPr>
          <w:sz w:val="24"/>
        </w:rPr>
      </w:pPr>
      <w:r>
        <w:rPr>
          <w:rFonts w:hint="eastAsia"/>
          <w:sz w:val="24"/>
        </w:rPr>
        <w:t>联系人：曹榕</w:t>
      </w:r>
    </w:p>
    <w:p>
      <w:pPr>
        <w:adjustRightInd w:val="0"/>
        <w:snapToGrid w:val="0"/>
        <w:spacing w:line="360" w:lineRule="auto"/>
        <w:ind w:firstLine="480" w:firstLineChars="200"/>
        <w:rPr>
          <w:sz w:val="24"/>
        </w:rPr>
      </w:pPr>
      <w:r>
        <w:rPr>
          <w:rFonts w:hint="eastAsia"/>
          <w:sz w:val="24"/>
        </w:rPr>
        <w:t>客户服务电话：95559</w:t>
      </w:r>
    </w:p>
    <w:p>
      <w:pPr>
        <w:adjustRightInd w:val="0"/>
        <w:snapToGrid w:val="0"/>
        <w:spacing w:line="360" w:lineRule="auto"/>
        <w:ind w:firstLine="480" w:firstLineChars="200"/>
        <w:rPr>
          <w:sz w:val="24"/>
        </w:rPr>
      </w:pPr>
      <w:r>
        <w:rPr>
          <w:rFonts w:hint="eastAsia"/>
          <w:sz w:val="24"/>
        </w:rPr>
        <w:t>网址：www.bankcomm.com</w:t>
      </w:r>
    </w:p>
    <w:p>
      <w:pPr>
        <w:adjustRightInd w:val="0"/>
        <w:snapToGrid w:val="0"/>
        <w:spacing w:line="360" w:lineRule="auto"/>
        <w:ind w:firstLine="480" w:firstLineChars="200"/>
        <w:rPr>
          <w:sz w:val="24"/>
        </w:rPr>
      </w:pPr>
      <w:r>
        <w:rPr>
          <w:rFonts w:hint="eastAsia"/>
          <w:sz w:val="24"/>
        </w:rPr>
        <w:t>（2）招商银行股份有限公司</w:t>
      </w:r>
    </w:p>
    <w:p>
      <w:pPr>
        <w:adjustRightInd w:val="0"/>
        <w:snapToGrid w:val="0"/>
        <w:spacing w:line="360" w:lineRule="auto"/>
        <w:ind w:firstLine="480" w:firstLineChars="200"/>
        <w:rPr>
          <w:sz w:val="24"/>
        </w:rPr>
      </w:pPr>
      <w:r>
        <w:rPr>
          <w:rFonts w:hint="eastAsia"/>
          <w:sz w:val="24"/>
        </w:rPr>
        <w:t>住所：深圳市福田区深南大道7088号</w:t>
      </w:r>
    </w:p>
    <w:p>
      <w:pPr>
        <w:adjustRightInd w:val="0"/>
        <w:snapToGrid w:val="0"/>
        <w:spacing w:line="360" w:lineRule="auto"/>
        <w:ind w:firstLine="480" w:firstLineChars="200"/>
        <w:rPr>
          <w:sz w:val="24"/>
        </w:rPr>
      </w:pPr>
      <w:r>
        <w:rPr>
          <w:rFonts w:hint="eastAsia"/>
          <w:sz w:val="24"/>
        </w:rPr>
        <w:t>办公地址：深圳市福田区深南大道7088号</w:t>
      </w:r>
    </w:p>
    <w:p>
      <w:pPr>
        <w:adjustRightInd w:val="0"/>
        <w:snapToGrid w:val="0"/>
        <w:spacing w:line="360" w:lineRule="auto"/>
        <w:ind w:firstLine="480" w:firstLineChars="200"/>
        <w:rPr>
          <w:sz w:val="24"/>
        </w:rPr>
      </w:pPr>
      <w:r>
        <w:rPr>
          <w:rFonts w:hint="eastAsia"/>
          <w:sz w:val="24"/>
        </w:rPr>
        <w:t>法定代表人：李建红</w:t>
      </w:r>
    </w:p>
    <w:p>
      <w:pPr>
        <w:adjustRightInd w:val="0"/>
        <w:snapToGrid w:val="0"/>
        <w:spacing w:line="360" w:lineRule="auto"/>
        <w:ind w:firstLine="480" w:firstLineChars="200"/>
        <w:rPr>
          <w:sz w:val="24"/>
        </w:rPr>
      </w:pPr>
      <w:r>
        <w:rPr>
          <w:rFonts w:hint="eastAsia"/>
          <w:sz w:val="24"/>
        </w:rPr>
        <w:t>电话：（0755）83198888</w:t>
      </w:r>
    </w:p>
    <w:p>
      <w:pPr>
        <w:adjustRightInd w:val="0"/>
        <w:snapToGrid w:val="0"/>
        <w:spacing w:line="360" w:lineRule="auto"/>
        <w:ind w:firstLine="480" w:firstLineChars="200"/>
        <w:rPr>
          <w:sz w:val="24"/>
        </w:rPr>
      </w:pPr>
      <w:r>
        <w:rPr>
          <w:rFonts w:hint="eastAsia"/>
          <w:sz w:val="24"/>
        </w:rPr>
        <w:t>传真：（0755）83195109</w:t>
      </w:r>
    </w:p>
    <w:p>
      <w:pPr>
        <w:adjustRightInd w:val="0"/>
        <w:snapToGrid w:val="0"/>
        <w:spacing w:line="360" w:lineRule="auto"/>
        <w:ind w:firstLine="480" w:firstLineChars="200"/>
        <w:rPr>
          <w:sz w:val="24"/>
        </w:rPr>
      </w:pPr>
      <w:r>
        <w:rPr>
          <w:rFonts w:hint="eastAsia"/>
          <w:sz w:val="24"/>
        </w:rPr>
        <w:t>联系人：邓炯鹏</w:t>
      </w:r>
    </w:p>
    <w:p>
      <w:pPr>
        <w:adjustRightInd w:val="0"/>
        <w:snapToGrid w:val="0"/>
        <w:spacing w:line="360" w:lineRule="auto"/>
        <w:ind w:firstLine="480" w:firstLineChars="200"/>
        <w:rPr>
          <w:sz w:val="24"/>
        </w:rPr>
      </w:pPr>
      <w:r>
        <w:rPr>
          <w:rFonts w:hint="eastAsia"/>
          <w:sz w:val="24"/>
        </w:rPr>
        <w:t>客户服务电话：95555</w:t>
      </w:r>
    </w:p>
    <w:p>
      <w:pPr>
        <w:adjustRightInd w:val="0"/>
        <w:snapToGrid w:val="0"/>
        <w:spacing w:line="360" w:lineRule="auto"/>
        <w:ind w:firstLine="480" w:firstLineChars="200"/>
        <w:rPr>
          <w:sz w:val="24"/>
        </w:rPr>
      </w:pPr>
      <w:r>
        <w:rPr>
          <w:rFonts w:hint="eastAsia"/>
          <w:sz w:val="24"/>
        </w:rPr>
        <w:t>网址：www.cmbchina.com</w:t>
      </w:r>
    </w:p>
    <w:p>
      <w:pPr>
        <w:adjustRightInd w:val="0"/>
        <w:snapToGrid w:val="0"/>
        <w:spacing w:line="360" w:lineRule="auto"/>
        <w:ind w:firstLine="480" w:firstLineChars="200"/>
        <w:rPr>
          <w:sz w:val="24"/>
        </w:rPr>
      </w:pPr>
      <w:r>
        <w:rPr>
          <w:rFonts w:hint="eastAsia"/>
          <w:sz w:val="24"/>
        </w:rPr>
        <w:t>（3）上海银行股份有限公司</w:t>
      </w:r>
    </w:p>
    <w:p>
      <w:pPr>
        <w:adjustRightInd w:val="0"/>
        <w:snapToGrid w:val="0"/>
        <w:spacing w:line="360" w:lineRule="auto"/>
        <w:ind w:firstLine="480" w:firstLineChars="200"/>
        <w:rPr>
          <w:sz w:val="24"/>
        </w:rPr>
      </w:pPr>
      <w:r>
        <w:rPr>
          <w:rFonts w:hint="eastAsia"/>
          <w:sz w:val="24"/>
        </w:rPr>
        <w:t>住所：上海市银城中路168号</w:t>
      </w:r>
    </w:p>
    <w:p>
      <w:pPr>
        <w:adjustRightInd w:val="0"/>
        <w:snapToGrid w:val="0"/>
        <w:spacing w:line="360" w:lineRule="auto"/>
        <w:ind w:firstLine="480" w:firstLineChars="200"/>
        <w:rPr>
          <w:sz w:val="24"/>
        </w:rPr>
      </w:pPr>
      <w:r>
        <w:rPr>
          <w:rFonts w:hint="eastAsia"/>
          <w:sz w:val="24"/>
        </w:rPr>
        <w:t>办公地址：上海市银城中路168号</w:t>
      </w:r>
    </w:p>
    <w:p>
      <w:pPr>
        <w:adjustRightInd w:val="0"/>
        <w:snapToGrid w:val="0"/>
        <w:spacing w:line="360" w:lineRule="auto"/>
        <w:ind w:firstLine="480" w:firstLineChars="200"/>
        <w:rPr>
          <w:sz w:val="24"/>
        </w:rPr>
      </w:pPr>
      <w:r>
        <w:rPr>
          <w:rFonts w:hint="eastAsia"/>
          <w:sz w:val="24"/>
        </w:rPr>
        <w:t>法定代表人：金煜</w:t>
      </w:r>
    </w:p>
    <w:p>
      <w:pPr>
        <w:adjustRightInd w:val="0"/>
        <w:snapToGrid w:val="0"/>
        <w:spacing w:line="360" w:lineRule="auto"/>
        <w:ind w:firstLine="480" w:firstLineChars="200"/>
        <w:rPr>
          <w:sz w:val="24"/>
        </w:rPr>
      </w:pPr>
      <w:r>
        <w:rPr>
          <w:rFonts w:hint="eastAsia"/>
          <w:sz w:val="24"/>
        </w:rPr>
        <w:t>电话：（021）68475888</w:t>
      </w:r>
    </w:p>
    <w:p>
      <w:pPr>
        <w:adjustRightInd w:val="0"/>
        <w:snapToGrid w:val="0"/>
        <w:spacing w:line="360" w:lineRule="auto"/>
        <w:ind w:firstLine="480" w:firstLineChars="200"/>
        <w:rPr>
          <w:sz w:val="24"/>
        </w:rPr>
      </w:pPr>
      <w:r>
        <w:rPr>
          <w:rFonts w:hint="eastAsia"/>
          <w:sz w:val="24"/>
        </w:rPr>
        <w:t xml:space="preserve">传真：（021）68476111 </w:t>
      </w:r>
    </w:p>
    <w:p>
      <w:pPr>
        <w:adjustRightInd w:val="0"/>
        <w:snapToGrid w:val="0"/>
        <w:spacing w:line="360" w:lineRule="auto"/>
        <w:ind w:firstLine="480" w:firstLineChars="200"/>
        <w:rPr>
          <w:sz w:val="24"/>
        </w:rPr>
      </w:pPr>
      <w:r>
        <w:rPr>
          <w:rFonts w:hint="eastAsia"/>
          <w:sz w:val="24"/>
        </w:rPr>
        <w:t>联系人：张萍</w:t>
      </w:r>
    </w:p>
    <w:p>
      <w:pPr>
        <w:adjustRightInd w:val="0"/>
        <w:snapToGrid w:val="0"/>
        <w:spacing w:line="360" w:lineRule="auto"/>
        <w:ind w:firstLine="480" w:firstLineChars="200"/>
        <w:rPr>
          <w:sz w:val="24"/>
        </w:rPr>
      </w:pPr>
      <w:r>
        <w:rPr>
          <w:rFonts w:hint="eastAsia"/>
          <w:sz w:val="24"/>
        </w:rPr>
        <w:t>客户服务电话：（021）962888</w:t>
      </w:r>
    </w:p>
    <w:p>
      <w:pPr>
        <w:adjustRightInd w:val="0"/>
        <w:snapToGrid w:val="0"/>
        <w:spacing w:line="360" w:lineRule="auto"/>
        <w:ind w:firstLine="480" w:firstLineChars="200"/>
        <w:rPr>
          <w:sz w:val="24"/>
        </w:rPr>
      </w:pPr>
      <w:r>
        <w:rPr>
          <w:rFonts w:hint="eastAsia"/>
          <w:sz w:val="24"/>
        </w:rPr>
        <w:t>网址：www.bankofshanghai.com</w:t>
      </w:r>
    </w:p>
    <w:p>
      <w:pPr>
        <w:adjustRightInd w:val="0"/>
        <w:snapToGrid w:val="0"/>
        <w:spacing w:line="360" w:lineRule="auto"/>
        <w:ind w:firstLine="480" w:firstLineChars="200"/>
        <w:rPr>
          <w:sz w:val="24"/>
        </w:rPr>
      </w:pPr>
      <w:r>
        <w:rPr>
          <w:rFonts w:hint="eastAsia"/>
          <w:sz w:val="24"/>
        </w:rPr>
        <w:t>（4）中信银行股份有限公司</w:t>
      </w:r>
    </w:p>
    <w:p>
      <w:pPr>
        <w:adjustRightInd w:val="0"/>
        <w:snapToGrid w:val="0"/>
        <w:spacing w:line="360" w:lineRule="auto"/>
        <w:ind w:firstLine="480" w:firstLineChars="200"/>
        <w:rPr>
          <w:sz w:val="24"/>
        </w:rPr>
      </w:pPr>
      <w:r>
        <w:rPr>
          <w:rFonts w:hint="eastAsia"/>
          <w:sz w:val="24"/>
        </w:rPr>
        <w:t>住所：北京市东城区朝阳门北大街9号</w:t>
      </w:r>
    </w:p>
    <w:p>
      <w:pPr>
        <w:adjustRightInd w:val="0"/>
        <w:snapToGrid w:val="0"/>
        <w:spacing w:line="360" w:lineRule="auto"/>
        <w:ind w:firstLine="480" w:firstLineChars="200"/>
        <w:rPr>
          <w:sz w:val="24"/>
        </w:rPr>
      </w:pPr>
      <w:r>
        <w:rPr>
          <w:rFonts w:hint="eastAsia"/>
          <w:sz w:val="24"/>
        </w:rPr>
        <w:t>办公地址：北京市东城区朝阳门北大街9号</w:t>
      </w:r>
    </w:p>
    <w:p>
      <w:pPr>
        <w:adjustRightInd w:val="0"/>
        <w:snapToGrid w:val="0"/>
        <w:spacing w:line="360" w:lineRule="auto"/>
        <w:ind w:firstLine="480" w:firstLineChars="200"/>
        <w:rPr>
          <w:sz w:val="24"/>
        </w:rPr>
      </w:pPr>
      <w:r>
        <w:rPr>
          <w:rFonts w:hint="eastAsia"/>
          <w:sz w:val="24"/>
        </w:rPr>
        <w:t>法定代表人：李庆萍</w:t>
      </w:r>
    </w:p>
    <w:p>
      <w:pPr>
        <w:adjustRightInd w:val="0"/>
        <w:snapToGrid w:val="0"/>
        <w:spacing w:line="360" w:lineRule="auto"/>
        <w:ind w:firstLine="480" w:firstLineChars="200"/>
        <w:rPr>
          <w:sz w:val="24"/>
        </w:rPr>
      </w:pPr>
      <w:r>
        <w:rPr>
          <w:rFonts w:hint="eastAsia"/>
          <w:sz w:val="24"/>
        </w:rPr>
        <w:t>电话：（010）89936330</w:t>
      </w:r>
    </w:p>
    <w:p>
      <w:pPr>
        <w:adjustRightInd w:val="0"/>
        <w:snapToGrid w:val="0"/>
        <w:spacing w:line="360" w:lineRule="auto"/>
        <w:ind w:firstLine="480" w:firstLineChars="200"/>
        <w:rPr>
          <w:sz w:val="24"/>
        </w:rPr>
      </w:pPr>
      <w:r>
        <w:rPr>
          <w:rFonts w:hint="eastAsia"/>
          <w:sz w:val="24"/>
        </w:rPr>
        <w:t>传真：（010）85230024</w:t>
      </w:r>
    </w:p>
    <w:p>
      <w:pPr>
        <w:adjustRightInd w:val="0"/>
        <w:snapToGrid w:val="0"/>
        <w:spacing w:line="360" w:lineRule="auto"/>
        <w:ind w:firstLine="480" w:firstLineChars="200"/>
        <w:rPr>
          <w:sz w:val="24"/>
        </w:rPr>
      </w:pPr>
      <w:r>
        <w:rPr>
          <w:rFonts w:hint="eastAsia"/>
          <w:sz w:val="24"/>
        </w:rPr>
        <w:t>联系人：丰靖</w:t>
      </w:r>
    </w:p>
    <w:p>
      <w:pPr>
        <w:adjustRightInd w:val="0"/>
        <w:snapToGrid w:val="0"/>
        <w:spacing w:line="360" w:lineRule="auto"/>
        <w:ind w:firstLine="480" w:firstLineChars="200"/>
        <w:rPr>
          <w:sz w:val="24"/>
        </w:rPr>
      </w:pPr>
      <w:r>
        <w:rPr>
          <w:rFonts w:hint="eastAsia"/>
          <w:sz w:val="24"/>
        </w:rPr>
        <w:t>客户服务电话：95558</w:t>
      </w:r>
    </w:p>
    <w:p>
      <w:pPr>
        <w:adjustRightInd w:val="0"/>
        <w:snapToGrid w:val="0"/>
        <w:spacing w:line="360" w:lineRule="auto"/>
        <w:ind w:firstLine="480" w:firstLineChars="200"/>
        <w:rPr>
          <w:sz w:val="24"/>
        </w:rPr>
      </w:pPr>
      <w:r>
        <w:rPr>
          <w:rFonts w:hint="eastAsia"/>
          <w:sz w:val="24"/>
        </w:rPr>
        <w:t>网址：bank.ecitic.com</w:t>
      </w:r>
    </w:p>
    <w:p>
      <w:pPr>
        <w:adjustRightInd w:val="0"/>
        <w:snapToGrid w:val="0"/>
        <w:spacing w:line="360" w:lineRule="auto"/>
        <w:ind w:firstLine="480" w:firstLineChars="200"/>
        <w:rPr>
          <w:sz w:val="24"/>
        </w:rPr>
      </w:pPr>
      <w:r>
        <w:rPr>
          <w:rFonts w:hint="eastAsia"/>
          <w:sz w:val="24"/>
        </w:rPr>
        <w:t>（5）东莞农村商业银行股份有限公司</w:t>
      </w:r>
    </w:p>
    <w:p>
      <w:pPr>
        <w:adjustRightInd w:val="0"/>
        <w:snapToGrid w:val="0"/>
        <w:spacing w:line="360" w:lineRule="auto"/>
        <w:ind w:firstLine="480" w:firstLineChars="200"/>
        <w:rPr>
          <w:sz w:val="24"/>
        </w:rPr>
      </w:pPr>
      <w:r>
        <w:rPr>
          <w:rFonts w:hint="eastAsia"/>
          <w:sz w:val="24"/>
        </w:rPr>
        <w:t xml:space="preserve">住所：东莞市东城区鸿福东路2号 </w:t>
      </w:r>
    </w:p>
    <w:p>
      <w:pPr>
        <w:adjustRightInd w:val="0"/>
        <w:snapToGrid w:val="0"/>
        <w:spacing w:line="360" w:lineRule="auto"/>
        <w:ind w:firstLine="480" w:firstLineChars="200"/>
        <w:rPr>
          <w:sz w:val="24"/>
        </w:rPr>
      </w:pPr>
      <w:r>
        <w:rPr>
          <w:rFonts w:hint="eastAsia"/>
          <w:sz w:val="24"/>
        </w:rPr>
        <w:t>办公地址：东莞市东城区鸿福东路2号</w:t>
      </w:r>
    </w:p>
    <w:p>
      <w:pPr>
        <w:adjustRightInd w:val="0"/>
        <w:snapToGrid w:val="0"/>
        <w:spacing w:line="360" w:lineRule="auto"/>
        <w:ind w:firstLine="480" w:firstLineChars="200"/>
        <w:rPr>
          <w:sz w:val="24"/>
        </w:rPr>
      </w:pPr>
      <w:r>
        <w:rPr>
          <w:rFonts w:hint="eastAsia"/>
          <w:sz w:val="24"/>
        </w:rPr>
        <w:t>法定代表人：王耀球</w:t>
      </w:r>
    </w:p>
    <w:p>
      <w:pPr>
        <w:adjustRightInd w:val="0"/>
        <w:snapToGrid w:val="0"/>
        <w:spacing w:line="360" w:lineRule="auto"/>
        <w:ind w:firstLine="480" w:firstLineChars="200"/>
        <w:rPr>
          <w:sz w:val="24"/>
        </w:rPr>
      </w:pPr>
      <w:r>
        <w:rPr>
          <w:rFonts w:hint="eastAsia"/>
          <w:sz w:val="24"/>
        </w:rPr>
        <w:t>电话：（0769）22866254</w:t>
      </w:r>
    </w:p>
    <w:p>
      <w:pPr>
        <w:adjustRightInd w:val="0"/>
        <w:snapToGrid w:val="0"/>
        <w:spacing w:line="360" w:lineRule="auto"/>
        <w:ind w:firstLine="480" w:firstLineChars="200"/>
        <w:rPr>
          <w:sz w:val="24"/>
        </w:rPr>
      </w:pPr>
      <w:r>
        <w:rPr>
          <w:rFonts w:hint="eastAsia"/>
          <w:sz w:val="24"/>
        </w:rPr>
        <w:t>传真：（0769）22866282</w:t>
      </w:r>
    </w:p>
    <w:p>
      <w:pPr>
        <w:adjustRightInd w:val="0"/>
        <w:snapToGrid w:val="0"/>
        <w:spacing w:line="360" w:lineRule="auto"/>
        <w:ind w:firstLine="480" w:firstLineChars="200"/>
        <w:rPr>
          <w:sz w:val="24"/>
        </w:rPr>
      </w:pPr>
      <w:r>
        <w:rPr>
          <w:rFonts w:hint="eastAsia"/>
          <w:sz w:val="24"/>
        </w:rPr>
        <w:t xml:space="preserve">联系人：林培珊 </w:t>
      </w:r>
    </w:p>
    <w:p>
      <w:pPr>
        <w:adjustRightInd w:val="0"/>
        <w:snapToGrid w:val="0"/>
        <w:spacing w:line="360" w:lineRule="auto"/>
        <w:ind w:firstLine="480" w:firstLineChars="200"/>
        <w:rPr>
          <w:sz w:val="24"/>
        </w:rPr>
      </w:pPr>
      <w:r>
        <w:rPr>
          <w:rFonts w:hint="eastAsia"/>
          <w:sz w:val="24"/>
        </w:rPr>
        <w:t>客户服务电话：（0769）961122</w:t>
      </w:r>
    </w:p>
    <w:p>
      <w:pPr>
        <w:adjustRightInd w:val="0"/>
        <w:snapToGrid w:val="0"/>
        <w:spacing w:line="360" w:lineRule="auto"/>
        <w:ind w:firstLine="480" w:firstLineChars="200"/>
        <w:rPr>
          <w:sz w:val="24"/>
        </w:rPr>
      </w:pPr>
      <w:r>
        <w:rPr>
          <w:rFonts w:hint="eastAsia"/>
          <w:sz w:val="24"/>
        </w:rPr>
        <w:t>网址：www.drcbank.com</w:t>
      </w:r>
    </w:p>
    <w:p>
      <w:pPr>
        <w:adjustRightInd w:val="0"/>
        <w:snapToGrid w:val="0"/>
        <w:spacing w:line="360" w:lineRule="auto"/>
        <w:ind w:firstLine="480" w:firstLineChars="200"/>
        <w:rPr>
          <w:sz w:val="24"/>
        </w:rPr>
      </w:pPr>
      <w:r>
        <w:rPr>
          <w:rFonts w:hint="eastAsia"/>
          <w:sz w:val="24"/>
        </w:rPr>
        <w:t>（6）江苏江南农村商业银行股份有限公司</w:t>
      </w:r>
    </w:p>
    <w:p>
      <w:pPr>
        <w:adjustRightInd w:val="0"/>
        <w:snapToGrid w:val="0"/>
        <w:spacing w:line="360" w:lineRule="auto"/>
        <w:ind w:firstLine="480" w:firstLineChars="200"/>
        <w:rPr>
          <w:sz w:val="24"/>
        </w:rPr>
      </w:pPr>
      <w:r>
        <w:rPr>
          <w:rFonts w:hint="eastAsia"/>
          <w:sz w:val="24"/>
        </w:rPr>
        <w:t>住所：江苏省常州市和平中路413号</w:t>
      </w:r>
    </w:p>
    <w:p>
      <w:pPr>
        <w:adjustRightInd w:val="0"/>
        <w:snapToGrid w:val="0"/>
        <w:spacing w:line="360" w:lineRule="auto"/>
        <w:ind w:firstLine="480" w:firstLineChars="200"/>
        <w:rPr>
          <w:sz w:val="24"/>
        </w:rPr>
      </w:pPr>
      <w:r>
        <w:rPr>
          <w:rFonts w:hint="eastAsia"/>
          <w:sz w:val="24"/>
        </w:rPr>
        <w:t>办公地址：江苏省常州市和平中路413号</w:t>
      </w:r>
    </w:p>
    <w:p>
      <w:pPr>
        <w:adjustRightInd w:val="0"/>
        <w:snapToGrid w:val="0"/>
        <w:spacing w:line="360" w:lineRule="auto"/>
        <w:ind w:firstLine="480" w:firstLineChars="200"/>
        <w:rPr>
          <w:sz w:val="24"/>
        </w:rPr>
      </w:pPr>
      <w:r>
        <w:rPr>
          <w:rFonts w:hint="eastAsia"/>
          <w:sz w:val="24"/>
        </w:rPr>
        <w:t>法定代表人：陆向阳</w:t>
      </w:r>
    </w:p>
    <w:p>
      <w:pPr>
        <w:adjustRightInd w:val="0"/>
        <w:snapToGrid w:val="0"/>
        <w:spacing w:line="360" w:lineRule="auto"/>
        <w:ind w:firstLine="480" w:firstLineChars="200"/>
        <w:rPr>
          <w:sz w:val="24"/>
        </w:rPr>
      </w:pPr>
      <w:r>
        <w:rPr>
          <w:rFonts w:hint="eastAsia"/>
          <w:sz w:val="24"/>
        </w:rPr>
        <w:t>电话：0519-80585939</w:t>
      </w:r>
    </w:p>
    <w:p>
      <w:pPr>
        <w:adjustRightInd w:val="0"/>
        <w:snapToGrid w:val="0"/>
        <w:spacing w:line="360" w:lineRule="auto"/>
        <w:ind w:firstLine="480" w:firstLineChars="200"/>
        <w:rPr>
          <w:sz w:val="24"/>
        </w:rPr>
      </w:pPr>
      <w:r>
        <w:rPr>
          <w:rFonts w:hint="eastAsia"/>
          <w:sz w:val="24"/>
        </w:rPr>
        <w:t>传真：0519-89995170</w:t>
      </w:r>
    </w:p>
    <w:p>
      <w:pPr>
        <w:adjustRightInd w:val="0"/>
        <w:snapToGrid w:val="0"/>
        <w:spacing w:line="360" w:lineRule="auto"/>
        <w:ind w:firstLine="480" w:firstLineChars="200"/>
        <w:rPr>
          <w:sz w:val="24"/>
        </w:rPr>
      </w:pPr>
      <w:r>
        <w:rPr>
          <w:rFonts w:hint="eastAsia"/>
          <w:sz w:val="24"/>
        </w:rPr>
        <w:t>联系人：蒋姣</w:t>
      </w:r>
    </w:p>
    <w:p>
      <w:pPr>
        <w:adjustRightInd w:val="0"/>
        <w:snapToGrid w:val="0"/>
        <w:spacing w:line="360" w:lineRule="auto"/>
        <w:ind w:firstLine="480" w:firstLineChars="200"/>
        <w:rPr>
          <w:sz w:val="24"/>
        </w:rPr>
      </w:pPr>
      <w:r>
        <w:rPr>
          <w:rFonts w:hint="eastAsia"/>
          <w:sz w:val="24"/>
        </w:rPr>
        <w:t>客户服务电话：96005</w:t>
      </w:r>
    </w:p>
    <w:p>
      <w:pPr>
        <w:adjustRightInd w:val="0"/>
        <w:snapToGrid w:val="0"/>
        <w:spacing w:line="360" w:lineRule="auto"/>
        <w:ind w:firstLine="480" w:firstLineChars="200"/>
        <w:rPr>
          <w:sz w:val="24"/>
        </w:rPr>
      </w:pPr>
      <w:r>
        <w:rPr>
          <w:rFonts w:hint="eastAsia"/>
          <w:sz w:val="24"/>
        </w:rPr>
        <w:t>网址：http://www.jnbank.com.cn</w:t>
      </w:r>
    </w:p>
    <w:p>
      <w:pPr>
        <w:adjustRightInd w:val="0"/>
        <w:snapToGrid w:val="0"/>
        <w:spacing w:line="360" w:lineRule="auto"/>
        <w:ind w:firstLine="480" w:firstLineChars="200"/>
        <w:rPr>
          <w:sz w:val="24"/>
        </w:rPr>
      </w:pPr>
      <w:r>
        <w:rPr>
          <w:rFonts w:hint="eastAsia"/>
          <w:sz w:val="24"/>
        </w:rPr>
        <w:t>（7）光大证券股份有限公司</w:t>
      </w:r>
    </w:p>
    <w:p>
      <w:pPr>
        <w:adjustRightInd w:val="0"/>
        <w:snapToGrid w:val="0"/>
        <w:spacing w:line="360" w:lineRule="auto"/>
        <w:ind w:firstLine="480" w:firstLineChars="200"/>
        <w:rPr>
          <w:sz w:val="24"/>
        </w:rPr>
      </w:pPr>
      <w:r>
        <w:rPr>
          <w:rFonts w:hint="eastAsia"/>
          <w:sz w:val="24"/>
        </w:rPr>
        <w:t>住所：上海市静安区新闸路1508号</w:t>
      </w:r>
    </w:p>
    <w:p>
      <w:pPr>
        <w:adjustRightInd w:val="0"/>
        <w:snapToGrid w:val="0"/>
        <w:spacing w:line="360" w:lineRule="auto"/>
        <w:ind w:firstLine="480" w:firstLineChars="200"/>
        <w:rPr>
          <w:sz w:val="24"/>
        </w:rPr>
      </w:pPr>
      <w:r>
        <w:rPr>
          <w:rFonts w:hint="eastAsia"/>
          <w:sz w:val="24"/>
        </w:rPr>
        <w:t>办公地址：上海市静安区新闸路1508号</w:t>
      </w:r>
    </w:p>
    <w:p>
      <w:pPr>
        <w:adjustRightInd w:val="0"/>
        <w:snapToGrid w:val="0"/>
        <w:spacing w:line="360" w:lineRule="auto"/>
        <w:ind w:firstLine="480" w:firstLineChars="200"/>
        <w:rPr>
          <w:sz w:val="24"/>
        </w:rPr>
      </w:pPr>
      <w:r>
        <w:rPr>
          <w:rFonts w:hint="eastAsia"/>
          <w:sz w:val="24"/>
        </w:rPr>
        <w:t>法定代表人：薛峰</w:t>
      </w:r>
    </w:p>
    <w:p>
      <w:pPr>
        <w:adjustRightInd w:val="0"/>
        <w:snapToGrid w:val="0"/>
        <w:spacing w:line="360" w:lineRule="auto"/>
        <w:ind w:firstLine="480" w:firstLineChars="200"/>
        <w:rPr>
          <w:sz w:val="24"/>
        </w:rPr>
      </w:pPr>
      <w:r>
        <w:rPr>
          <w:rFonts w:hint="eastAsia"/>
          <w:sz w:val="24"/>
        </w:rPr>
        <w:t>电话：（021）22169999</w:t>
      </w:r>
    </w:p>
    <w:p>
      <w:pPr>
        <w:adjustRightInd w:val="0"/>
        <w:snapToGrid w:val="0"/>
        <w:spacing w:line="360" w:lineRule="auto"/>
        <w:ind w:firstLine="480" w:firstLineChars="200"/>
        <w:rPr>
          <w:sz w:val="24"/>
        </w:rPr>
      </w:pPr>
      <w:r>
        <w:rPr>
          <w:rFonts w:hint="eastAsia"/>
          <w:sz w:val="24"/>
        </w:rPr>
        <w:t>传真：（021）22169134</w:t>
      </w:r>
    </w:p>
    <w:p>
      <w:pPr>
        <w:adjustRightInd w:val="0"/>
        <w:snapToGrid w:val="0"/>
        <w:spacing w:line="360" w:lineRule="auto"/>
        <w:ind w:firstLine="480" w:firstLineChars="200"/>
        <w:rPr>
          <w:sz w:val="24"/>
        </w:rPr>
      </w:pPr>
      <w:r>
        <w:rPr>
          <w:rFonts w:hint="eastAsia"/>
          <w:sz w:val="24"/>
        </w:rPr>
        <w:t>联系人：刘晨</w:t>
      </w:r>
    </w:p>
    <w:p>
      <w:pPr>
        <w:adjustRightInd w:val="0"/>
        <w:snapToGrid w:val="0"/>
        <w:spacing w:line="360" w:lineRule="auto"/>
        <w:ind w:firstLine="480" w:firstLineChars="200"/>
        <w:rPr>
          <w:sz w:val="24"/>
        </w:rPr>
      </w:pPr>
      <w:r>
        <w:rPr>
          <w:rFonts w:hint="eastAsia"/>
          <w:sz w:val="24"/>
        </w:rPr>
        <w:t>客户服务电话： 10108998</w:t>
      </w:r>
    </w:p>
    <w:p>
      <w:pPr>
        <w:adjustRightInd w:val="0"/>
        <w:snapToGrid w:val="0"/>
        <w:spacing w:line="360" w:lineRule="auto"/>
        <w:ind w:firstLine="480" w:firstLineChars="200"/>
        <w:rPr>
          <w:sz w:val="24"/>
        </w:rPr>
      </w:pPr>
      <w:r>
        <w:rPr>
          <w:rFonts w:hint="eastAsia"/>
          <w:sz w:val="24"/>
        </w:rPr>
        <w:t>网址：www.ebscn.com</w:t>
      </w:r>
    </w:p>
    <w:p>
      <w:pPr>
        <w:adjustRightInd w:val="0"/>
        <w:snapToGrid w:val="0"/>
        <w:spacing w:line="360" w:lineRule="auto"/>
        <w:ind w:firstLine="480" w:firstLineChars="200"/>
        <w:rPr>
          <w:sz w:val="24"/>
        </w:rPr>
      </w:pPr>
      <w:r>
        <w:rPr>
          <w:rFonts w:hint="eastAsia"/>
          <w:sz w:val="24"/>
        </w:rPr>
        <w:t>（8）中信建投证券股份有限公司</w:t>
      </w:r>
    </w:p>
    <w:p>
      <w:pPr>
        <w:adjustRightInd w:val="0"/>
        <w:snapToGrid w:val="0"/>
        <w:spacing w:line="360" w:lineRule="auto"/>
        <w:ind w:firstLine="480" w:firstLineChars="200"/>
        <w:rPr>
          <w:sz w:val="24"/>
        </w:rPr>
      </w:pPr>
      <w:r>
        <w:rPr>
          <w:rFonts w:hint="eastAsia"/>
          <w:sz w:val="24"/>
        </w:rPr>
        <w:t>住所：北京市朝阳区安立路66号4号楼</w:t>
      </w:r>
    </w:p>
    <w:p>
      <w:pPr>
        <w:adjustRightInd w:val="0"/>
        <w:snapToGrid w:val="0"/>
        <w:spacing w:line="360" w:lineRule="auto"/>
        <w:ind w:firstLine="480" w:firstLineChars="200"/>
        <w:rPr>
          <w:sz w:val="24"/>
        </w:rPr>
      </w:pPr>
      <w:r>
        <w:rPr>
          <w:rFonts w:hint="eastAsia"/>
          <w:sz w:val="24"/>
        </w:rPr>
        <w:t>办公地址：北京市朝阳门内大街188号</w:t>
      </w:r>
    </w:p>
    <w:p>
      <w:pPr>
        <w:adjustRightInd w:val="0"/>
        <w:snapToGrid w:val="0"/>
        <w:spacing w:line="360" w:lineRule="auto"/>
        <w:ind w:firstLine="480" w:firstLineChars="200"/>
        <w:rPr>
          <w:sz w:val="24"/>
        </w:rPr>
      </w:pPr>
      <w:r>
        <w:rPr>
          <w:rFonts w:hint="eastAsia"/>
          <w:sz w:val="24"/>
        </w:rPr>
        <w:t>法定代表人：王常青</w:t>
      </w:r>
    </w:p>
    <w:p>
      <w:pPr>
        <w:adjustRightInd w:val="0"/>
        <w:snapToGrid w:val="0"/>
        <w:spacing w:line="360" w:lineRule="auto"/>
        <w:ind w:firstLine="480" w:firstLineChars="200"/>
        <w:rPr>
          <w:sz w:val="24"/>
        </w:rPr>
      </w:pPr>
      <w:r>
        <w:rPr>
          <w:rFonts w:hint="eastAsia"/>
          <w:sz w:val="24"/>
        </w:rPr>
        <w:t xml:space="preserve">电话：（010）85130588 </w:t>
      </w:r>
    </w:p>
    <w:p>
      <w:pPr>
        <w:adjustRightInd w:val="0"/>
        <w:snapToGrid w:val="0"/>
        <w:spacing w:line="360" w:lineRule="auto"/>
        <w:ind w:firstLine="480" w:firstLineChars="200"/>
        <w:rPr>
          <w:sz w:val="24"/>
        </w:rPr>
      </w:pPr>
      <w:r>
        <w:rPr>
          <w:rFonts w:hint="eastAsia"/>
          <w:sz w:val="24"/>
        </w:rPr>
        <w:t xml:space="preserve">传真：（010）65182261 </w:t>
      </w:r>
    </w:p>
    <w:p>
      <w:pPr>
        <w:adjustRightInd w:val="0"/>
        <w:snapToGrid w:val="0"/>
        <w:spacing w:line="360" w:lineRule="auto"/>
        <w:ind w:firstLine="480" w:firstLineChars="200"/>
        <w:rPr>
          <w:sz w:val="24"/>
        </w:rPr>
      </w:pPr>
      <w:r>
        <w:rPr>
          <w:rFonts w:hint="eastAsia"/>
          <w:sz w:val="24"/>
        </w:rPr>
        <w:t xml:space="preserve">联系人：魏明 </w:t>
      </w:r>
    </w:p>
    <w:p>
      <w:pPr>
        <w:adjustRightInd w:val="0"/>
        <w:snapToGrid w:val="0"/>
        <w:spacing w:line="360" w:lineRule="auto"/>
        <w:ind w:firstLine="480" w:firstLineChars="200"/>
        <w:rPr>
          <w:sz w:val="24"/>
        </w:rPr>
      </w:pPr>
      <w:r>
        <w:rPr>
          <w:rFonts w:hint="eastAsia"/>
          <w:sz w:val="24"/>
        </w:rPr>
        <w:t>客户服务电话：95587</w:t>
      </w:r>
    </w:p>
    <w:p>
      <w:pPr>
        <w:adjustRightInd w:val="0"/>
        <w:snapToGrid w:val="0"/>
        <w:spacing w:line="360" w:lineRule="auto"/>
        <w:ind w:firstLine="480" w:firstLineChars="200"/>
        <w:rPr>
          <w:sz w:val="24"/>
        </w:rPr>
      </w:pPr>
      <w:r>
        <w:rPr>
          <w:rFonts w:hint="eastAsia"/>
          <w:sz w:val="24"/>
        </w:rPr>
        <w:t>网址：www.csc108.com</w:t>
      </w:r>
    </w:p>
    <w:p>
      <w:pPr>
        <w:adjustRightInd w:val="0"/>
        <w:snapToGrid w:val="0"/>
        <w:spacing w:line="360" w:lineRule="auto"/>
        <w:ind w:firstLine="480" w:firstLineChars="200"/>
        <w:rPr>
          <w:sz w:val="24"/>
        </w:rPr>
      </w:pPr>
      <w:r>
        <w:rPr>
          <w:rFonts w:hint="eastAsia"/>
          <w:sz w:val="24"/>
        </w:rPr>
        <w:t>（9）中国银河证券股份有限公司</w:t>
      </w:r>
    </w:p>
    <w:p>
      <w:pPr>
        <w:adjustRightInd w:val="0"/>
        <w:snapToGrid w:val="0"/>
        <w:spacing w:line="360" w:lineRule="auto"/>
        <w:ind w:firstLine="480" w:firstLineChars="200"/>
        <w:rPr>
          <w:sz w:val="24"/>
        </w:rPr>
      </w:pPr>
      <w:r>
        <w:rPr>
          <w:rFonts w:hint="eastAsia"/>
          <w:sz w:val="24"/>
        </w:rPr>
        <w:t>住所：北京市西城区金融大街35号国际企业大厦C座</w:t>
      </w:r>
    </w:p>
    <w:p>
      <w:pPr>
        <w:adjustRightInd w:val="0"/>
        <w:snapToGrid w:val="0"/>
        <w:spacing w:line="360" w:lineRule="auto"/>
        <w:ind w:firstLine="480" w:firstLineChars="200"/>
        <w:rPr>
          <w:sz w:val="24"/>
        </w:rPr>
      </w:pPr>
      <w:r>
        <w:rPr>
          <w:rFonts w:hint="eastAsia"/>
          <w:sz w:val="24"/>
        </w:rPr>
        <w:t>办公地址：北京市西城区金融大街35号国际企业大厦C座</w:t>
      </w:r>
    </w:p>
    <w:p>
      <w:pPr>
        <w:adjustRightInd w:val="0"/>
        <w:snapToGrid w:val="0"/>
        <w:spacing w:line="360" w:lineRule="auto"/>
        <w:ind w:firstLine="480" w:firstLineChars="200"/>
        <w:rPr>
          <w:sz w:val="24"/>
        </w:rPr>
      </w:pPr>
      <w:r>
        <w:rPr>
          <w:rFonts w:hint="eastAsia"/>
          <w:sz w:val="24"/>
        </w:rPr>
        <w:t>法定代表人：陈共炎</w:t>
      </w:r>
    </w:p>
    <w:p>
      <w:pPr>
        <w:adjustRightInd w:val="0"/>
        <w:snapToGrid w:val="0"/>
        <w:spacing w:line="360" w:lineRule="auto"/>
        <w:ind w:firstLine="480" w:firstLineChars="200"/>
        <w:rPr>
          <w:sz w:val="24"/>
        </w:rPr>
      </w:pPr>
      <w:r>
        <w:rPr>
          <w:rFonts w:hint="eastAsia"/>
          <w:sz w:val="24"/>
        </w:rPr>
        <w:t>电话：010-83574507</w:t>
      </w:r>
    </w:p>
    <w:p>
      <w:pPr>
        <w:adjustRightInd w:val="0"/>
        <w:snapToGrid w:val="0"/>
        <w:spacing w:line="360" w:lineRule="auto"/>
        <w:ind w:firstLine="480" w:firstLineChars="200"/>
        <w:rPr>
          <w:sz w:val="24"/>
        </w:rPr>
      </w:pPr>
      <w:r>
        <w:rPr>
          <w:rFonts w:hint="eastAsia"/>
          <w:sz w:val="24"/>
        </w:rPr>
        <w:t>联系人：辛国政</w:t>
      </w:r>
    </w:p>
    <w:p>
      <w:pPr>
        <w:adjustRightInd w:val="0"/>
        <w:snapToGrid w:val="0"/>
        <w:spacing w:line="360" w:lineRule="auto"/>
        <w:ind w:firstLine="480" w:firstLineChars="200"/>
        <w:rPr>
          <w:sz w:val="24"/>
        </w:rPr>
      </w:pPr>
      <w:r>
        <w:rPr>
          <w:rFonts w:hint="eastAsia"/>
          <w:sz w:val="24"/>
        </w:rPr>
        <w:t>客户服务电话：400-888-8888</w:t>
      </w:r>
    </w:p>
    <w:p>
      <w:pPr>
        <w:adjustRightInd w:val="0"/>
        <w:snapToGrid w:val="0"/>
        <w:spacing w:line="360" w:lineRule="auto"/>
        <w:ind w:firstLine="480" w:firstLineChars="200"/>
        <w:rPr>
          <w:sz w:val="24"/>
        </w:rPr>
      </w:pPr>
      <w:r>
        <w:rPr>
          <w:rFonts w:hint="eastAsia"/>
          <w:sz w:val="24"/>
        </w:rPr>
        <w:t xml:space="preserve">网址：www.chinastock.com.cn </w:t>
      </w:r>
    </w:p>
    <w:p>
      <w:pPr>
        <w:adjustRightInd w:val="0"/>
        <w:snapToGrid w:val="0"/>
        <w:spacing w:line="360" w:lineRule="auto"/>
        <w:ind w:firstLine="480" w:firstLineChars="200"/>
        <w:rPr>
          <w:sz w:val="24"/>
        </w:rPr>
      </w:pPr>
      <w:r>
        <w:rPr>
          <w:rFonts w:hint="eastAsia"/>
          <w:sz w:val="24"/>
        </w:rPr>
        <w:t>（10）招商证券股份有限公司</w:t>
      </w:r>
    </w:p>
    <w:p>
      <w:pPr>
        <w:adjustRightInd w:val="0"/>
        <w:snapToGrid w:val="0"/>
        <w:spacing w:line="360" w:lineRule="auto"/>
        <w:ind w:firstLine="480" w:firstLineChars="200"/>
        <w:rPr>
          <w:sz w:val="24"/>
        </w:rPr>
      </w:pPr>
      <w:r>
        <w:rPr>
          <w:rFonts w:hint="eastAsia"/>
          <w:sz w:val="24"/>
        </w:rPr>
        <w:t>住所：深圳市福田区福田街道福华一路111号</w:t>
      </w:r>
    </w:p>
    <w:p>
      <w:pPr>
        <w:adjustRightInd w:val="0"/>
        <w:snapToGrid w:val="0"/>
        <w:spacing w:line="360" w:lineRule="auto"/>
        <w:ind w:firstLine="480" w:firstLineChars="200"/>
        <w:rPr>
          <w:sz w:val="24"/>
        </w:rPr>
      </w:pPr>
      <w:r>
        <w:rPr>
          <w:rFonts w:hint="eastAsia"/>
          <w:sz w:val="24"/>
        </w:rPr>
        <w:t>办公地址：深圳市福田区益田路江苏大厦A座38-45层</w:t>
      </w:r>
    </w:p>
    <w:p>
      <w:pPr>
        <w:adjustRightInd w:val="0"/>
        <w:snapToGrid w:val="0"/>
        <w:spacing w:line="360" w:lineRule="auto"/>
        <w:ind w:firstLine="480" w:firstLineChars="200"/>
        <w:rPr>
          <w:sz w:val="24"/>
        </w:rPr>
      </w:pPr>
      <w:r>
        <w:rPr>
          <w:rFonts w:hint="eastAsia"/>
          <w:sz w:val="24"/>
        </w:rPr>
        <w:t>法定代表人：霍达</w:t>
      </w:r>
    </w:p>
    <w:p>
      <w:pPr>
        <w:adjustRightInd w:val="0"/>
        <w:snapToGrid w:val="0"/>
        <w:spacing w:line="360" w:lineRule="auto"/>
        <w:ind w:firstLine="480" w:firstLineChars="200"/>
        <w:rPr>
          <w:sz w:val="24"/>
        </w:rPr>
      </w:pPr>
      <w:r>
        <w:rPr>
          <w:rFonts w:hint="eastAsia"/>
          <w:sz w:val="24"/>
        </w:rPr>
        <w:t>电话：（0755）82943666</w:t>
      </w:r>
    </w:p>
    <w:p>
      <w:pPr>
        <w:adjustRightInd w:val="0"/>
        <w:snapToGrid w:val="0"/>
        <w:spacing w:line="360" w:lineRule="auto"/>
        <w:ind w:firstLine="480" w:firstLineChars="200"/>
        <w:rPr>
          <w:sz w:val="24"/>
        </w:rPr>
      </w:pPr>
      <w:r>
        <w:rPr>
          <w:rFonts w:hint="eastAsia"/>
          <w:sz w:val="24"/>
        </w:rPr>
        <w:t>传真：（0755）82943636</w:t>
      </w:r>
    </w:p>
    <w:p>
      <w:pPr>
        <w:adjustRightInd w:val="0"/>
        <w:snapToGrid w:val="0"/>
        <w:spacing w:line="360" w:lineRule="auto"/>
        <w:ind w:firstLine="480" w:firstLineChars="200"/>
        <w:rPr>
          <w:sz w:val="24"/>
        </w:rPr>
      </w:pPr>
      <w:r>
        <w:rPr>
          <w:rFonts w:hint="eastAsia"/>
          <w:sz w:val="24"/>
        </w:rPr>
        <w:t>联系人：黄婵君</w:t>
      </w:r>
    </w:p>
    <w:p>
      <w:pPr>
        <w:adjustRightInd w:val="0"/>
        <w:snapToGrid w:val="0"/>
        <w:spacing w:line="360" w:lineRule="auto"/>
        <w:ind w:firstLine="480" w:firstLineChars="200"/>
        <w:rPr>
          <w:sz w:val="24"/>
        </w:rPr>
      </w:pPr>
      <w:r>
        <w:rPr>
          <w:rFonts w:hint="eastAsia"/>
          <w:sz w:val="24"/>
        </w:rPr>
        <w:t>客户服务电话：400-8888-111/95565</w:t>
      </w:r>
    </w:p>
    <w:p>
      <w:pPr>
        <w:adjustRightInd w:val="0"/>
        <w:snapToGrid w:val="0"/>
        <w:spacing w:line="360" w:lineRule="auto"/>
        <w:ind w:firstLine="480" w:firstLineChars="200"/>
        <w:rPr>
          <w:sz w:val="24"/>
        </w:rPr>
      </w:pPr>
      <w:r>
        <w:rPr>
          <w:rFonts w:hint="eastAsia"/>
          <w:sz w:val="24"/>
        </w:rPr>
        <w:t>网址：www.newone.com.cn</w:t>
      </w:r>
    </w:p>
    <w:p>
      <w:pPr>
        <w:adjustRightInd w:val="0"/>
        <w:snapToGrid w:val="0"/>
        <w:spacing w:line="360" w:lineRule="auto"/>
        <w:ind w:firstLine="480" w:firstLineChars="200"/>
        <w:rPr>
          <w:sz w:val="24"/>
        </w:rPr>
      </w:pPr>
      <w:r>
        <w:rPr>
          <w:rFonts w:hint="eastAsia"/>
          <w:sz w:val="24"/>
        </w:rPr>
        <w:t>（11）兴业证券股份有限公司</w:t>
      </w:r>
    </w:p>
    <w:p>
      <w:pPr>
        <w:adjustRightInd w:val="0"/>
        <w:snapToGrid w:val="0"/>
        <w:spacing w:line="360" w:lineRule="auto"/>
        <w:ind w:firstLine="480" w:firstLineChars="200"/>
        <w:rPr>
          <w:sz w:val="24"/>
        </w:rPr>
      </w:pPr>
      <w:r>
        <w:rPr>
          <w:rFonts w:hint="eastAsia"/>
          <w:sz w:val="24"/>
        </w:rPr>
        <w:t>住所：福州市湖东路268号</w:t>
      </w:r>
    </w:p>
    <w:p>
      <w:pPr>
        <w:adjustRightInd w:val="0"/>
        <w:snapToGrid w:val="0"/>
        <w:spacing w:line="360" w:lineRule="auto"/>
        <w:ind w:firstLine="480" w:firstLineChars="200"/>
        <w:rPr>
          <w:sz w:val="24"/>
        </w:rPr>
      </w:pPr>
      <w:r>
        <w:rPr>
          <w:rFonts w:hint="eastAsia"/>
          <w:sz w:val="24"/>
        </w:rPr>
        <w:t>办公地址：上海市浦东新区长柳路36号</w:t>
      </w:r>
    </w:p>
    <w:p>
      <w:pPr>
        <w:adjustRightInd w:val="0"/>
        <w:snapToGrid w:val="0"/>
        <w:spacing w:line="360" w:lineRule="auto"/>
        <w:ind w:firstLine="480" w:firstLineChars="200"/>
        <w:rPr>
          <w:sz w:val="24"/>
        </w:rPr>
      </w:pPr>
      <w:r>
        <w:rPr>
          <w:rFonts w:hint="eastAsia"/>
          <w:sz w:val="24"/>
        </w:rPr>
        <w:t>法定代表人：杨华辉</w:t>
      </w:r>
    </w:p>
    <w:p>
      <w:pPr>
        <w:adjustRightInd w:val="0"/>
        <w:snapToGrid w:val="0"/>
        <w:spacing w:line="360" w:lineRule="auto"/>
        <w:ind w:firstLine="480" w:firstLineChars="200"/>
        <w:rPr>
          <w:sz w:val="24"/>
        </w:rPr>
      </w:pPr>
      <w:r>
        <w:rPr>
          <w:rFonts w:hint="eastAsia"/>
          <w:sz w:val="24"/>
        </w:rPr>
        <w:t>电话： 021-38565547</w:t>
      </w:r>
    </w:p>
    <w:p>
      <w:pPr>
        <w:adjustRightInd w:val="0"/>
        <w:snapToGrid w:val="0"/>
        <w:spacing w:line="360" w:lineRule="auto"/>
        <w:ind w:firstLine="480" w:firstLineChars="200"/>
        <w:rPr>
          <w:sz w:val="24"/>
        </w:rPr>
      </w:pPr>
      <w:r>
        <w:rPr>
          <w:rFonts w:hint="eastAsia"/>
          <w:sz w:val="24"/>
        </w:rPr>
        <w:t>联系人：乔琳雪</w:t>
      </w:r>
    </w:p>
    <w:p>
      <w:pPr>
        <w:adjustRightInd w:val="0"/>
        <w:snapToGrid w:val="0"/>
        <w:spacing w:line="360" w:lineRule="auto"/>
        <w:ind w:firstLine="480" w:firstLineChars="200"/>
        <w:rPr>
          <w:sz w:val="24"/>
        </w:rPr>
      </w:pPr>
      <w:r>
        <w:rPr>
          <w:rFonts w:hint="eastAsia"/>
          <w:sz w:val="24"/>
        </w:rPr>
        <w:t>网址： www.xyzq.com.cn</w:t>
      </w:r>
    </w:p>
    <w:p>
      <w:pPr>
        <w:adjustRightInd w:val="0"/>
        <w:snapToGrid w:val="0"/>
        <w:spacing w:line="360" w:lineRule="auto"/>
        <w:ind w:firstLine="480" w:firstLineChars="200"/>
        <w:rPr>
          <w:sz w:val="24"/>
        </w:rPr>
      </w:pPr>
      <w:r>
        <w:rPr>
          <w:rFonts w:hint="eastAsia"/>
          <w:sz w:val="24"/>
        </w:rPr>
        <w:t xml:space="preserve">客户服务电话：95562 </w:t>
      </w:r>
    </w:p>
    <w:p>
      <w:pPr>
        <w:adjustRightInd w:val="0"/>
        <w:snapToGrid w:val="0"/>
        <w:spacing w:line="360" w:lineRule="auto"/>
        <w:ind w:firstLine="480" w:firstLineChars="200"/>
        <w:rPr>
          <w:sz w:val="24"/>
        </w:rPr>
      </w:pPr>
      <w:r>
        <w:rPr>
          <w:rFonts w:hint="eastAsia"/>
          <w:sz w:val="24"/>
        </w:rPr>
        <w:t>（12）中信证券股份有限公司</w:t>
      </w:r>
    </w:p>
    <w:p>
      <w:pPr>
        <w:adjustRightInd w:val="0"/>
        <w:snapToGrid w:val="0"/>
        <w:spacing w:line="360" w:lineRule="auto"/>
        <w:ind w:firstLine="480" w:firstLineChars="200"/>
        <w:rPr>
          <w:sz w:val="24"/>
        </w:rPr>
      </w:pPr>
      <w:r>
        <w:rPr>
          <w:rFonts w:hint="eastAsia"/>
          <w:sz w:val="24"/>
        </w:rPr>
        <w:t>住所：广东省深圳市福田区中心三路8号卓越时代广场（二期）北座</w:t>
      </w:r>
    </w:p>
    <w:p>
      <w:pPr>
        <w:adjustRightInd w:val="0"/>
        <w:snapToGrid w:val="0"/>
        <w:spacing w:line="360" w:lineRule="auto"/>
        <w:ind w:firstLine="480" w:firstLineChars="200"/>
        <w:rPr>
          <w:sz w:val="24"/>
        </w:rPr>
      </w:pPr>
      <w:r>
        <w:rPr>
          <w:rFonts w:hint="eastAsia"/>
          <w:sz w:val="24"/>
        </w:rPr>
        <w:t>办公地址：北京市朝阳区亮马桥路48号中信证券大厦</w:t>
      </w:r>
    </w:p>
    <w:p>
      <w:pPr>
        <w:adjustRightInd w:val="0"/>
        <w:snapToGrid w:val="0"/>
        <w:spacing w:line="360" w:lineRule="auto"/>
        <w:ind w:firstLine="480" w:firstLineChars="200"/>
        <w:rPr>
          <w:sz w:val="24"/>
        </w:rPr>
      </w:pPr>
      <w:r>
        <w:rPr>
          <w:rFonts w:hint="eastAsia"/>
          <w:sz w:val="24"/>
        </w:rPr>
        <w:t>法定代表人：张佑君</w:t>
      </w:r>
    </w:p>
    <w:p>
      <w:pPr>
        <w:adjustRightInd w:val="0"/>
        <w:snapToGrid w:val="0"/>
        <w:spacing w:line="360" w:lineRule="auto"/>
        <w:ind w:firstLine="480" w:firstLineChars="200"/>
        <w:rPr>
          <w:sz w:val="24"/>
        </w:rPr>
      </w:pPr>
      <w:r>
        <w:rPr>
          <w:rFonts w:hint="eastAsia"/>
          <w:sz w:val="24"/>
        </w:rPr>
        <w:t>电话：010-60838888</w:t>
      </w:r>
    </w:p>
    <w:p>
      <w:pPr>
        <w:adjustRightInd w:val="0"/>
        <w:snapToGrid w:val="0"/>
        <w:spacing w:line="360" w:lineRule="auto"/>
        <w:ind w:firstLine="480" w:firstLineChars="200"/>
        <w:rPr>
          <w:sz w:val="24"/>
        </w:rPr>
      </w:pPr>
      <w:r>
        <w:rPr>
          <w:rFonts w:hint="eastAsia"/>
          <w:sz w:val="24"/>
        </w:rPr>
        <w:t>客服电话：95548</w:t>
      </w:r>
    </w:p>
    <w:p>
      <w:pPr>
        <w:adjustRightInd w:val="0"/>
        <w:snapToGrid w:val="0"/>
        <w:spacing w:line="360" w:lineRule="auto"/>
        <w:ind w:firstLine="480" w:firstLineChars="200"/>
        <w:rPr>
          <w:sz w:val="24"/>
        </w:rPr>
      </w:pPr>
      <w:r>
        <w:rPr>
          <w:rFonts w:hint="eastAsia"/>
          <w:sz w:val="24"/>
        </w:rPr>
        <w:t>网址：www.cs.ecitic.com</w:t>
      </w:r>
    </w:p>
    <w:p>
      <w:pPr>
        <w:adjustRightInd w:val="0"/>
        <w:snapToGrid w:val="0"/>
        <w:spacing w:line="360" w:lineRule="auto"/>
        <w:ind w:firstLine="480" w:firstLineChars="200"/>
        <w:rPr>
          <w:sz w:val="24"/>
        </w:rPr>
      </w:pPr>
      <w:r>
        <w:rPr>
          <w:rFonts w:hint="eastAsia"/>
          <w:sz w:val="24"/>
        </w:rPr>
        <w:t>（13）申万宏源证券有限公司</w:t>
      </w:r>
    </w:p>
    <w:p>
      <w:pPr>
        <w:adjustRightInd w:val="0"/>
        <w:snapToGrid w:val="0"/>
        <w:spacing w:line="360" w:lineRule="auto"/>
        <w:ind w:firstLine="480" w:firstLineChars="200"/>
        <w:rPr>
          <w:sz w:val="24"/>
        </w:rPr>
      </w:pPr>
      <w:r>
        <w:rPr>
          <w:rFonts w:hint="eastAsia"/>
          <w:sz w:val="24"/>
        </w:rPr>
        <w:t xml:space="preserve">住所：上海市徐汇区长乐路989号世纪商贸广场45层 </w:t>
      </w:r>
    </w:p>
    <w:p>
      <w:pPr>
        <w:adjustRightInd w:val="0"/>
        <w:snapToGrid w:val="0"/>
        <w:spacing w:line="360" w:lineRule="auto"/>
        <w:ind w:firstLine="480" w:firstLineChars="200"/>
        <w:rPr>
          <w:sz w:val="24"/>
        </w:rPr>
      </w:pPr>
      <w:r>
        <w:rPr>
          <w:rFonts w:hint="eastAsia"/>
          <w:sz w:val="24"/>
        </w:rPr>
        <w:t>办公地址：上海市徐汇区长乐路989号世纪商贸广场45层</w:t>
      </w:r>
    </w:p>
    <w:p>
      <w:pPr>
        <w:adjustRightInd w:val="0"/>
        <w:snapToGrid w:val="0"/>
        <w:spacing w:line="360" w:lineRule="auto"/>
        <w:ind w:firstLine="480" w:firstLineChars="200"/>
        <w:rPr>
          <w:sz w:val="24"/>
        </w:rPr>
      </w:pPr>
      <w:r>
        <w:rPr>
          <w:rFonts w:hint="eastAsia"/>
          <w:sz w:val="24"/>
        </w:rPr>
        <w:t>法定代表人：杨玉成</w:t>
      </w:r>
    </w:p>
    <w:p>
      <w:pPr>
        <w:adjustRightInd w:val="0"/>
        <w:snapToGrid w:val="0"/>
        <w:spacing w:line="360" w:lineRule="auto"/>
        <w:ind w:firstLine="480" w:firstLineChars="200"/>
        <w:rPr>
          <w:sz w:val="24"/>
        </w:rPr>
      </w:pPr>
      <w:r>
        <w:rPr>
          <w:rFonts w:hint="eastAsia"/>
          <w:sz w:val="24"/>
        </w:rPr>
        <w:t>电话：（021）33389888</w:t>
      </w:r>
    </w:p>
    <w:p>
      <w:pPr>
        <w:adjustRightInd w:val="0"/>
        <w:snapToGrid w:val="0"/>
        <w:spacing w:line="360" w:lineRule="auto"/>
        <w:ind w:firstLine="480" w:firstLineChars="200"/>
        <w:rPr>
          <w:sz w:val="24"/>
        </w:rPr>
      </w:pPr>
      <w:r>
        <w:rPr>
          <w:rFonts w:hint="eastAsia"/>
          <w:sz w:val="24"/>
        </w:rPr>
        <w:t>联系人：李清怡</w:t>
      </w:r>
    </w:p>
    <w:p>
      <w:pPr>
        <w:adjustRightInd w:val="0"/>
        <w:snapToGrid w:val="0"/>
        <w:spacing w:line="360" w:lineRule="auto"/>
        <w:ind w:firstLine="480" w:firstLineChars="200"/>
        <w:rPr>
          <w:sz w:val="24"/>
        </w:rPr>
      </w:pPr>
      <w:r>
        <w:rPr>
          <w:rFonts w:hint="eastAsia"/>
          <w:sz w:val="24"/>
        </w:rPr>
        <w:t>客户服务电话：95523/400-800-0562</w:t>
      </w:r>
    </w:p>
    <w:p>
      <w:pPr>
        <w:adjustRightInd w:val="0"/>
        <w:snapToGrid w:val="0"/>
        <w:spacing w:line="360" w:lineRule="auto"/>
        <w:ind w:firstLine="480" w:firstLineChars="200"/>
        <w:rPr>
          <w:sz w:val="24"/>
        </w:rPr>
      </w:pPr>
      <w:r>
        <w:rPr>
          <w:rFonts w:hint="eastAsia"/>
          <w:sz w:val="24"/>
        </w:rPr>
        <w:t>网址：www.sywg.com</w:t>
      </w:r>
    </w:p>
    <w:p>
      <w:pPr>
        <w:adjustRightInd w:val="0"/>
        <w:snapToGrid w:val="0"/>
        <w:spacing w:line="360" w:lineRule="auto"/>
        <w:ind w:firstLine="480" w:firstLineChars="200"/>
        <w:rPr>
          <w:sz w:val="24"/>
        </w:rPr>
      </w:pPr>
      <w:r>
        <w:rPr>
          <w:rFonts w:hint="eastAsia"/>
          <w:sz w:val="24"/>
        </w:rPr>
        <w:t>（14）国都证券股份有限公司</w:t>
      </w:r>
    </w:p>
    <w:p>
      <w:pPr>
        <w:adjustRightInd w:val="0"/>
        <w:snapToGrid w:val="0"/>
        <w:spacing w:line="360" w:lineRule="auto"/>
        <w:ind w:firstLine="480" w:firstLineChars="200"/>
        <w:rPr>
          <w:sz w:val="24"/>
        </w:rPr>
      </w:pPr>
      <w:r>
        <w:rPr>
          <w:rFonts w:hint="eastAsia"/>
          <w:sz w:val="24"/>
        </w:rPr>
        <w:t>住所：北京市东城区东直门南大街3号国华投资大厦9层10层</w:t>
      </w:r>
    </w:p>
    <w:p>
      <w:pPr>
        <w:adjustRightInd w:val="0"/>
        <w:snapToGrid w:val="0"/>
        <w:spacing w:line="360" w:lineRule="auto"/>
        <w:ind w:firstLine="480" w:firstLineChars="200"/>
        <w:rPr>
          <w:sz w:val="24"/>
        </w:rPr>
      </w:pPr>
      <w:r>
        <w:rPr>
          <w:rFonts w:hint="eastAsia"/>
          <w:sz w:val="24"/>
        </w:rPr>
        <w:t>办公地址：北京市东城区东直门南大街3号国华投资大厦9层10层</w:t>
      </w:r>
    </w:p>
    <w:p>
      <w:pPr>
        <w:adjustRightInd w:val="0"/>
        <w:snapToGrid w:val="0"/>
        <w:spacing w:line="360" w:lineRule="auto"/>
        <w:ind w:firstLine="480" w:firstLineChars="200"/>
        <w:rPr>
          <w:sz w:val="24"/>
        </w:rPr>
      </w:pPr>
      <w:r>
        <w:rPr>
          <w:rFonts w:hint="eastAsia"/>
          <w:sz w:val="24"/>
        </w:rPr>
        <w:t>法定代表人：王少华</w:t>
      </w:r>
    </w:p>
    <w:p>
      <w:pPr>
        <w:adjustRightInd w:val="0"/>
        <w:snapToGrid w:val="0"/>
        <w:spacing w:line="360" w:lineRule="auto"/>
        <w:ind w:firstLine="480" w:firstLineChars="200"/>
        <w:rPr>
          <w:sz w:val="24"/>
        </w:rPr>
      </w:pPr>
      <w:r>
        <w:rPr>
          <w:rFonts w:hint="eastAsia"/>
          <w:sz w:val="24"/>
        </w:rPr>
        <w:t>客户服务电话：400-818-8118</w:t>
      </w:r>
    </w:p>
    <w:p>
      <w:pPr>
        <w:adjustRightInd w:val="0"/>
        <w:snapToGrid w:val="0"/>
        <w:spacing w:line="360" w:lineRule="auto"/>
        <w:ind w:firstLine="480" w:firstLineChars="200"/>
        <w:rPr>
          <w:sz w:val="24"/>
        </w:rPr>
      </w:pPr>
      <w:r>
        <w:rPr>
          <w:rFonts w:hint="eastAsia"/>
          <w:sz w:val="24"/>
        </w:rPr>
        <w:t>网址：www.guodu.com</w:t>
      </w:r>
    </w:p>
    <w:p>
      <w:pPr>
        <w:adjustRightInd w:val="0"/>
        <w:snapToGrid w:val="0"/>
        <w:spacing w:line="360" w:lineRule="auto"/>
        <w:ind w:firstLine="480" w:firstLineChars="200"/>
        <w:rPr>
          <w:sz w:val="24"/>
        </w:rPr>
      </w:pPr>
      <w:r>
        <w:rPr>
          <w:rFonts w:hint="eastAsia"/>
          <w:sz w:val="24"/>
        </w:rPr>
        <w:t>（15）中信证券（山东）有限责任公司</w:t>
      </w:r>
    </w:p>
    <w:p>
      <w:pPr>
        <w:adjustRightInd w:val="0"/>
        <w:snapToGrid w:val="0"/>
        <w:spacing w:line="360" w:lineRule="auto"/>
        <w:ind w:firstLine="480" w:firstLineChars="200"/>
        <w:rPr>
          <w:sz w:val="24"/>
        </w:rPr>
      </w:pPr>
      <w:r>
        <w:rPr>
          <w:rFonts w:hint="eastAsia"/>
          <w:sz w:val="24"/>
        </w:rPr>
        <w:t>住所：青岛市崂山区深圳路222号1号楼2001</w:t>
      </w:r>
    </w:p>
    <w:p>
      <w:pPr>
        <w:adjustRightInd w:val="0"/>
        <w:snapToGrid w:val="0"/>
        <w:spacing w:line="360" w:lineRule="auto"/>
        <w:ind w:firstLine="480" w:firstLineChars="200"/>
        <w:rPr>
          <w:sz w:val="24"/>
        </w:rPr>
      </w:pPr>
      <w:r>
        <w:rPr>
          <w:rFonts w:hint="eastAsia"/>
          <w:sz w:val="24"/>
        </w:rPr>
        <w:t>办公地址：青岛市市南区东海西路28号龙翔广场东座5层</w:t>
      </w:r>
    </w:p>
    <w:p>
      <w:pPr>
        <w:adjustRightInd w:val="0"/>
        <w:snapToGrid w:val="0"/>
        <w:spacing w:line="360" w:lineRule="auto"/>
        <w:ind w:firstLine="480" w:firstLineChars="200"/>
        <w:rPr>
          <w:sz w:val="24"/>
        </w:rPr>
      </w:pPr>
      <w:r>
        <w:rPr>
          <w:rFonts w:hint="eastAsia"/>
          <w:sz w:val="24"/>
        </w:rPr>
        <w:t>法定代表人：姜晓林</w:t>
      </w:r>
    </w:p>
    <w:p>
      <w:pPr>
        <w:adjustRightInd w:val="0"/>
        <w:snapToGrid w:val="0"/>
        <w:spacing w:line="360" w:lineRule="auto"/>
        <w:ind w:firstLine="480" w:firstLineChars="200"/>
        <w:rPr>
          <w:sz w:val="24"/>
        </w:rPr>
      </w:pPr>
      <w:r>
        <w:rPr>
          <w:rFonts w:hint="eastAsia"/>
          <w:sz w:val="24"/>
        </w:rPr>
        <w:t>电话：0531-89606166</w:t>
      </w:r>
    </w:p>
    <w:p>
      <w:pPr>
        <w:adjustRightInd w:val="0"/>
        <w:snapToGrid w:val="0"/>
        <w:spacing w:line="360" w:lineRule="auto"/>
        <w:ind w:firstLine="480" w:firstLineChars="200"/>
        <w:rPr>
          <w:sz w:val="24"/>
        </w:rPr>
      </w:pPr>
      <w:r>
        <w:rPr>
          <w:rFonts w:hint="eastAsia"/>
          <w:sz w:val="24"/>
        </w:rPr>
        <w:t>传真：0532-85022605</w:t>
      </w:r>
    </w:p>
    <w:p>
      <w:pPr>
        <w:adjustRightInd w:val="0"/>
        <w:snapToGrid w:val="0"/>
        <w:spacing w:line="360" w:lineRule="auto"/>
        <w:ind w:firstLine="480" w:firstLineChars="200"/>
        <w:rPr>
          <w:sz w:val="24"/>
        </w:rPr>
      </w:pPr>
      <w:r>
        <w:rPr>
          <w:rFonts w:hint="eastAsia"/>
          <w:sz w:val="24"/>
        </w:rPr>
        <w:t>联系人：焦刚</w:t>
      </w:r>
    </w:p>
    <w:p>
      <w:pPr>
        <w:adjustRightInd w:val="0"/>
        <w:snapToGrid w:val="0"/>
        <w:spacing w:line="360" w:lineRule="auto"/>
        <w:ind w:firstLine="480" w:firstLineChars="200"/>
        <w:rPr>
          <w:sz w:val="24"/>
        </w:rPr>
      </w:pPr>
      <w:r>
        <w:rPr>
          <w:rFonts w:hint="eastAsia"/>
          <w:sz w:val="24"/>
        </w:rPr>
        <w:t>客户服务电话：95548</w:t>
      </w:r>
    </w:p>
    <w:p>
      <w:pPr>
        <w:adjustRightInd w:val="0"/>
        <w:snapToGrid w:val="0"/>
        <w:spacing w:line="360" w:lineRule="auto"/>
        <w:ind w:firstLine="480" w:firstLineChars="200"/>
        <w:rPr>
          <w:sz w:val="24"/>
        </w:rPr>
      </w:pPr>
      <w:r>
        <w:rPr>
          <w:rFonts w:hint="eastAsia"/>
          <w:sz w:val="24"/>
        </w:rPr>
        <w:t>网址：sd.citics.com</w:t>
      </w:r>
    </w:p>
    <w:p>
      <w:pPr>
        <w:adjustRightInd w:val="0"/>
        <w:snapToGrid w:val="0"/>
        <w:spacing w:line="360" w:lineRule="auto"/>
        <w:ind w:firstLine="480" w:firstLineChars="200"/>
        <w:rPr>
          <w:sz w:val="24"/>
        </w:rPr>
      </w:pPr>
      <w:r>
        <w:rPr>
          <w:rFonts w:hint="eastAsia"/>
          <w:sz w:val="24"/>
        </w:rPr>
        <w:t>（16）安信证券股份有限公司</w:t>
      </w:r>
    </w:p>
    <w:p>
      <w:pPr>
        <w:adjustRightInd w:val="0"/>
        <w:snapToGrid w:val="0"/>
        <w:spacing w:line="360" w:lineRule="auto"/>
        <w:ind w:firstLine="480" w:firstLineChars="200"/>
        <w:rPr>
          <w:sz w:val="24"/>
        </w:rPr>
      </w:pPr>
      <w:r>
        <w:rPr>
          <w:rFonts w:hint="eastAsia"/>
          <w:sz w:val="24"/>
        </w:rPr>
        <w:t>住所：深圳市福田区金田路4018号安联大厦35层、28层A02单元</w:t>
      </w:r>
    </w:p>
    <w:p>
      <w:pPr>
        <w:adjustRightInd w:val="0"/>
        <w:snapToGrid w:val="0"/>
        <w:spacing w:line="360" w:lineRule="auto"/>
        <w:ind w:firstLine="480" w:firstLineChars="200"/>
        <w:rPr>
          <w:sz w:val="24"/>
        </w:rPr>
      </w:pPr>
      <w:r>
        <w:rPr>
          <w:rFonts w:hint="eastAsia"/>
          <w:sz w:val="24"/>
        </w:rPr>
        <w:t>办公地址：深圳市福田区金田路4018号安联大厦35层、28层A02单元</w:t>
      </w:r>
    </w:p>
    <w:p>
      <w:pPr>
        <w:adjustRightInd w:val="0"/>
        <w:snapToGrid w:val="0"/>
        <w:spacing w:line="360" w:lineRule="auto"/>
        <w:ind w:firstLine="480" w:firstLineChars="200"/>
        <w:rPr>
          <w:sz w:val="24"/>
        </w:rPr>
      </w:pPr>
      <w:r>
        <w:rPr>
          <w:rFonts w:hint="eastAsia"/>
          <w:sz w:val="24"/>
        </w:rPr>
        <w:t>法定代表人：王连志</w:t>
      </w:r>
    </w:p>
    <w:p>
      <w:pPr>
        <w:adjustRightInd w:val="0"/>
        <w:snapToGrid w:val="0"/>
        <w:spacing w:line="360" w:lineRule="auto"/>
        <w:ind w:firstLine="480" w:firstLineChars="200"/>
        <w:rPr>
          <w:sz w:val="24"/>
        </w:rPr>
      </w:pPr>
      <w:r>
        <w:rPr>
          <w:rFonts w:hint="eastAsia"/>
          <w:sz w:val="24"/>
        </w:rPr>
        <w:t>电话：（0755）82558305</w:t>
      </w:r>
    </w:p>
    <w:p>
      <w:pPr>
        <w:adjustRightInd w:val="0"/>
        <w:snapToGrid w:val="0"/>
        <w:spacing w:line="360" w:lineRule="auto"/>
        <w:ind w:firstLine="480" w:firstLineChars="200"/>
        <w:rPr>
          <w:sz w:val="24"/>
        </w:rPr>
      </w:pPr>
      <w:r>
        <w:rPr>
          <w:rFonts w:hint="eastAsia"/>
          <w:sz w:val="24"/>
        </w:rPr>
        <w:t>传真：（0755）82558355</w:t>
      </w:r>
    </w:p>
    <w:p>
      <w:pPr>
        <w:adjustRightInd w:val="0"/>
        <w:snapToGrid w:val="0"/>
        <w:spacing w:line="360" w:lineRule="auto"/>
        <w:ind w:firstLine="480" w:firstLineChars="200"/>
        <w:rPr>
          <w:sz w:val="24"/>
        </w:rPr>
      </w:pPr>
      <w:r>
        <w:rPr>
          <w:rFonts w:hint="eastAsia"/>
          <w:sz w:val="24"/>
        </w:rPr>
        <w:t>联系人：陈剑虹</w:t>
      </w:r>
    </w:p>
    <w:p>
      <w:pPr>
        <w:adjustRightInd w:val="0"/>
        <w:snapToGrid w:val="0"/>
        <w:spacing w:line="360" w:lineRule="auto"/>
        <w:ind w:firstLine="480" w:firstLineChars="200"/>
        <w:rPr>
          <w:sz w:val="24"/>
        </w:rPr>
      </w:pPr>
      <w:r>
        <w:rPr>
          <w:rFonts w:hint="eastAsia"/>
          <w:sz w:val="24"/>
        </w:rPr>
        <w:t>客户服务电话：400-800-1001</w:t>
      </w:r>
    </w:p>
    <w:p>
      <w:pPr>
        <w:adjustRightInd w:val="0"/>
        <w:snapToGrid w:val="0"/>
        <w:spacing w:line="360" w:lineRule="auto"/>
        <w:ind w:firstLine="480" w:firstLineChars="200"/>
        <w:rPr>
          <w:sz w:val="24"/>
        </w:rPr>
      </w:pPr>
      <w:r>
        <w:rPr>
          <w:rFonts w:hint="eastAsia"/>
          <w:sz w:val="24"/>
        </w:rPr>
        <w:t>网址：www.essence.com.cn</w:t>
      </w:r>
    </w:p>
    <w:p>
      <w:pPr>
        <w:adjustRightInd w:val="0"/>
        <w:snapToGrid w:val="0"/>
        <w:spacing w:line="360" w:lineRule="auto"/>
        <w:ind w:firstLine="480" w:firstLineChars="200"/>
        <w:rPr>
          <w:sz w:val="24"/>
        </w:rPr>
      </w:pPr>
      <w:r>
        <w:rPr>
          <w:rFonts w:hint="eastAsia"/>
          <w:sz w:val="24"/>
        </w:rPr>
        <w:t>（17）申万宏源西部证券有限公司</w:t>
      </w:r>
    </w:p>
    <w:p>
      <w:pPr>
        <w:adjustRightInd w:val="0"/>
        <w:snapToGrid w:val="0"/>
        <w:spacing w:line="360" w:lineRule="auto"/>
        <w:ind w:firstLine="480" w:firstLineChars="200"/>
        <w:rPr>
          <w:sz w:val="24"/>
        </w:rPr>
      </w:pPr>
      <w:r>
        <w:rPr>
          <w:rFonts w:hint="eastAsia"/>
          <w:sz w:val="24"/>
        </w:rPr>
        <w:t>住所：新疆乌鲁木齐市建设路2号</w:t>
      </w:r>
    </w:p>
    <w:p>
      <w:pPr>
        <w:adjustRightInd w:val="0"/>
        <w:snapToGrid w:val="0"/>
        <w:spacing w:line="360" w:lineRule="auto"/>
        <w:ind w:firstLine="480" w:firstLineChars="200"/>
        <w:rPr>
          <w:sz w:val="24"/>
        </w:rPr>
      </w:pPr>
      <w:r>
        <w:rPr>
          <w:rFonts w:hint="eastAsia"/>
          <w:sz w:val="24"/>
        </w:rPr>
        <w:t>办公地址：北京市西城区太平桥大街19号宏源证券</w:t>
      </w:r>
    </w:p>
    <w:p>
      <w:pPr>
        <w:adjustRightInd w:val="0"/>
        <w:snapToGrid w:val="0"/>
        <w:spacing w:line="360" w:lineRule="auto"/>
        <w:ind w:firstLine="480" w:firstLineChars="200"/>
        <w:rPr>
          <w:sz w:val="24"/>
        </w:rPr>
      </w:pPr>
      <w:r>
        <w:rPr>
          <w:rFonts w:hint="eastAsia"/>
          <w:sz w:val="24"/>
        </w:rPr>
        <w:t>法定代表人：冯戎</w:t>
      </w:r>
    </w:p>
    <w:p>
      <w:pPr>
        <w:adjustRightInd w:val="0"/>
        <w:snapToGrid w:val="0"/>
        <w:spacing w:line="360" w:lineRule="auto"/>
        <w:ind w:firstLine="480" w:firstLineChars="200"/>
        <w:rPr>
          <w:sz w:val="24"/>
        </w:rPr>
      </w:pPr>
      <w:r>
        <w:rPr>
          <w:rFonts w:hint="eastAsia"/>
          <w:sz w:val="24"/>
        </w:rPr>
        <w:t>电话：（010）88085858</w:t>
      </w:r>
    </w:p>
    <w:p>
      <w:pPr>
        <w:adjustRightInd w:val="0"/>
        <w:snapToGrid w:val="0"/>
        <w:spacing w:line="360" w:lineRule="auto"/>
        <w:ind w:firstLine="480" w:firstLineChars="200"/>
        <w:rPr>
          <w:sz w:val="24"/>
        </w:rPr>
      </w:pPr>
      <w:r>
        <w:rPr>
          <w:rFonts w:hint="eastAsia"/>
          <w:sz w:val="24"/>
        </w:rPr>
        <w:t>传真：（010）88085195</w:t>
      </w:r>
    </w:p>
    <w:p>
      <w:pPr>
        <w:adjustRightInd w:val="0"/>
        <w:snapToGrid w:val="0"/>
        <w:spacing w:line="360" w:lineRule="auto"/>
        <w:ind w:firstLine="480" w:firstLineChars="200"/>
        <w:rPr>
          <w:sz w:val="24"/>
        </w:rPr>
      </w:pPr>
      <w:r>
        <w:rPr>
          <w:rFonts w:hint="eastAsia"/>
          <w:sz w:val="24"/>
        </w:rPr>
        <w:t>联系人：李巍</w:t>
      </w:r>
    </w:p>
    <w:p>
      <w:pPr>
        <w:adjustRightInd w:val="0"/>
        <w:snapToGrid w:val="0"/>
        <w:spacing w:line="360" w:lineRule="auto"/>
        <w:ind w:firstLine="480" w:firstLineChars="200"/>
        <w:rPr>
          <w:sz w:val="24"/>
        </w:rPr>
      </w:pPr>
      <w:r>
        <w:rPr>
          <w:rFonts w:hint="eastAsia"/>
          <w:sz w:val="24"/>
        </w:rPr>
        <w:t>客户服务电话：4008-000-562</w:t>
      </w:r>
    </w:p>
    <w:p>
      <w:pPr>
        <w:adjustRightInd w:val="0"/>
        <w:snapToGrid w:val="0"/>
        <w:spacing w:line="360" w:lineRule="auto"/>
        <w:ind w:firstLine="480" w:firstLineChars="200"/>
        <w:rPr>
          <w:sz w:val="24"/>
        </w:rPr>
      </w:pPr>
      <w:r>
        <w:rPr>
          <w:rFonts w:hint="eastAsia"/>
          <w:sz w:val="24"/>
        </w:rPr>
        <w:t>网址：www.hysec.com</w:t>
      </w:r>
    </w:p>
    <w:p>
      <w:pPr>
        <w:adjustRightInd w:val="0"/>
        <w:snapToGrid w:val="0"/>
        <w:spacing w:line="360" w:lineRule="auto"/>
        <w:ind w:firstLine="480" w:firstLineChars="200"/>
        <w:rPr>
          <w:sz w:val="24"/>
        </w:rPr>
      </w:pPr>
      <w:r>
        <w:rPr>
          <w:rFonts w:hint="eastAsia"/>
          <w:sz w:val="24"/>
        </w:rPr>
        <w:t>（18）长江证券股份有限公司</w:t>
      </w:r>
    </w:p>
    <w:p>
      <w:pPr>
        <w:adjustRightInd w:val="0"/>
        <w:snapToGrid w:val="0"/>
        <w:spacing w:line="360" w:lineRule="auto"/>
        <w:ind w:firstLine="480" w:firstLineChars="200"/>
        <w:rPr>
          <w:sz w:val="24"/>
        </w:rPr>
      </w:pPr>
      <w:r>
        <w:rPr>
          <w:rFonts w:hint="eastAsia"/>
          <w:sz w:val="24"/>
        </w:rPr>
        <w:t>住所：武汉市新华路特8号长江证券大厦</w:t>
      </w:r>
    </w:p>
    <w:p>
      <w:pPr>
        <w:adjustRightInd w:val="0"/>
        <w:snapToGrid w:val="0"/>
        <w:spacing w:line="360" w:lineRule="auto"/>
        <w:ind w:firstLine="480" w:firstLineChars="200"/>
        <w:rPr>
          <w:sz w:val="24"/>
        </w:rPr>
      </w:pPr>
      <w:r>
        <w:rPr>
          <w:rFonts w:hint="eastAsia"/>
          <w:sz w:val="24"/>
        </w:rPr>
        <w:t>办公地址：武汉市新华路特8号长江证券大厦</w:t>
      </w:r>
    </w:p>
    <w:p>
      <w:pPr>
        <w:adjustRightInd w:val="0"/>
        <w:snapToGrid w:val="0"/>
        <w:spacing w:line="360" w:lineRule="auto"/>
        <w:ind w:firstLine="480" w:firstLineChars="200"/>
        <w:rPr>
          <w:sz w:val="24"/>
        </w:rPr>
      </w:pPr>
      <w:r>
        <w:rPr>
          <w:rFonts w:hint="eastAsia"/>
          <w:sz w:val="24"/>
        </w:rPr>
        <w:t>法定代表人：胡运钊</w:t>
      </w:r>
    </w:p>
    <w:p>
      <w:pPr>
        <w:adjustRightInd w:val="0"/>
        <w:snapToGrid w:val="0"/>
        <w:spacing w:line="360" w:lineRule="auto"/>
        <w:ind w:firstLine="480" w:firstLineChars="200"/>
        <w:rPr>
          <w:sz w:val="24"/>
        </w:rPr>
      </w:pPr>
      <w:r>
        <w:rPr>
          <w:rFonts w:hint="eastAsia"/>
          <w:sz w:val="24"/>
        </w:rPr>
        <w:t>电话：（027）65799999</w:t>
      </w:r>
    </w:p>
    <w:p>
      <w:pPr>
        <w:adjustRightInd w:val="0"/>
        <w:snapToGrid w:val="0"/>
        <w:spacing w:line="360" w:lineRule="auto"/>
        <w:ind w:firstLine="480" w:firstLineChars="200"/>
        <w:rPr>
          <w:sz w:val="24"/>
        </w:rPr>
      </w:pPr>
      <w:r>
        <w:rPr>
          <w:rFonts w:hint="eastAsia"/>
          <w:sz w:val="24"/>
        </w:rPr>
        <w:t>传真：（027）85481900</w:t>
      </w:r>
    </w:p>
    <w:p>
      <w:pPr>
        <w:adjustRightInd w:val="0"/>
        <w:snapToGrid w:val="0"/>
        <w:spacing w:line="360" w:lineRule="auto"/>
        <w:ind w:firstLine="480" w:firstLineChars="200"/>
        <w:rPr>
          <w:sz w:val="24"/>
        </w:rPr>
      </w:pPr>
      <w:r>
        <w:rPr>
          <w:rFonts w:hint="eastAsia"/>
          <w:sz w:val="24"/>
        </w:rPr>
        <w:t>联系人：李良</w:t>
      </w:r>
    </w:p>
    <w:p>
      <w:pPr>
        <w:adjustRightInd w:val="0"/>
        <w:snapToGrid w:val="0"/>
        <w:spacing w:line="360" w:lineRule="auto"/>
        <w:ind w:firstLine="480" w:firstLineChars="200"/>
        <w:rPr>
          <w:sz w:val="24"/>
        </w:rPr>
      </w:pPr>
      <w:r>
        <w:rPr>
          <w:rFonts w:hint="eastAsia"/>
          <w:sz w:val="24"/>
        </w:rPr>
        <w:t>客户服务电话：95579或4008-888-999</w:t>
      </w:r>
    </w:p>
    <w:p>
      <w:pPr>
        <w:adjustRightInd w:val="0"/>
        <w:snapToGrid w:val="0"/>
        <w:spacing w:line="360" w:lineRule="auto"/>
        <w:ind w:firstLine="480" w:firstLineChars="200"/>
        <w:rPr>
          <w:sz w:val="24"/>
        </w:rPr>
      </w:pPr>
      <w:r>
        <w:rPr>
          <w:rFonts w:hint="eastAsia"/>
          <w:sz w:val="24"/>
        </w:rPr>
        <w:t>网址：www.95579.com</w:t>
      </w:r>
    </w:p>
    <w:p>
      <w:pPr>
        <w:adjustRightInd w:val="0"/>
        <w:snapToGrid w:val="0"/>
        <w:spacing w:line="360" w:lineRule="auto"/>
        <w:ind w:firstLine="480" w:firstLineChars="200"/>
        <w:rPr>
          <w:sz w:val="24"/>
        </w:rPr>
      </w:pPr>
      <w:r>
        <w:rPr>
          <w:rFonts w:hint="eastAsia"/>
          <w:sz w:val="24"/>
        </w:rPr>
        <w:t>（19）中泰证券股份有限公司</w:t>
      </w:r>
    </w:p>
    <w:p>
      <w:pPr>
        <w:adjustRightInd w:val="0"/>
        <w:snapToGrid w:val="0"/>
        <w:spacing w:line="360" w:lineRule="auto"/>
        <w:ind w:firstLine="480" w:firstLineChars="200"/>
        <w:rPr>
          <w:sz w:val="24"/>
        </w:rPr>
      </w:pPr>
      <w:r>
        <w:rPr>
          <w:rFonts w:hint="eastAsia"/>
          <w:sz w:val="24"/>
        </w:rPr>
        <w:t>住所：山东省济南市市中区经七路86号</w:t>
      </w:r>
    </w:p>
    <w:p>
      <w:pPr>
        <w:adjustRightInd w:val="0"/>
        <w:snapToGrid w:val="0"/>
        <w:spacing w:line="360" w:lineRule="auto"/>
        <w:ind w:firstLine="480" w:firstLineChars="200"/>
        <w:rPr>
          <w:sz w:val="24"/>
        </w:rPr>
      </w:pPr>
      <w:r>
        <w:rPr>
          <w:rFonts w:hint="eastAsia"/>
          <w:sz w:val="24"/>
        </w:rPr>
        <w:t>办公地址：山东省济南市市中区经七路86号</w:t>
      </w:r>
    </w:p>
    <w:p>
      <w:pPr>
        <w:adjustRightInd w:val="0"/>
        <w:snapToGrid w:val="0"/>
        <w:spacing w:line="360" w:lineRule="auto"/>
        <w:ind w:firstLine="480" w:firstLineChars="200"/>
        <w:rPr>
          <w:sz w:val="24"/>
        </w:rPr>
      </w:pPr>
      <w:r>
        <w:rPr>
          <w:rFonts w:hint="eastAsia"/>
          <w:sz w:val="24"/>
        </w:rPr>
        <w:t>法定代表人：李玮</w:t>
      </w:r>
    </w:p>
    <w:p>
      <w:pPr>
        <w:adjustRightInd w:val="0"/>
        <w:snapToGrid w:val="0"/>
        <w:spacing w:line="360" w:lineRule="auto"/>
        <w:ind w:firstLine="480" w:firstLineChars="200"/>
        <w:rPr>
          <w:sz w:val="24"/>
        </w:rPr>
      </w:pPr>
      <w:r>
        <w:rPr>
          <w:rFonts w:hint="eastAsia"/>
          <w:sz w:val="24"/>
        </w:rPr>
        <w:t>电话：（0531）68889155</w:t>
      </w:r>
    </w:p>
    <w:p>
      <w:pPr>
        <w:adjustRightInd w:val="0"/>
        <w:snapToGrid w:val="0"/>
        <w:spacing w:line="360" w:lineRule="auto"/>
        <w:ind w:firstLine="480" w:firstLineChars="200"/>
        <w:rPr>
          <w:sz w:val="24"/>
        </w:rPr>
      </w:pPr>
      <w:r>
        <w:rPr>
          <w:rFonts w:hint="eastAsia"/>
          <w:sz w:val="24"/>
        </w:rPr>
        <w:t>传真：（0531）68889752</w:t>
      </w:r>
    </w:p>
    <w:p>
      <w:pPr>
        <w:adjustRightInd w:val="0"/>
        <w:snapToGrid w:val="0"/>
        <w:spacing w:line="360" w:lineRule="auto"/>
        <w:ind w:firstLine="480" w:firstLineChars="200"/>
        <w:rPr>
          <w:sz w:val="24"/>
        </w:rPr>
      </w:pPr>
      <w:r>
        <w:rPr>
          <w:rFonts w:hint="eastAsia"/>
          <w:sz w:val="24"/>
        </w:rPr>
        <w:t>联系人：许曼华</w:t>
      </w:r>
    </w:p>
    <w:p>
      <w:pPr>
        <w:adjustRightInd w:val="0"/>
        <w:snapToGrid w:val="0"/>
        <w:spacing w:line="360" w:lineRule="auto"/>
        <w:ind w:firstLine="480" w:firstLineChars="200"/>
        <w:rPr>
          <w:sz w:val="24"/>
        </w:rPr>
      </w:pPr>
      <w:r>
        <w:rPr>
          <w:rFonts w:hint="eastAsia"/>
          <w:sz w:val="24"/>
        </w:rPr>
        <w:t>客户服务电话：95538</w:t>
      </w:r>
    </w:p>
    <w:p>
      <w:pPr>
        <w:adjustRightInd w:val="0"/>
        <w:snapToGrid w:val="0"/>
        <w:spacing w:line="360" w:lineRule="auto"/>
        <w:ind w:firstLine="480" w:firstLineChars="200"/>
        <w:rPr>
          <w:sz w:val="24"/>
        </w:rPr>
      </w:pPr>
      <w:r>
        <w:rPr>
          <w:rFonts w:hint="eastAsia"/>
          <w:sz w:val="24"/>
        </w:rPr>
        <w:t>网址：www.zts.com.cn</w:t>
      </w:r>
    </w:p>
    <w:p>
      <w:pPr>
        <w:adjustRightInd w:val="0"/>
        <w:snapToGrid w:val="0"/>
        <w:spacing w:line="360" w:lineRule="auto"/>
        <w:ind w:firstLine="480" w:firstLineChars="200"/>
        <w:rPr>
          <w:sz w:val="24"/>
        </w:rPr>
      </w:pPr>
      <w:r>
        <w:rPr>
          <w:rFonts w:hint="eastAsia"/>
          <w:sz w:val="24"/>
        </w:rPr>
        <w:t>（20）江海证券有限公司</w:t>
      </w:r>
    </w:p>
    <w:p>
      <w:pPr>
        <w:adjustRightInd w:val="0"/>
        <w:snapToGrid w:val="0"/>
        <w:spacing w:line="360" w:lineRule="auto"/>
        <w:ind w:firstLine="480" w:firstLineChars="200"/>
        <w:rPr>
          <w:sz w:val="24"/>
        </w:rPr>
      </w:pPr>
      <w:r>
        <w:rPr>
          <w:rFonts w:hint="eastAsia"/>
          <w:sz w:val="24"/>
        </w:rPr>
        <w:t>住所：黑龙江省哈尔滨市香坊区赣水路56号</w:t>
      </w:r>
    </w:p>
    <w:p>
      <w:pPr>
        <w:adjustRightInd w:val="0"/>
        <w:snapToGrid w:val="0"/>
        <w:spacing w:line="360" w:lineRule="auto"/>
        <w:ind w:firstLine="480" w:firstLineChars="200"/>
        <w:rPr>
          <w:sz w:val="24"/>
        </w:rPr>
      </w:pPr>
      <w:r>
        <w:rPr>
          <w:rFonts w:hint="eastAsia"/>
          <w:sz w:val="24"/>
        </w:rPr>
        <w:t>法定代表人：孙名扬</w:t>
      </w:r>
    </w:p>
    <w:p>
      <w:pPr>
        <w:adjustRightInd w:val="0"/>
        <w:snapToGrid w:val="0"/>
        <w:spacing w:line="360" w:lineRule="auto"/>
        <w:ind w:firstLine="480" w:firstLineChars="200"/>
        <w:rPr>
          <w:sz w:val="24"/>
        </w:rPr>
      </w:pPr>
      <w:r>
        <w:rPr>
          <w:rFonts w:hint="eastAsia"/>
          <w:sz w:val="24"/>
        </w:rPr>
        <w:t>电话：（0451）85863719</w:t>
      </w:r>
    </w:p>
    <w:p>
      <w:pPr>
        <w:adjustRightInd w:val="0"/>
        <w:snapToGrid w:val="0"/>
        <w:spacing w:line="360" w:lineRule="auto"/>
        <w:ind w:firstLine="480" w:firstLineChars="200"/>
        <w:rPr>
          <w:sz w:val="24"/>
        </w:rPr>
      </w:pPr>
      <w:r>
        <w:rPr>
          <w:rFonts w:hint="eastAsia"/>
          <w:sz w:val="24"/>
        </w:rPr>
        <w:t>传真：（0451）82287211</w:t>
      </w:r>
    </w:p>
    <w:p>
      <w:pPr>
        <w:adjustRightInd w:val="0"/>
        <w:snapToGrid w:val="0"/>
        <w:spacing w:line="360" w:lineRule="auto"/>
        <w:ind w:firstLine="480" w:firstLineChars="200"/>
        <w:rPr>
          <w:sz w:val="24"/>
        </w:rPr>
      </w:pPr>
      <w:r>
        <w:rPr>
          <w:rFonts w:hint="eastAsia"/>
          <w:sz w:val="24"/>
        </w:rPr>
        <w:t>联系人：刘爽</w:t>
      </w:r>
    </w:p>
    <w:p>
      <w:pPr>
        <w:adjustRightInd w:val="0"/>
        <w:snapToGrid w:val="0"/>
        <w:spacing w:line="360" w:lineRule="auto"/>
        <w:ind w:firstLine="480" w:firstLineChars="200"/>
        <w:rPr>
          <w:sz w:val="24"/>
        </w:rPr>
      </w:pPr>
      <w:r>
        <w:rPr>
          <w:rFonts w:hint="eastAsia"/>
          <w:sz w:val="24"/>
        </w:rPr>
        <w:t>客户服务电话：400-666-2288</w:t>
      </w:r>
    </w:p>
    <w:p>
      <w:pPr>
        <w:adjustRightInd w:val="0"/>
        <w:snapToGrid w:val="0"/>
        <w:spacing w:line="360" w:lineRule="auto"/>
        <w:ind w:firstLine="480" w:firstLineChars="200"/>
        <w:rPr>
          <w:sz w:val="24"/>
        </w:rPr>
      </w:pPr>
      <w:r>
        <w:rPr>
          <w:rFonts w:hint="eastAsia"/>
          <w:sz w:val="24"/>
        </w:rPr>
        <w:t>网址：www.jhzq.com.cn</w:t>
      </w:r>
    </w:p>
    <w:p>
      <w:pPr>
        <w:adjustRightInd w:val="0"/>
        <w:snapToGrid w:val="0"/>
        <w:spacing w:line="360" w:lineRule="auto"/>
        <w:ind w:firstLine="480" w:firstLineChars="200"/>
        <w:rPr>
          <w:sz w:val="24"/>
        </w:rPr>
      </w:pPr>
      <w:r>
        <w:rPr>
          <w:rFonts w:hint="eastAsia"/>
          <w:sz w:val="24"/>
        </w:rPr>
        <w:t>（21）平安证券股份有限公司</w:t>
      </w:r>
    </w:p>
    <w:p>
      <w:pPr>
        <w:adjustRightInd w:val="0"/>
        <w:snapToGrid w:val="0"/>
        <w:spacing w:line="360" w:lineRule="auto"/>
        <w:ind w:firstLine="480" w:firstLineChars="200"/>
        <w:rPr>
          <w:sz w:val="24"/>
        </w:rPr>
      </w:pPr>
      <w:r>
        <w:rPr>
          <w:rFonts w:hint="eastAsia"/>
          <w:sz w:val="24"/>
        </w:rPr>
        <w:t>住所：深圳市福田区金田路大中华国际交易广场裙楼8楼</w:t>
      </w:r>
    </w:p>
    <w:p>
      <w:pPr>
        <w:adjustRightInd w:val="0"/>
        <w:snapToGrid w:val="0"/>
        <w:spacing w:line="360" w:lineRule="auto"/>
        <w:ind w:firstLine="480" w:firstLineChars="200"/>
        <w:rPr>
          <w:sz w:val="24"/>
        </w:rPr>
      </w:pPr>
      <w:r>
        <w:rPr>
          <w:rFonts w:hint="eastAsia"/>
          <w:sz w:val="24"/>
        </w:rPr>
        <w:t>办公地址：深圳市福田区金田路大中华国际交易广场裙楼8楼(518048)</w:t>
      </w:r>
    </w:p>
    <w:p>
      <w:pPr>
        <w:adjustRightInd w:val="0"/>
        <w:snapToGrid w:val="0"/>
        <w:spacing w:line="360" w:lineRule="auto"/>
        <w:ind w:firstLine="480" w:firstLineChars="200"/>
        <w:rPr>
          <w:sz w:val="24"/>
        </w:rPr>
      </w:pPr>
      <w:r>
        <w:rPr>
          <w:rFonts w:hint="eastAsia"/>
          <w:sz w:val="24"/>
        </w:rPr>
        <w:t>法定代表人：杨宇翔</w:t>
      </w:r>
    </w:p>
    <w:p>
      <w:pPr>
        <w:adjustRightInd w:val="0"/>
        <w:snapToGrid w:val="0"/>
        <w:spacing w:line="360" w:lineRule="auto"/>
        <w:ind w:firstLine="480" w:firstLineChars="200"/>
        <w:rPr>
          <w:sz w:val="24"/>
        </w:rPr>
      </w:pPr>
      <w:r>
        <w:rPr>
          <w:rFonts w:hint="eastAsia"/>
          <w:sz w:val="24"/>
        </w:rPr>
        <w:t>电话：（0755）22627802</w:t>
      </w:r>
    </w:p>
    <w:p>
      <w:pPr>
        <w:adjustRightInd w:val="0"/>
        <w:snapToGrid w:val="0"/>
        <w:spacing w:line="360" w:lineRule="auto"/>
        <w:ind w:firstLine="480" w:firstLineChars="200"/>
        <w:rPr>
          <w:sz w:val="24"/>
        </w:rPr>
      </w:pPr>
      <w:r>
        <w:rPr>
          <w:rFonts w:hint="eastAsia"/>
          <w:sz w:val="24"/>
        </w:rPr>
        <w:t>传真：（0755）82400862</w:t>
      </w:r>
    </w:p>
    <w:p>
      <w:pPr>
        <w:adjustRightInd w:val="0"/>
        <w:snapToGrid w:val="0"/>
        <w:spacing w:line="360" w:lineRule="auto"/>
        <w:ind w:firstLine="480" w:firstLineChars="200"/>
        <w:rPr>
          <w:sz w:val="24"/>
        </w:rPr>
      </w:pPr>
      <w:r>
        <w:rPr>
          <w:rFonts w:hint="eastAsia"/>
          <w:sz w:val="24"/>
        </w:rPr>
        <w:t>联系人：郑舒丽</w:t>
      </w:r>
    </w:p>
    <w:p>
      <w:pPr>
        <w:adjustRightInd w:val="0"/>
        <w:snapToGrid w:val="0"/>
        <w:spacing w:line="360" w:lineRule="auto"/>
        <w:ind w:firstLine="480" w:firstLineChars="200"/>
        <w:rPr>
          <w:sz w:val="24"/>
        </w:rPr>
      </w:pPr>
      <w:r>
        <w:rPr>
          <w:rFonts w:hint="eastAsia"/>
          <w:sz w:val="24"/>
        </w:rPr>
        <w:t>客户服务电话：95511-8</w:t>
      </w:r>
    </w:p>
    <w:p>
      <w:pPr>
        <w:adjustRightInd w:val="0"/>
        <w:snapToGrid w:val="0"/>
        <w:spacing w:line="360" w:lineRule="auto"/>
        <w:ind w:firstLine="480" w:firstLineChars="200"/>
        <w:rPr>
          <w:sz w:val="24"/>
        </w:rPr>
      </w:pPr>
      <w:r>
        <w:rPr>
          <w:rFonts w:hint="eastAsia"/>
          <w:sz w:val="24"/>
        </w:rPr>
        <w:t>网址：www.pingan.com</w:t>
      </w:r>
    </w:p>
    <w:p>
      <w:pPr>
        <w:adjustRightInd w:val="0"/>
        <w:snapToGrid w:val="0"/>
        <w:spacing w:line="360" w:lineRule="auto"/>
        <w:ind w:firstLine="480" w:firstLineChars="200"/>
        <w:rPr>
          <w:sz w:val="24"/>
        </w:rPr>
      </w:pPr>
      <w:r>
        <w:rPr>
          <w:rFonts w:hint="eastAsia"/>
          <w:sz w:val="24"/>
        </w:rPr>
        <w:t>（22）中国国际金融股份有限公司</w:t>
      </w:r>
    </w:p>
    <w:p>
      <w:pPr>
        <w:adjustRightInd w:val="0"/>
        <w:snapToGrid w:val="0"/>
        <w:spacing w:line="360" w:lineRule="auto"/>
        <w:ind w:firstLine="480" w:firstLineChars="200"/>
        <w:rPr>
          <w:sz w:val="24"/>
        </w:rPr>
      </w:pPr>
      <w:r>
        <w:rPr>
          <w:rFonts w:hint="eastAsia"/>
          <w:sz w:val="24"/>
        </w:rPr>
        <w:t>住所：北京建国门外大街1号国贸大厦2座27层及28层</w:t>
      </w:r>
    </w:p>
    <w:p>
      <w:pPr>
        <w:adjustRightInd w:val="0"/>
        <w:snapToGrid w:val="0"/>
        <w:spacing w:line="360" w:lineRule="auto"/>
        <w:ind w:firstLine="480" w:firstLineChars="200"/>
        <w:rPr>
          <w:sz w:val="24"/>
        </w:rPr>
      </w:pPr>
      <w:r>
        <w:rPr>
          <w:rFonts w:hint="eastAsia"/>
          <w:sz w:val="24"/>
        </w:rPr>
        <w:t>办公地址：北京建国门外大街1号国贸大厦2座27层及28层</w:t>
      </w:r>
    </w:p>
    <w:p>
      <w:pPr>
        <w:adjustRightInd w:val="0"/>
        <w:snapToGrid w:val="0"/>
        <w:spacing w:line="360" w:lineRule="auto"/>
        <w:ind w:firstLine="480" w:firstLineChars="200"/>
        <w:rPr>
          <w:sz w:val="24"/>
        </w:rPr>
      </w:pPr>
      <w:r>
        <w:rPr>
          <w:rFonts w:hint="eastAsia"/>
          <w:sz w:val="24"/>
        </w:rPr>
        <w:t>法定代表人：毕明建</w:t>
      </w:r>
    </w:p>
    <w:p>
      <w:pPr>
        <w:adjustRightInd w:val="0"/>
        <w:snapToGrid w:val="0"/>
        <w:spacing w:line="360" w:lineRule="auto"/>
        <w:ind w:firstLine="480" w:firstLineChars="200"/>
        <w:rPr>
          <w:sz w:val="24"/>
        </w:rPr>
      </w:pPr>
      <w:r>
        <w:rPr>
          <w:rFonts w:hint="eastAsia"/>
          <w:sz w:val="24"/>
        </w:rPr>
        <w:t>电话：（010）65051166</w:t>
      </w:r>
    </w:p>
    <w:p>
      <w:pPr>
        <w:adjustRightInd w:val="0"/>
        <w:snapToGrid w:val="0"/>
        <w:spacing w:line="360" w:lineRule="auto"/>
        <w:ind w:firstLine="480" w:firstLineChars="200"/>
        <w:rPr>
          <w:sz w:val="24"/>
        </w:rPr>
      </w:pPr>
      <w:r>
        <w:rPr>
          <w:rFonts w:hint="eastAsia"/>
          <w:sz w:val="24"/>
        </w:rPr>
        <w:t>传真：（010）85679203</w:t>
      </w:r>
    </w:p>
    <w:p>
      <w:pPr>
        <w:adjustRightInd w:val="0"/>
        <w:snapToGrid w:val="0"/>
        <w:spacing w:line="360" w:lineRule="auto"/>
        <w:ind w:firstLine="480" w:firstLineChars="200"/>
        <w:rPr>
          <w:sz w:val="24"/>
        </w:rPr>
      </w:pPr>
      <w:r>
        <w:rPr>
          <w:rFonts w:hint="eastAsia"/>
          <w:sz w:val="24"/>
        </w:rPr>
        <w:t>联系人：杨涵宇</w:t>
      </w:r>
    </w:p>
    <w:p>
      <w:pPr>
        <w:adjustRightInd w:val="0"/>
        <w:snapToGrid w:val="0"/>
        <w:spacing w:line="360" w:lineRule="auto"/>
        <w:ind w:firstLine="480" w:firstLineChars="200"/>
        <w:rPr>
          <w:sz w:val="24"/>
        </w:rPr>
      </w:pPr>
      <w:r>
        <w:rPr>
          <w:rFonts w:hint="eastAsia"/>
          <w:sz w:val="24"/>
        </w:rPr>
        <w:t>网址：www.cicc.com.cn</w:t>
      </w:r>
    </w:p>
    <w:p>
      <w:pPr>
        <w:adjustRightInd w:val="0"/>
        <w:snapToGrid w:val="0"/>
        <w:spacing w:line="360" w:lineRule="auto"/>
        <w:ind w:firstLine="480" w:firstLineChars="200"/>
        <w:rPr>
          <w:sz w:val="24"/>
        </w:rPr>
      </w:pPr>
      <w:r>
        <w:rPr>
          <w:rFonts w:hint="eastAsia"/>
          <w:sz w:val="24"/>
        </w:rPr>
        <w:t>（23）国金证券股份有限公司</w:t>
      </w:r>
    </w:p>
    <w:p>
      <w:pPr>
        <w:adjustRightInd w:val="0"/>
        <w:snapToGrid w:val="0"/>
        <w:spacing w:line="360" w:lineRule="auto"/>
        <w:ind w:firstLine="480" w:firstLineChars="200"/>
        <w:rPr>
          <w:sz w:val="24"/>
        </w:rPr>
      </w:pPr>
      <w:r>
        <w:rPr>
          <w:rFonts w:hint="eastAsia"/>
          <w:sz w:val="24"/>
        </w:rPr>
        <w:t>住所：四川省成都市东城根上街95号</w:t>
      </w:r>
    </w:p>
    <w:p>
      <w:pPr>
        <w:adjustRightInd w:val="0"/>
        <w:snapToGrid w:val="0"/>
        <w:spacing w:line="360" w:lineRule="auto"/>
        <w:ind w:firstLine="480" w:firstLineChars="200"/>
        <w:rPr>
          <w:sz w:val="24"/>
        </w:rPr>
      </w:pPr>
      <w:r>
        <w:rPr>
          <w:rFonts w:hint="eastAsia"/>
          <w:sz w:val="24"/>
        </w:rPr>
        <w:t>办公地址：成都市东城根上街95号</w:t>
      </w:r>
    </w:p>
    <w:p>
      <w:pPr>
        <w:adjustRightInd w:val="0"/>
        <w:snapToGrid w:val="0"/>
        <w:spacing w:line="360" w:lineRule="auto"/>
        <w:ind w:firstLine="480" w:firstLineChars="200"/>
        <w:rPr>
          <w:sz w:val="24"/>
        </w:rPr>
      </w:pPr>
      <w:r>
        <w:rPr>
          <w:rFonts w:hint="eastAsia"/>
          <w:sz w:val="24"/>
        </w:rPr>
        <w:t xml:space="preserve">法定代表人：冉云 </w:t>
      </w:r>
    </w:p>
    <w:p>
      <w:pPr>
        <w:adjustRightInd w:val="0"/>
        <w:snapToGrid w:val="0"/>
        <w:spacing w:line="360" w:lineRule="auto"/>
        <w:ind w:firstLine="480" w:firstLineChars="200"/>
        <w:rPr>
          <w:sz w:val="24"/>
        </w:rPr>
      </w:pPr>
      <w:r>
        <w:rPr>
          <w:rFonts w:hint="eastAsia"/>
          <w:sz w:val="24"/>
        </w:rPr>
        <w:t>电话：（028）86690057，（028）86690058</w:t>
      </w:r>
    </w:p>
    <w:p>
      <w:pPr>
        <w:adjustRightInd w:val="0"/>
        <w:snapToGrid w:val="0"/>
        <w:spacing w:line="360" w:lineRule="auto"/>
        <w:ind w:firstLine="480" w:firstLineChars="200"/>
        <w:rPr>
          <w:sz w:val="24"/>
        </w:rPr>
      </w:pPr>
      <w:r>
        <w:rPr>
          <w:rFonts w:hint="eastAsia"/>
          <w:sz w:val="24"/>
        </w:rPr>
        <w:t>传真：（028）86690126</w:t>
      </w:r>
    </w:p>
    <w:p>
      <w:pPr>
        <w:adjustRightInd w:val="0"/>
        <w:snapToGrid w:val="0"/>
        <w:spacing w:line="360" w:lineRule="auto"/>
        <w:ind w:firstLine="480" w:firstLineChars="200"/>
        <w:rPr>
          <w:sz w:val="24"/>
        </w:rPr>
      </w:pPr>
      <w:r>
        <w:rPr>
          <w:rFonts w:hint="eastAsia"/>
          <w:sz w:val="24"/>
        </w:rPr>
        <w:t>联系人：刘婧漪 贾鹏</w:t>
      </w:r>
    </w:p>
    <w:p>
      <w:pPr>
        <w:adjustRightInd w:val="0"/>
        <w:snapToGrid w:val="0"/>
        <w:spacing w:line="360" w:lineRule="auto"/>
        <w:ind w:firstLine="480" w:firstLineChars="200"/>
        <w:rPr>
          <w:sz w:val="24"/>
        </w:rPr>
      </w:pPr>
      <w:r>
        <w:rPr>
          <w:rFonts w:hint="eastAsia"/>
          <w:sz w:val="24"/>
        </w:rPr>
        <w:t>客户服务电话：95310</w:t>
      </w:r>
    </w:p>
    <w:p>
      <w:pPr>
        <w:adjustRightInd w:val="0"/>
        <w:snapToGrid w:val="0"/>
        <w:spacing w:line="360" w:lineRule="auto"/>
        <w:ind w:firstLine="480" w:firstLineChars="200"/>
        <w:rPr>
          <w:sz w:val="24"/>
        </w:rPr>
      </w:pPr>
      <w:r>
        <w:rPr>
          <w:rFonts w:hint="eastAsia"/>
          <w:sz w:val="24"/>
        </w:rPr>
        <w:t>网址：www.gjzq.com.cn</w:t>
      </w:r>
    </w:p>
    <w:p>
      <w:pPr>
        <w:adjustRightInd w:val="0"/>
        <w:snapToGrid w:val="0"/>
        <w:spacing w:line="360" w:lineRule="auto"/>
        <w:ind w:firstLine="480" w:firstLineChars="200"/>
        <w:rPr>
          <w:sz w:val="24"/>
        </w:rPr>
      </w:pPr>
      <w:r>
        <w:rPr>
          <w:rFonts w:hint="eastAsia"/>
          <w:sz w:val="24"/>
        </w:rPr>
        <w:t>（24）信达证券股份有限公司</w:t>
      </w:r>
    </w:p>
    <w:p>
      <w:pPr>
        <w:adjustRightInd w:val="0"/>
        <w:snapToGrid w:val="0"/>
        <w:spacing w:line="360" w:lineRule="auto"/>
        <w:ind w:firstLine="480" w:firstLineChars="200"/>
        <w:rPr>
          <w:sz w:val="24"/>
        </w:rPr>
      </w:pPr>
      <w:r>
        <w:rPr>
          <w:rFonts w:hint="eastAsia"/>
          <w:sz w:val="24"/>
        </w:rPr>
        <w:t>住所：北京市西城区闹市口大街9号院1号楼信达金融中心</w:t>
      </w:r>
    </w:p>
    <w:p>
      <w:pPr>
        <w:adjustRightInd w:val="0"/>
        <w:snapToGrid w:val="0"/>
        <w:spacing w:line="360" w:lineRule="auto"/>
        <w:ind w:firstLine="480" w:firstLineChars="200"/>
        <w:rPr>
          <w:sz w:val="24"/>
        </w:rPr>
      </w:pPr>
      <w:r>
        <w:rPr>
          <w:rFonts w:hint="eastAsia"/>
          <w:sz w:val="24"/>
        </w:rPr>
        <w:t>办公地址：北京市西城区闹市口大街9号院1号楼信达金融中心</w:t>
      </w:r>
    </w:p>
    <w:p>
      <w:pPr>
        <w:adjustRightInd w:val="0"/>
        <w:snapToGrid w:val="0"/>
        <w:spacing w:line="360" w:lineRule="auto"/>
        <w:ind w:firstLine="480" w:firstLineChars="200"/>
        <w:rPr>
          <w:sz w:val="24"/>
        </w:rPr>
      </w:pPr>
      <w:r>
        <w:rPr>
          <w:rFonts w:hint="eastAsia"/>
          <w:sz w:val="24"/>
        </w:rPr>
        <w:t>法定代表人：张志刚</w:t>
      </w:r>
    </w:p>
    <w:p>
      <w:pPr>
        <w:adjustRightInd w:val="0"/>
        <w:snapToGrid w:val="0"/>
        <w:spacing w:line="360" w:lineRule="auto"/>
        <w:ind w:firstLine="480" w:firstLineChars="200"/>
        <w:rPr>
          <w:sz w:val="24"/>
        </w:rPr>
      </w:pPr>
      <w:r>
        <w:rPr>
          <w:rFonts w:hint="eastAsia"/>
          <w:sz w:val="24"/>
        </w:rPr>
        <w:t>电话：（010）63081000</w:t>
      </w:r>
    </w:p>
    <w:p>
      <w:pPr>
        <w:adjustRightInd w:val="0"/>
        <w:snapToGrid w:val="0"/>
        <w:spacing w:line="360" w:lineRule="auto"/>
        <w:ind w:firstLine="480" w:firstLineChars="200"/>
        <w:rPr>
          <w:sz w:val="24"/>
        </w:rPr>
      </w:pPr>
      <w:r>
        <w:rPr>
          <w:rFonts w:hint="eastAsia"/>
          <w:sz w:val="24"/>
        </w:rPr>
        <w:t>传真：（010）63081344</w:t>
      </w:r>
    </w:p>
    <w:p>
      <w:pPr>
        <w:adjustRightInd w:val="0"/>
        <w:snapToGrid w:val="0"/>
        <w:spacing w:line="360" w:lineRule="auto"/>
        <w:ind w:firstLine="480" w:firstLineChars="200"/>
        <w:rPr>
          <w:sz w:val="24"/>
        </w:rPr>
      </w:pPr>
      <w:r>
        <w:rPr>
          <w:rFonts w:hint="eastAsia"/>
          <w:sz w:val="24"/>
        </w:rPr>
        <w:t>联系人：尹旭航</w:t>
      </w:r>
    </w:p>
    <w:p>
      <w:pPr>
        <w:adjustRightInd w:val="0"/>
        <w:snapToGrid w:val="0"/>
        <w:spacing w:line="360" w:lineRule="auto"/>
        <w:ind w:firstLine="480" w:firstLineChars="200"/>
        <w:rPr>
          <w:sz w:val="24"/>
        </w:rPr>
      </w:pPr>
      <w:r>
        <w:rPr>
          <w:rFonts w:hint="eastAsia"/>
          <w:sz w:val="24"/>
        </w:rPr>
        <w:t>客户服务电话：95321</w:t>
      </w:r>
    </w:p>
    <w:p>
      <w:pPr>
        <w:adjustRightInd w:val="0"/>
        <w:snapToGrid w:val="0"/>
        <w:spacing w:line="360" w:lineRule="auto"/>
        <w:ind w:firstLine="480" w:firstLineChars="200"/>
        <w:rPr>
          <w:sz w:val="24"/>
        </w:rPr>
      </w:pPr>
      <w:r>
        <w:rPr>
          <w:rFonts w:hint="eastAsia"/>
          <w:sz w:val="24"/>
        </w:rPr>
        <w:t>网址：www.cindasc.com</w:t>
      </w:r>
    </w:p>
    <w:p>
      <w:pPr>
        <w:adjustRightInd w:val="0"/>
        <w:snapToGrid w:val="0"/>
        <w:spacing w:line="360" w:lineRule="auto"/>
        <w:ind w:firstLine="480" w:firstLineChars="200"/>
        <w:rPr>
          <w:sz w:val="24"/>
        </w:rPr>
      </w:pPr>
      <w:r>
        <w:rPr>
          <w:rFonts w:hint="eastAsia"/>
          <w:sz w:val="24"/>
        </w:rPr>
        <w:t>（25）西南证券股份有限公司</w:t>
      </w:r>
    </w:p>
    <w:p>
      <w:pPr>
        <w:adjustRightInd w:val="0"/>
        <w:snapToGrid w:val="0"/>
        <w:spacing w:line="360" w:lineRule="auto"/>
        <w:ind w:firstLine="480" w:firstLineChars="200"/>
        <w:rPr>
          <w:sz w:val="24"/>
        </w:rPr>
      </w:pPr>
      <w:r>
        <w:rPr>
          <w:rFonts w:hint="eastAsia"/>
          <w:sz w:val="24"/>
        </w:rPr>
        <w:t>住所：重庆市江北区桥北苑8号</w:t>
      </w:r>
    </w:p>
    <w:p>
      <w:pPr>
        <w:adjustRightInd w:val="0"/>
        <w:snapToGrid w:val="0"/>
        <w:spacing w:line="360" w:lineRule="auto"/>
        <w:ind w:firstLine="480" w:firstLineChars="200"/>
        <w:rPr>
          <w:sz w:val="24"/>
        </w:rPr>
      </w:pPr>
      <w:r>
        <w:rPr>
          <w:rFonts w:hint="eastAsia"/>
          <w:sz w:val="24"/>
        </w:rPr>
        <w:t>办公地址：重庆市江北区桥北苑8号西南证券大厦</w:t>
      </w:r>
    </w:p>
    <w:p>
      <w:pPr>
        <w:adjustRightInd w:val="0"/>
        <w:snapToGrid w:val="0"/>
        <w:spacing w:line="360" w:lineRule="auto"/>
        <w:ind w:firstLine="480" w:firstLineChars="200"/>
        <w:rPr>
          <w:sz w:val="24"/>
        </w:rPr>
      </w:pPr>
      <w:r>
        <w:rPr>
          <w:rFonts w:hint="eastAsia"/>
          <w:sz w:val="24"/>
        </w:rPr>
        <w:t>法定代表人：吴坚</w:t>
      </w:r>
    </w:p>
    <w:p>
      <w:pPr>
        <w:adjustRightInd w:val="0"/>
        <w:snapToGrid w:val="0"/>
        <w:spacing w:line="360" w:lineRule="auto"/>
        <w:ind w:firstLine="480" w:firstLineChars="200"/>
        <w:rPr>
          <w:sz w:val="24"/>
        </w:rPr>
      </w:pPr>
      <w:r>
        <w:rPr>
          <w:rFonts w:hint="eastAsia"/>
          <w:sz w:val="24"/>
        </w:rPr>
        <w:t>电话：（023）63786141</w:t>
      </w:r>
    </w:p>
    <w:p>
      <w:pPr>
        <w:adjustRightInd w:val="0"/>
        <w:snapToGrid w:val="0"/>
        <w:spacing w:line="360" w:lineRule="auto"/>
        <w:ind w:firstLine="480" w:firstLineChars="200"/>
        <w:rPr>
          <w:sz w:val="24"/>
        </w:rPr>
      </w:pPr>
      <w:r>
        <w:rPr>
          <w:rFonts w:hint="eastAsia"/>
          <w:sz w:val="24"/>
        </w:rPr>
        <w:t>传真：（023）63786212</w:t>
      </w:r>
    </w:p>
    <w:p>
      <w:pPr>
        <w:adjustRightInd w:val="0"/>
        <w:snapToGrid w:val="0"/>
        <w:spacing w:line="360" w:lineRule="auto"/>
        <w:ind w:firstLine="480" w:firstLineChars="200"/>
        <w:rPr>
          <w:sz w:val="24"/>
        </w:rPr>
      </w:pPr>
      <w:r>
        <w:rPr>
          <w:rFonts w:hint="eastAsia"/>
          <w:sz w:val="24"/>
        </w:rPr>
        <w:t>联系人：张煜</w:t>
      </w:r>
    </w:p>
    <w:p>
      <w:pPr>
        <w:adjustRightInd w:val="0"/>
        <w:snapToGrid w:val="0"/>
        <w:spacing w:line="360" w:lineRule="auto"/>
        <w:ind w:firstLine="480" w:firstLineChars="200"/>
        <w:rPr>
          <w:sz w:val="24"/>
        </w:rPr>
      </w:pPr>
      <w:r>
        <w:rPr>
          <w:rFonts w:hint="eastAsia"/>
          <w:sz w:val="24"/>
        </w:rPr>
        <w:t>客户服务电话：95355、400-809-6096</w:t>
      </w:r>
    </w:p>
    <w:p>
      <w:pPr>
        <w:adjustRightInd w:val="0"/>
        <w:snapToGrid w:val="0"/>
        <w:spacing w:line="360" w:lineRule="auto"/>
        <w:ind w:firstLine="480" w:firstLineChars="200"/>
        <w:rPr>
          <w:sz w:val="24"/>
        </w:rPr>
      </w:pPr>
      <w:r>
        <w:rPr>
          <w:rFonts w:hint="eastAsia"/>
          <w:sz w:val="24"/>
        </w:rPr>
        <w:t>网址：www.swsc.com.cn</w:t>
      </w:r>
    </w:p>
    <w:p>
      <w:pPr>
        <w:adjustRightInd w:val="0"/>
        <w:snapToGrid w:val="0"/>
        <w:spacing w:line="360" w:lineRule="auto"/>
        <w:ind w:firstLine="480" w:firstLineChars="200"/>
        <w:rPr>
          <w:sz w:val="24"/>
        </w:rPr>
      </w:pPr>
      <w:r>
        <w:rPr>
          <w:rFonts w:hint="eastAsia"/>
          <w:sz w:val="24"/>
        </w:rPr>
        <w:t>（26）中国中金财富证券有限公司</w:t>
      </w:r>
    </w:p>
    <w:p>
      <w:pPr>
        <w:adjustRightInd w:val="0"/>
        <w:snapToGrid w:val="0"/>
        <w:spacing w:line="360" w:lineRule="auto"/>
        <w:ind w:firstLine="480" w:firstLineChars="200"/>
        <w:rPr>
          <w:sz w:val="24"/>
        </w:rPr>
      </w:pPr>
      <w:r>
        <w:rPr>
          <w:rFonts w:hint="eastAsia"/>
          <w:sz w:val="24"/>
        </w:rPr>
        <w:t>住所：深圳市福田区益田路与福中路交界处荣超商务中心A栋第18层-21层及第04层01.02.03.05.11.12.13.15.16.18.19.20.21.22.23单元</w:t>
      </w:r>
    </w:p>
    <w:p>
      <w:pPr>
        <w:adjustRightInd w:val="0"/>
        <w:snapToGrid w:val="0"/>
        <w:spacing w:line="360" w:lineRule="auto"/>
        <w:ind w:firstLine="480" w:firstLineChars="200"/>
        <w:rPr>
          <w:sz w:val="24"/>
        </w:rPr>
      </w:pPr>
      <w:r>
        <w:rPr>
          <w:rFonts w:hint="eastAsia"/>
          <w:sz w:val="24"/>
        </w:rPr>
        <w:t>办公地址：深圳市福田区益田路6003号荣超商务中心A栋第04、18层至21层</w:t>
      </w:r>
    </w:p>
    <w:p>
      <w:pPr>
        <w:adjustRightInd w:val="0"/>
        <w:snapToGrid w:val="0"/>
        <w:spacing w:line="360" w:lineRule="auto"/>
        <w:ind w:firstLine="480" w:firstLineChars="200"/>
        <w:rPr>
          <w:sz w:val="24"/>
        </w:rPr>
      </w:pPr>
      <w:r>
        <w:rPr>
          <w:rFonts w:hint="eastAsia"/>
          <w:sz w:val="24"/>
        </w:rPr>
        <w:t>法定代表人：高涛</w:t>
      </w:r>
    </w:p>
    <w:p>
      <w:pPr>
        <w:adjustRightInd w:val="0"/>
        <w:snapToGrid w:val="0"/>
        <w:spacing w:line="360" w:lineRule="auto"/>
        <w:ind w:firstLine="480" w:firstLineChars="200"/>
        <w:rPr>
          <w:sz w:val="24"/>
        </w:rPr>
      </w:pPr>
      <w:r>
        <w:rPr>
          <w:rFonts w:hint="eastAsia"/>
          <w:sz w:val="24"/>
        </w:rPr>
        <w:t>电话：（0755）88320851</w:t>
      </w:r>
    </w:p>
    <w:p>
      <w:pPr>
        <w:adjustRightInd w:val="0"/>
        <w:snapToGrid w:val="0"/>
        <w:spacing w:line="360" w:lineRule="auto"/>
        <w:ind w:firstLine="480" w:firstLineChars="200"/>
        <w:rPr>
          <w:sz w:val="24"/>
        </w:rPr>
      </w:pPr>
      <w:r>
        <w:rPr>
          <w:rFonts w:hint="eastAsia"/>
          <w:sz w:val="24"/>
        </w:rPr>
        <w:t>联系人：胡芷境</w:t>
      </w:r>
    </w:p>
    <w:p>
      <w:pPr>
        <w:adjustRightInd w:val="0"/>
        <w:snapToGrid w:val="0"/>
        <w:spacing w:line="360" w:lineRule="auto"/>
        <w:ind w:firstLine="480" w:firstLineChars="200"/>
        <w:rPr>
          <w:sz w:val="24"/>
        </w:rPr>
      </w:pPr>
      <w:r>
        <w:rPr>
          <w:rFonts w:hint="eastAsia"/>
          <w:sz w:val="24"/>
        </w:rPr>
        <w:t>客户服务电话：95532/400-600-8008</w:t>
      </w:r>
    </w:p>
    <w:p>
      <w:pPr>
        <w:adjustRightInd w:val="0"/>
        <w:snapToGrid w:val="0"/>
        <w:spacing w:line="360" w:lineRule="auto"/>
        <w:ind w:firstLine="480" w:firstLineChars="200"/>
        <w:rPr>
          <w:sz w:val="24"/>
        </w:rPr>
      </w:pPr>
      <w:r>
        <w:rPr>
          <w:rFonts w:hint="eastAsia"/>
          <w:sz w:val="24"/>
        </w:rPr>
        <w:t>网址：www.ciccwm.com</w:t>
      </w:r>
    </w:p>
    <w:p>
      <w:pPr>
        <w:adjustRightInd w:val="0"/>
        <w:snapToGrid w:val="0"/>
        <w:spacing w:line="360" w:lineRule="auto"/>
        <w:ind w:firstLine="480" w:firstLineChars="200"/>
        <w:rPr>
          <w:sz w:val="24"/>
        </w:rPr>
      </w:pPr>
      <w:r>
        <w:rPr>
          <w:rFonts w:hint="eastAsia"/>
          <w:sz w:val="24"/>
        </w:rPr>
        <w:t>（27）华融证券股份有限公司</w:t>
      </w:r>
    </w:p>
    <w:p>
      <w:pPr>
        <w:adjustRightInd w:val="0"/>
        <w:snapToGrid w:val="0"/>
        <w:spacing w:line="360" w:lineRule="auto"/>
        <w:ind w:firstLine="480" w:firstLineChars="200"/>
        <w:rPr>
          <w:sz w:val="24"/>
        </w:rPr>
      </w:pPr>
      <w:r>
        <w:rPr>
          <w:rFonts w:hint="eastAsia"/>
          <w:sz w:val="24"/>
        </w:rPr>
        <w:t>住所：北京市西城区金融大街8号</w:t>
      </w:r>
    </w:p>
    <w:p>
      <w:pPr>
        <w:adjustRightInd w:val="0"/>
        <w:snapToGrid w:val="0"/>
        <w:spacing w:line="360" w:lineRule="auto"/>
        <w:ind w:firstLine="480" w:firstLineChars="200"/>
        <w:rPr>
          <w:sz w:val="24"/>
        </w:rPr>
      </w:pPr>
      <w:r>
        <w:rPr>
          <w:rFonts w:hint="eastAsia"/>
          <w:sz w:val="24"/>
        </w:rPr>
        <w:t>办公地址：北京市西城区金融大街8号</w:t>
      </w:r>
    </w:p>
    <w:p>
      <w:pPr>
        <w:adjustRightInd w:val="0"/>
        <w:snapToGrid w:val="0"/>
        <w:spacing w:line="360" w:lineRule="auto"/>
        <w:ind w:firstLine="480" w:firstLineChars="200"/>
        <w:rPr>
          <w:sz w:val="24"/>
        </w:rPr>
      </w:pPr>
      <w:r>
        <w:rPr>
          <w:rFonts w:hint="eastAsia"/>
          <w:sz w:val="24"/>
        </w:rPr>
        <w:t>法定代表人：宋德清</w:t>
      </w:r>
    </w:p>
    <w:p>
      <w:pPr>
        <w:adjustRightInd w:val="0"/>
        <w:snapToGrid w:val="0"/>
        <w:spacing w:line="360" w:lineRule="auto"/>
        <w:ind w:firstLine="480" w:firstLineChars="200"/>
        <w:rPr>
          <w:sz w:val="24"/>
        </w:rPr>
      </w:pPr>
      <w:r>
        <w:rPr>
          <w:rFonts w:hint="eastAsia"/>
          <w:sz w:val="24"/>
        </w:rPr>
        <w:t>电话：（010）58568235</w:t>
      </w:r>
    </w:p>
    <w:p>
      <w:pPr>
        <w:adjustRightInd w:val="0"/>
        <w:snapToGrid w:val="0"/>
        <w:spacing w:line="360" w:lineRule="auto"/>
        <w:ind w:firstLine="480" w:firstLineChars="200"/>
        <w:rPr>
          <w:sz w:val="24"/>
        </w:rPr>
      </w:pPr>
      <w:r>
        <w:rPr>
          <w:rFonts w:hint="eastAsia"/>
          <w:sz w:val="24"/>
        </w:rPr>
        <w:t>传真：（010）58568062</w:t>
      </w:r>
    </w:p>
    <w:p>
      <w:pPr>
        <w:adjustRightInd w:val="0"/>
        <w:snapToGrid w:val="0"/>
        <w:spacing w:line="360" w:lineRule="auto"/>
        <w:ind w:firstLine="480" w:firstLineChars="200"/>
        <w:rPr>
          <w:sz w:val="24"/>
        </w:rPr>
      </w:pPr>
      <w:r>
        <w:rPr>
          <w:rFonts w:hint="eastAsia"/>
          <w:sz w:val="24"/>
        </w:rPr>
        <w:t>联系人：黄恒</w:t>
      </w:r>
    </w:p>
    <w:p>
      <w:pPr>
        <w:adjustRightInd w:val="0"/>
        <w:snapToGrid w:val="0"/>
        <w:spacing w:line="360" w:lineRule="auto"/>
        <w:ind w:firstLine="480" w:firstLineChars="200"/>
        <w:rPr>
          <w:sz w:val="24"/>
        </w:rPr>
      </w:pPr>
      <w:r>
        <w:rPr>
          <w:rFonts w:hint="eastAsia"/>
          <w:sz w:val="24"/>
        </w:rPr>
        <w:t>客户服务电话：（010）58568118</w:t>
      </w:r>
    </w:p>
    <w:p>
      <w:pPr>
        <w:adjustRightInd w:val="0"/>
        <w:snapToGrid w:val="0"/>
        <w:spacing w:line="360" w:lineRule="auto"/>
        <w:ind w:firstLine="480" w:firstLineChars="200"/>
        <w:rPr>
          <w:sz w:val="24"/>
        </w:rPr>
      </w:pPr>
      <w:r>
        <w:rPr>
          <w:rFonts w:hint="eastAsia"/>
          <w:sz w:val="24"/>
        </w:rPr>
        <w:t>网址：www.hrsec.com.cn</w:t>
      </w:r>
    </w:p>
    <w:p>
      <w:pPr>
        <w:adjustRightInd w:val="0"/>
        <w:snapToGrid w:val="0"/>
        <w:spacing w:line="360" w:lineRule="auto"/>
        <w:ind w:firstLine="480" w:firstLineChars="200"/>
        <w:rPr>
          <w:sz w:val="24"/>
        </w:rPr>
      </w:pPr>
      <w:r>
        <w:rPr>
          <w:rFonts w:hint="eastAsia"/>
          <w:sz w:val="24"/>
        </w:rPr>
        <w:t>（28）天相投资顾问有限公司</w:t>
      </w:r>
    </w:p>
    <w:p>
      <w:pPr>
        <w:adjustRightInd w:val="0"/>
        <w:snapToGrid w:val="0"/>
        <w:spacing w:line="360" w:lineRule="auto"/>
        <w:ind w:firstLine="480" w:firstLineChars="200"/>
        <w:rPr>
          <w:sz w:val="24"/>
        </w:rPr>
      </w:pPr>
      <w:r>
        <w:rPr>
          <w:rFonts w:hint="eastAsia"/>
          <w:sz w:val="24"/>
        </w:rPr>
        <w:t>住所：北京市西城区金融街19号富凯大厦B座701</w:t>
      </w:r>
    </w:p>
    <w:p>
      <w:pPr>
        <w:adjustRightInd w:val="0"/>
        <w:snapToGrid w:val="0"/>
        <w:spacing w:line="360" w:lineRule="auto"/>
        <w:ind w:firstLine="480" w:firstLineChars="200"/>
        <w:rPr>
          <w:sz w:val="24"/>
        </w:rPr>
      </w:pPr>
      <w:r>
        <w:rPr>
          <w:rFonts w:hint="eastAsia"/>
          <w:sz w:val="24"/>
        </w:rPr>
        <w:t>办公地址：北京市西城区新街口外大街28号C座5层</w:t>
      </w:r>
    </w:p>
    <w:p>
      <w:pPr>
        <w:adjustRightInd w:val="0"/>
        <w:snapToGrid w:val="0"/>
        <w:spacing w:line="360" w:lineRule="auto"/>
        <w:ind w:firstLine="480" w:firstLineChars="200"/>
        <w:rPr>
          <w:sz w:val="24"/>
        </w:rPr>
      </w:pPr>
      <w:r>
        <w:rPr>
          <w:rFonts w:hint="eastAsia"/>
          <w:sz w:val="24"/>
        </w:rPr>
        <w:t>法定代表人：林义相</w:t>
      </w:r>
    </w:p>
    <w:p>
      <w:pPr>
        <w:adjustRightInd w:val="0"/>
        <w:snapToGrid w:val="0"/>
        <w:spacing w:line="360" w:lineRule="auto"/>
        <w:ind w:firstLine="480" w:firstLineChars="200"/>
        <w:rPr>
          <w:sz w:val="24"/>
        </w:rPr>
      </w:pPr>
      <w:r>
        <w:rPr>
          <w:rFonts w:hint="eastAsia"/>
          <w:sz w:val="24"/>
        </w:rPr>
        <w:t>电话：（010）66045529</w:t>
      </w:r>
    </w:p>
    <w:p>
      <w:pPr>
        <w:adjustRightInd w:val="0"/>
        <w:snapToGrid w:val="0"/>
        <w:spacing w:line="360" w:lineRule="auto"/>
        <w:ind w:firstLine="480" w:firstLineChars="200"/>
        <w:rPr>
          <w:sz w:val="24"/>
        </w:rPr>
      </w:pPr>
      <w:r>
        <w:rPr>
          <w:rFonts w:hint="eastAsia"/>
          <w:sz w:val="24"/>
        </w:rPr>
        <w:t>传真：（010）66045518</w:t>
      </w:r>
    </w:p>
    <w:p>
      <w:pPr>
        <w:adjustRightInd w:val="0"/>
        <w:snapToGrid w:val="0"/>
        <w:spacing w:line="360" w:lineRule="auto"/>
        <w:ind w:firstLine="480" w:firstLineChars="200"/>
        <w:rPr>
          <w:sz w:val="24"/>
        </w:rPr>
      </w:pPr>
      <w:r>
        <w:rPr>
          <w:rFonts w:hint="eastAsia"/>
          <w:sz w:val="24"/>
        </w:rPr>
        <w:t>联系人：尹伶</w:t>
      </w:r>
    </w:p>
    <w:p>
      <w:pPr>
        <w:adjustRightInd w:val="0"/>
        <w:snapToGrid w:val="0"/>
        <w:spacing w:line="360" w:lineRule="auto"/>
        <w:ind w:firstLine="480" w:firstLineChars="200"/>
        <w:rPr>
          <w:sz w:val="24"/>
        </w:rPr>
      </w:pPr>
      <w:r>
        <w:rPr>
          <w:rFonts w:hint="eastAsia"/>
          <w:sz w:val="24"/>
        </w:rPr>
        <w:t>客户服务电话：（010）66045678</w:t>
      </w:r>
    </w:p>
    <w:p>
      <w:pPr>
        <w:adjustRightInd w:val="0"/>
        <w:snapToGrid w:val="0"/>
        <w:spacing w:line="360" w:lineRule="auto"/>
        <w:ind w:firstLine="480" w:firstLineChars="200"/>
        <w:rPr>
          <w:sz w:val="24"/>
        </w:rPr>
      </w:pPr>
      <w:r>
        <w:rPr>
          <w:rFonts w:hint="eastAsia"/>
          <w:sz w:val="24"/>
        </w:rPr>
        <w:t>网址：http://www.txsec.com，www.jjm.com.cn</w:t>
      </w:r>
    </w:p>
    <w:p>
      <w:pPr>
        <w:adjustRightInd w:val="0"/>
        <w:snapToGrid w:val="0"/>
        <w:spacing w:line="360" w:lineRule="auto"/>
        <w:ind w:firstLine="480" w:firstLineChars="200"/>
        <w:rPr>
          <w:sz w:val="24"/>
        </w:rPr>
      </w:pPr>
      <w:r>
        <w:rPr>
          <w:rFonts w:hint="eastAsia"/>
          <w:sz w:val="24"/>
        </w:rPr>
        <w:t>（29）中信期货有限公司</w:t>
      </w:r>
    </w:p>
    <w:p>
      <w:pPr>
        <w:adjustRightInd w:val="0"/>
        <w:snapToGrid w:val="0"/>
        <w:spacing w:line="360" w:lineRule="auto"/>
        <w:ind w:firstLine="480" w:firstLineChars="200"/>
        <w:rPr>
          <w:sz w:val="24"/>
        </w:rPr>
      </w:pPr>
      <w:r>
        <w:rPr>
          <w:rFonts w:hint="eastAsia"/>
          <w:sz w:val="24"/>
        </w:rPr>
        <w:t>住所：深圳市福田区中心三路8号卓越时代广场（二期）北座13层1301-1305室、14层</w:t>
      </w:r>
    </w:p>
    <w:p>
      <w:pPr>
        <w:adjustRightInd w:val="0"/>
        <w:snapToGrid w:val="0"/>
        <w:spacing w:line="360" w:lineRule="auto"/>
        <w:ind w:firstLine="480" w:firstLineChars="200"/>
        <w:rPr>
          <w:sz w:val="24"/>
        </w:rPr>
      </w:pPr>
      <w:r>
        <w:rPr>
          <w:rFonts w:hint="eastAsia"/>
          <w:sz w:val="24"/>
        </w:rPr>
        <w:t>办公地址：深圳市福田区中心三路8号卓越时代广场（二期）北座13层1301-1305室、14层</w:t>
      </w:r>
    </w:p>
    <w:p>
      <w:pPr>
        <w:adjustRightInd w:val="0"/>
        <w:snapToGrid w:val="0"/>
        <w:spacing w:line="360" w:lineRule="auto"/>
        <w:ind w:firstLine="480" w:firstLineChars="200"/>
        <w:rPr>
          <w:sz w:val="24"/>
        </w:rPr>
      </w:pPr>
      <w:r>
        <w:rPr>
          <w:rFonts w:hint="eastAsia"/>
          <w:sz w:val="24"/>
        </w:rPr>
        <w:t>法定代表人：张皓</w:t>
      </w:r>
    </w:p>
    <w:p>
      <w:pPr>
        <w:adjustRightInd w:val="0"/>
        <w:snapToGrid w:val="0"/>
        <w:spacing w:line="360" w:lineRule="auto"/>
        <w:ind w:firstLine="480" w:firstLineChars="200"/>
        <w:rPr>
          <w:sz w:val="24"/>
        </w:rPr>
      </w:pPr>
      <w:r>
        <w:rPr>
          <w:rFonts w:hint="eastAsia"/>
          <w:sz w:val="24"/>
        </w:rPr>
        <w:t>电话：010-60833754</w:t>
      </w:r>
    </w:p>
    <w:p>
      <w:pPr>
        <w:adjustRightInd w:val="0"/>
        <w:snapToGrid w:val="0"/>
        <w:spacing w:line="360" w:lineRule="auto"/>
        <w:ind w:firstLine="480" w:firstLineChars="200"/>
        <w:rPr>
          <w:sz w:val="24"/>
        </w:rPr>
      </w:pPr>
      <w:r>
        <w:rPr>
          <w:rFonts w:hint="eastAsia"/>
          <w:sz w:val="24"/>
        </w:rPr>
        <w:t>传真：021-60819988</w:t>
      </w:r>
    </w:p>
    <w:p>
      <w:pPr>
        <w:adjustRightInd w:val="0"/>
        <w:snapToGrid w:val="0"/>
        <w:spacing w:line="360" w:lineRule="auto"/>
        <w:ind w:firstLine="480" w:firstLineChars="200"/>
        <w:rPr>
          <w:sz w:val="24"/>
        </w:rPr>
      </w:pPr>
      <w:r>
        <w:rPr>
          <w:rFonts w:hint="eastAsia"/>
          <w:sz w:val="24"/>
        </w:rPr>
        <w:t>联系人：刘宏莹</w:t>
      </w:r>
    </w:p>
    <w:p>
      <w:pPr>
        <w:adjustRightInd w:val="0"/>
        <w:snapToGrid w:val="0"/>
        <w:spacing w:line="360" w:lineRule="auto"/>
        <w:ind w:firstLine="480" w:firstLineChars="200"/>
        <w:rPr>
          <w:sz w:val="24"/>
        </w:rPr>
      </w:pPr>
      <w:r>
        <w:rPr>
          <w:rFonts w:hint="eastAsia"/>
          <w:sz w:val="24"/>
        </w:rPr>
        <w:t>客服电话：400-990-8826</w:t>
      </w:r>
    </w:p>
    <w:p>
      <w:pPr>
        <w:adjustRightInd w:val="0"/>
        <w:snapToGrid w:val="0"/>
        <w:spacing w:line="360" w:lineRule="auto"/>
        <w:ind w:firstLine="480" w:firstLineChars="200"/>
        <w:rPr>
          <w:sz w:val="24"/>
        </w:rPr>
      </w:pPr>
      <w:r>
        <w:rPr>
          <w:rFonts w:hint="eastAsia"/>
          <w:sz w:val="24"/>
        </w:rPr>
        <w:t>网站：www.citicsf.com</w:t>
      </w:r>
    </w:p>
    <w:p>
      <w:pPr>
        <w:adjustRightInd w:val="0"/>
        <w:snapToGrid w:val="0"/>
        <w:spacing w:line="360" w:lineRule="auto"/>
        <w:ind w:firstLine="480" w:firstLineChars="200"/>
        <w:rPr>
          <w:sz w:val="24"/>
        </w:rPr>
      </w:pPr>
      <w:r>
        <w:rPr>
          <w:rFonts w:hint="eastAsia"/>
          <w:sz w:val="24"/>
        </w:rPr>
        <w:t>（30）蚂蚁（杭州）基金销售有限公司</w:t>
      </w:r>
    </w:p>
    <w:p>
      <w:pPr>
        <w:adjustRightInd w:val="0"/>
        <w:snapToGrid w:val="0"/>
        <w:spacing w:line="360" w:lineRule="auto"/>
        <w:ind w:firstLine="480" w:firstLineChars="200"/>
        <w:rPr>
          <w:sz w:val="24"/>
        </w:rPr>
      </w:pPr>
      <w:r>
        <w:rPr>
          <w:rFonts w:hint="eastAsia"/>
          <w:sz w:val="24"/>
        </w:rPr>
        <w:t>住所：杭州市余杭区仓前街道海曙路东2号</w:t>
      </w:r>
    </w:p>
    <w:p>
      <w:pPr>
        <w:adjustRightInd w:val="0"/>
        <w:snapToGrid w:val="0"/>
        <w:spacing w:line="360" w:lineRule="auto"/>
        <w:ind w:firstLine="480" w:firstLineChars="200"/>
        <w:rPr>
          <w:sz w:val="24"/>
        </w:rPr>
      </w:pPr>
      <w:r>
        <w:rPr>
          <w:rFonts w:hint="eastAsia"/>
          <w:sz w:val="24"/>
        </w:rPr>
        <w:t>办公地址：浙江省杭州市滨江区江南大道3588号恒生大厦12楼</w:t>
      </w:r>
    </w:p>
    <w:p>
      <w:pPr>
        <w:adjustRightInd w:val="0"/>
        <w:snapToGrid w:val="0"/>
        <w:spacing w:line="360" w:lineRule="auto"/>
        <w:ind w:firstLine="480" w:firstLineChars="200"/>
        <w:rPr>
          <w:sz w:val="24"/>
        </w:rPr>
      </w:pPr>
      <w:r>
        <w:rPr>
          <w:rFonts w:hint="eastAsia"/>
          <w:sz w:val="24"/>
        </w:rPr>
        <w:t>法定代表人：陈柏青</w:t>
      </w:r>
    </w:p>
    <w:p>
      <w:pPr>
        <w:adjustRightInd w:val="0"/>
        <w:snapToGrid w:val="0"/>
        <w:spacing w:line="360" w:lineRule="auto"/>
        <w:ind w:firstLine="480" w:firstLineChars="200"/>
        <w:rPr>
          <w:sz w:val="24"/>
        </w:rPr>
      </w:pPr>
      <w:r>
        <w:rPr>
          <w:rFonts w:hint="eastAsia"/>
          <w:sz w:val="24"/>
        </w:rPr>
        <w:t>电话：（0571）28829790，（021）60897869</w:t>
      </w:r>
    </w:p>
    <w:p>
      <w:pPr>
        <w:adjustRightInd w:val="0"/>
        <w:snapToGrid w:val="0"/>
        <w:spacing w:line="360" w:lineRule="auto"/>
        <w:ind w:firstLine="480" w:firstLineChars="200"/>
        <w:rPr>
          <w:sz w:val="24"/>
        </w:rPr>
      </w:pPr>
      <w:r>
        <w:rPr>
          <w:rFonts w:hint="eastAsia"/>
          <w:sz w:val="24"/>
        </w:rPr>
        <w:t>传真：（0571）26698533</w:t>
      </w:r>
    </w:p>
    <w:p>
      <w:pPr>
        <w:adjustRightInd w:val="0"/>
        <w:snapToGrid w:val="0"/>
        <w:spacing w:line="360" w:lineRule="auto"/>
        <w:ind w:firstLine="480" w:firstLineChars="200"/>
        <w:rPr>
          <w:sz w:val="24"/>
        </w:rPr>
      </w:pPr>
      <w:r>
        <w:rPr>
          <w:rFonts w:hint="eastAsia"/>
          <w:sz w:val="24"/>
        </w:rPr>
        <w:t>联系人：周嬿旻</w:t>
      </w:r>
    </w:p>
    <w:p>
      <w:pPr>
        <w:adjustRightInd w:val="0"/>
        <w:snapToGrid w:val="0"/>
        <w:spacing w:line="360" w:lineRule="auto"/>
        <w:ind w:firstLine="480" w:firstLineChars="200"/>
        <w:rPr>
          <w:sz w:val="24"/>
        </w:rPr>
      </w:pPr>
      <w:r>
        <w:rPr>
          <w:rFonts w:hint="eastAsia"/>
          <w:sz w:val="24"/>
        </w:rPr>
        <w:t>客户服务电话：4000-766-123</w:t>
      </w:r>
    </w:p>
    <w:p>
      <w:pPr>
        <w:adjustRightInd w:val="0"/>
        <w:snapToGrid w:val="0"/>
        <w:spacing w:line="360" w:lineRule="auto"/>
        <w:ind w:firstLine="480" w:firstLineChars="200"/>
        <w:rPr>
          <w:sz w:val="24"/>
        </w:rPr>
      </w:pPr>
      <w:r>
        <w:rPr>
          <w:rFonts w:hint="eastAsia"/>
          <w:sz w:val="24"/>
        </w:rPr>
        <w:t>网址：www.fund123.cn</w:t>
      </w:r>
    </w:p>
    <w:p>
      <w:pPr>
        <w:adjustRightInd w:val="0"/>
        <w:snapToGrid w:val="0"/>
        <w:spacing w:line="360" w:lineRule="auto"/>
        <w:ind w:firstLine="480" w:firstLineChars="200"/>
        <w:rPr>
          <w:sz w:val="24"/>
        </w:rPr>
      </w:pPr>
      <w:r>
        <w:rPr>
          <w:rFonts w:hint="eastAsia"/>
          <w:sz w:val="24"/>
        </w:rPr>
        <w:t>（31）深圳众禄基金销售有限公司</w:t>
      </w:r>
    </w:p>
    <w:p>
      <w:pPr>
        <w:adjustRightInd w:val="0"/>
        <w:snapToGrid w:val="0"/>
        <w:spacing w:line="360" w:lineRule="auto"/>
        <w:ind w:firstLine="480" w:firstLineChars="200"/>
        <w:rPr>
          <w:sz w:val="24"/>
        </w:rPr>
      </w:pPr>
      <w:r>
        <w:rPr>
          <w:rFonts w:hint="eastAsia"/>
          <w:sz w:val="24"/>
        </w:rPr>
        <w:t>住所：深圳市罗湖区梨园路物资控股置地大厦8楼</w:t>
      </w:r>
    </w:p>
    <w:p>
      <w:pPr>
        <w:adjustRightInd w:val="0"/>
        <w:snapToGrid w:val="0"/>
        <w:spacing w:line="360" w:lineRule="auto"/>
        <w:ind w:firstLine="480" w:firstLineChars="200"/>
        <w:rPr>
          <w:sz w:val="24"/>
        </w:rPr>
      </w:pPr>
      <w:r>
        <w:rPr>
          <w:rFonts w:hint="eastAsia"/>
          <w:sz w:val="24"/>
        </w:rPr>
        <w:t>办公地址：深圳市罗湖区梨园路物资控股置地大厦8楼</w:t>
      </w:r>
    </w:p>
    <w:p>
      <w:pPr>
        <w:adjustRightInd w:val="0"/>
        <w:snapToGrid w:val="0"/>
        <w:spacing w:line="360" w:lineRule="auto"/>
        <w:ind w:firstLine="480" w:firstLineChars="200"/>
        <w:rPr>
          <w:sz w:val="24"/>
        </w:rPr>
      </w:pPr>
      <w:r>
        <w:rPr>
          <w:rFonts w:hint="eastAsia"/>
          <w:sz w:val="24"/>
        </w:rPr>
        <w:t>法定代表人：薛峰</w:t>
      </w:r>
    </w:p>
    <w:p>
      <w:pPr>
        <w:adjustRightInd w:val="0"/>
        <w:snapToGrid w:val="0"/>
        <w:spacing w:line="360" w:lineRule="auto"/>
        <w:ind w:firstLine="480" w:firstLineChars="200"/>
        <w:rPr>
          <w:sz w:val="24"/>
        </w:rPr>
      </w:pPr>
      <w:r>
        <w:rPr>
          <w:rFonts w:hint="eastAsia"/>
          <w:sz w:val="24"/>
        </w:rPr>
        <w:t>电话：（0755）33227953</w:t>
      </w:r>
    </w:p>
    <w:p>
      <w:pPr>
        <w:adjustRightInd w:val="0"/>
        <w:snapToGrid w:val="0"/>
        <w:spacing w:line="360" w:lineRule="auto"/>
        <w:ind w:firstLine="480" w:firstLineChars="200"/>
        <w:rPr>
          <w:sz w:val="24"/>
        </w:rPr>
      </w:pPr>
      <w:r>
        <w:rPr>
          <w:rFonts w:hint="eastAsia"/>
          <w:sz w:val="24"/>
        </w:rPr>
        <w:t>传真：（0755）33227951</w:t>
      </w:r>
    </w:p>
    <w:p>
      <w:pPr>
        <w:adjustRightInd w:val="0"/>
        <w:snapToGrid w:val="0"/>
        <w:spacing w:line="360" w:lineRule="auto"/>
        <w:ind w:firstLine="480" w:firstLineChars="200"/>
        <w:rPr>
          <w:sz w:val="24"/>
        </w:rPr>
      </w:pPr>
      <w:r>
        <w:rPr>
          <w:rFonts w:hint="eastAsia"/>
          <w:sz w:val="24"/>
        </w:rPr>
        <w:t>联系人：汤素娅</w:t>
      </w:r>
    </w:p>
    <w:p>
      <w:pPr>
        <w:adjustRightInd w:val="0"/>
        <w:snapToGrid w:val="0"/>
        <w:spacing w:line="360" w:lineRule="auto"/>
        <w:ind w:firstLine="480" w:firstLineChars="200"/>
        <w:rPr>
          <w:sz w:val="24"/>
        </w:rPr>
      </w:pPr>
      <w:r>
        <w:rPr>
          <w:rFonts w:hint="eastAsia"/>
          <w:sz w:val="24"/>
        </w:rPr>
        <w:t>客户服务电话：4006-788-887</w:t>
      </w:r>
    </w:p>
    <w:p>
      <w:pPr>
        <w:adjustRightInd w:val="0"/>
        <w:snapToGrid w:val="0"/>
        <w:spacing w:line="360" w:lineRule="auto"/>
        <w:ind w:firstLine="480" w:firstLineChars="200"/>
        <w:rPr>
          <w:sz w:val="24"/>
        </w:rPr>
      </w:pPr>
      <w:r>
        <w:rPr>
          <w:rFonts w:hint="eastAsia"/>
          <w:sz w:val="24"/>
        </w:rPr>
        <w:t>网址：www.zlfund.cn，www.jjmmw.com</w:t>
      </w:r>
    </w:p>
    <w:p>
      <w:pPr>
        <w:adjustRightInd w:val="0"/>
        <w:snapToGrid w:val="0"/>
        <w:spacing w:line="360" w:lineRule="auto"/>
        <w:ind w:firstLine="480" w:firstLineChars="200"/>
        <w:rPr>
          <w:sz w:val="24"/>
        </w:rPr>
      </w:pPr>
      <w:r>
        <w:rPr>
          <w:rFonts w:hint="eastAsia"/>
          <w:sz w:val="24"/>
        </w:rPr>
        <w:t>（32）上海长量基金销售投资顾问有限公司</w:t>
      </w:r>
    </w:p>
    <w:p>
      <w:pPr>
        <w:adjustRightInd w:val="0"/>
        <w:snapToGrid w:val="0"/>
        <w:spacing w:line="360" w:lineRule="auto"/>
        <w:ind w:firstLine="480" w:firstLineChars="200"/>
        <w:rPr>
          <w:sz w:val="24"/>
        </w:rPr>
      </w:pPr>
      <w:r>
        <w:rPr>
          <w:rFonts w:hint="eastAsia"/>
          <w:sz w:val="24"/>
        </w:rPr>
        <w:t>住所：上海市浦东新区高翔路526号2幢220室</w:t>
      </w:r>
    </w:p>
    <w:p>
      <w:pPr>
        <w:adjustRightInd w:val="0"/>
        <w:snapToGrid w:val="0"/>
        <w:spacing w:line="360" w:lineRule="auto"/>
        <w:ind w:firstLine="480" w:firstLineChars="200"/>
        <w:rPr>
          <w:sz w:val="24"/>
        </w:rPr>
      </w:pPr>
      <w:r>
        <w:rPr>
          <w:rFonts w:hint="eastAsia"/>
          <w:sz w:val="24"/>
        </w:rPr>
        <w:t>办公地址：上海市浦东新区浦东大道555号裕景国际B座16层</w:t>
      </w:r>
    </w:p>
    <w:p>
      <w:pPr>
        <w:adjustRightInd w:val="0"/>
        <w:snapToGrid w:val="0"/>
        <w:spacing w:line="360" w:lineRule="auto"/>
        <w:ind w:firstLine="480" w:firstLineChars="200"/>
        <w:rPr>
          <w:sz w:val="24"/>
        </w:rPr>
      </w:pPr>
      <w:r>
        <w:rPr>
          <w:rFonts w:hint="eastAsia"/>
          <w:sz w:val="24"/>
        </w:rPr>
        <w:t>法定代表人：张跃伟</w:t>
      </w:r>
    </w:p>
    <w:p>
      <w:pPr>
        <w:adjustRightInd w:val="0"/>
        <w:snapToGrid w:val="0"/>
        <w:spacing w:line="360" w:lineRule="auto"/>
        <w:ind w:firstLine="480" w:firstLineChars="200"/>
        <w:rPr>
          <w:sz w:val="24"/>
        </w:rPr>
      </w:pPr>
      <w:r>
        <w:rPr>
          <w:rFonts w:hint="eastAsia"/>
          <w:sz w:val="24"/>
        </w:rPr>
        <w:t>电话：（021）20691832</w:t>
      </w:r>
    </w:p>
    <w:p>
      <w:pPr>
        <w:adjustRightInd w:val="0"/>
        <w:snapToGrid w:val="0"/>
        <w:spacing w:line="360" w:lineRule="auto"/>
        <w:ind w:firstLine="480" w:firstLineChars="200"/>
        <w:rPr>
          <w:sz w:val="24"/>
        </w:rPr>
      </w:pPr>
      <w:r>
        <w:rPr>
          <w:rFonts w:hint="eastAsia"/>
          <w:sz w:val="24"/>
        </w:rPr>
        <w:t xml:space="preserve">传真：（021）20691861 </w:t>
      </w:r>
    </w:p>
    <w:p>
      <w:pPr>
        <w:adjustRightInd w:val="0"/>
        <w:snapToGrid w:val="0"/>
        <w:spacing w:line="360" w:lineRule="auto"/>
        <w:ind w:firstLine="480" w:firstLineChars="200"/>
        <w:rPr>
          <w:sz w:val="24"/>
        </w:rPr>
      </w:pPr>
      <w:r>
        <w:rPr>
          <w:rFonts w:hint="eastAsia"/>
          <w:sz w:val="24"/>
        </w:rPr>
        <w:t>联系人：单丙烨</w:t>
      </w:r>
    </w:p>
    <w:p>
      <w:pPr>
        <w:adjustRightInd w:val="0"/>
        <w:snapToGrid w:val="0"/>
        <w:spacing w:line="360" w:lineRule="auto"/>
        <w:ind w:firstLine="480" w:firstLineChars="200"/>
        <w:rPr>
          <w:sz w:val="24"/>
        </w:rPr>
      </w:pPr>
      <w:r>
        <w:rPr>
          <w:rFonts w:hint="eastAsia"/>
          <w:sz w:val="24"/>
        </w:rPr>
        <w:t>客户服务电话：400-820-2899</w:t>
      </w:r>
    </w:p>
    <w:p>
      <w:pPr>
        <w:adjustRightInd w:val="0"/>
        <w:snapToGrid w:val="0"/>
        <w:spacing w:line="360" w:lineRule="auto"/>
        <w:ind w:firstLine="480" w:firstLineChars="200"/>
        <w:rPr>
          <w:sz w:val="24"/>
        </w:rPr>
      </w:pPr>
      <w:r>
        <w:rPr>
          <w:rFonts w:hint="eastAsia"/>
          <w:sz w:val="24"/>
        </w:rPr>
        <w:t>网址：www.erichfund.com</w:t>
      </w:r>
    </w:p>
    <w:p>
      <w:pPr>
        <w:adjustRightInd w:val="0"/>
        <w:snapToGrid w:val="0"/>
        <w:spacing w:line="360" w:lineRule="auto"/>
        <w:ind w:firstLine="480" w:firstLineChars="200"/>
        <w:rPr>
          <w:sz w:val="24"/>
        </w:rPr>
      </w:pPr>
      <w:r>
        <w:rPr>
          <w:rFonts w:hint="eastAsia"/>
          <w:sz w:val="24"/>
        </w:rPr>
        <w:t>（33）诺亚正行(上海)基金销售投资顾问有限公司</w:t>
      </w:r>
    </w:p>
    <w:p>
      <w:pPr>
        <w:adjustRightInd w:val="0"/>
        <w:snapToGrid w:val="0"/>
        <w:spacing w:line="360" w:lineRule="auto"/>
        <w:ind w:firstLine="480" w:firstLineChars="200"/>
        <w:rPr>
          <w:sz w:val="24"/>
        </w:rPr>
      </w:pPr>
      <w:r>
        <w:rPr>
          <w:rFonts w:hint="eastAsia"/>
          <w:sz w:val="24"/>
        </w:rPr>
        <w:t>住所：上海市虹口区飞虹路360弄9号3724室</w:t>
      </w:r>
    </w:p>
    <w:p>
      <w:pPr>
        <w:adjustRightInd w:val="0"/>
        <w:snapToGrid w:val="0"/>
        <w:spacing w:line="360" w:lineRule="auto"/>
        <w:ind w:firstLine="480" w:firstLineChars="200"/>
        <w:rPr>
          <w:sz w:val="24"/>
        </w:rPr>
      </w:pPr>
      <w:r>
        <w:rPr>
          <w:rFonts w:hint="eastAsia"/>
          <w:sz w:val="24"/>
        </w:rPr>
        <w:t>办公地址：上海杨浦区秦皇岛路32号C栋 2楼</w:t>
      </w:r>
    </w:p>
    <w:p>
      <w:pPr>
        <w:adjustRightInd w:val="0"/>
        <w:snapToGrid w:val="0"/>
        <w:spacing w:line="360" w:lineRule="auto"/>
        <w:ind w:firstLine="480" w:firstLineChars="200"/>
        <w:rPr>
          <w:sz w:val="24"/>
        </w:rPr>
      </w:pPr>
      <w:r>
        <w:rPr>
          <w:rFonts w:hint="eastAsia"/>
          <w:sz w:val="24"/>
        </w:rPr>
        <w:t>法定代表人：汪静波</w:t>
      </w:r>
    </w:p>
    <w:p>
      <w:pPr>
        <w:adjustRightInd w:val="0"/>
        <w:snapToGrid w:val="0"/>
        <w:spacing w:line="360" w:lineRule="auto"/>
        <w:ind w:firstLine="480" w:firstLineChars="200"/>
        <w:rPr>
          <w:sz w:val="24"/>
        </w:rPr>
      </w:pPr>
      <w:r>
        <w:rPr>
          <w:rFonts w:hint="eastAsia"/>
          <w:sz w:val="24"/>
        </w:rPr>
        <w:t>电话：（021）38600735</w:t>
      </w:r>
    </w:p>
    <w:p>
      <w:pPr>
        <w:adjustRightInd w:val="0"/>
        <w:snapToGrid w:val="0"/>
        <w:spacing w:line="360" w:lineRule="auto"/>
        <w:ind w:firstLine="480" w:firstLineChars="200"/>
        <w:rPr>
          <w:sz w:val="24"/>
        </w:rPr>
      </w:pPr>
      <w:r>
        <w:rPr>
          <w:rFonts w:hint="eastAsia"/>
          <w:sz w:val="24"/>
        </w:rPr>
        <w:t>传真：（021）38509777</w:t>
      </w:r>
    </w:p>
    <w:p>
      <w:pPr>
        <w:adjustRightInd w:val="0"/>
        <w:snapToGrid w:val="0"/>
        <w:spacing w:line="360" w:lineRule="auto"/>
        <w:ind w:firstLine="480" w:firstLineChars="200"/>
        <w:rPr>
          <w:sz w:val="24"/>
        </w:rPr>
      </w:pPr>
      <w:r>
        <w:rPr>
          <w:rFonts w:hint="eastAsia"/>
          <w:sz w:val="24"/>
        </w:rPr>
        <w:t>联系人：方成</w:t>
      </w:r>
    </w:p>
    <w:p>
      <w:pPr>
        <w:adjustRightInd w:val="0"/>
        <w:snapToGrid w:val="0"/>
        <w:spacing w:line="360" w:lineRule="auto"/>
        <w:ind w:firstLine="480" w:firstLineChars="200"/>
        <w:rPr>
          <w:sz w:val="24"/>
        </w:rPr>
      </w:pPr>
      <w:r>
        <w:rPr>
          <w:rFonts w:hint="eastAsia"/>
          <w:sz w:val="24"/>
        </w:rPr>
        <w:t>客户服务电话：400-821-5399</w:t>
      </w:r>
    </w:p>
    <w:p>
      <w:pPr>
        <w:adjustRightInd w:val="0"/>
        <w:snapToGrid w:val="0"/>
        <w:spacing w:line="360" w:lineRule="auto"/>
        <w:ind w:firstLine="480" w:firstLineChars="200"/>
        <w:rPr>
          <w:sz w:val="24"/>
        </w:rPr>
      </w:pPr>
      <w:r>
        <w:rPr>
          <w:rFonts w:hint="eastAsia"/>
          <w:sz w:val="24"/>
        </w:rPr>
        <w:t>网址：www.noah-fund.com</w:t>
      </w:r>
    </w:p>
    <w:p>
      <w:pPr>
        <w:adjustRightInd w:val="0"/>
        <w:snapToGrid w:val="0"/>
        <w:spacing w:line="360" w:lineRule="auto"/>
        <w:ind w:firstLine="480" w:firstLineChars="200"/>
        <w:rPr>
          <w:sz w:val="24"/>
        </w:rPr>
      </w:pPr>
      <w:r>
        <w:rPr>
          <w:rFonts w:hint="eastAsia"/>
          <w:sz w:val="24"/>
        </w:rPr>
        <w:t xml:space="preserve">（34）和讯信息科技有限公司 </w:t>
      </w:r>
    </w:p>
    <w:p>
      <w:pPr>
        <w:adjustRightInd w:val="0"/>
        <w:snapToGrid w:val="0"/>
        <w:spacing w:line="360" w:lineRule="auto"/>
        <w:ind w:firstLine="480" w:firstLineChars="200"/>
        <w:rPr>
          <w:sz w:val="24"/>
        </w:rPr>
      </w:pPr>
      <w:r>
        <w:rPr>
          <w:rFonts w:hint="eastAsia"/>
          <w:sz w:val="24"/>
        </w:rPr>
        <w:t>住所：北京市朝阳区朝外大街22号泛利大厦10层</w:t>
      </w:r>
    </w:p>
    <w:p>
      <w:pPr>
        <w:adjustRightInd w:val="0"/>
        <w:snapToGrid w:val="0"/>
        <w:spacing w:line="360" w:lineRule="auto"/>
        <w:ind w:firstLine="480" w:firstLineChars="200"/>
        <w:rPr>
          <w:sz w:val="24"/>
        </w:rPr>
      </w:pPr>
      <w:r>
        <w:rPr>
          <w:rFonts w:hint="eastAsia"/>
          <w:sz w:val="24"/>
        </w:rPr>
        <w:t>办公地址：北京市朝阳区朝外大街22号泛利大厦10层</w:t>
      </w:r>
    </w:p>
    <w:p>
      <w:pPr>
        <w:adjustRightInd w:val="0"/>
        <w:snapToGrid w:val="0"/>
        <w:spacing w:line="360" w:lineRule="auto"/>
        <w:ind w:firstLine="480" w:firstLineChars="200"/>
        <w:rPr>
          <w:sz w:val="24"/>
        </w:rPr>
      </w:pPr>
      <w:r>
        <w:rPr>
          <w:rFonts w:hint="eastAsia"/>
          <w:sz w:val="24"/>
        </w:rPr>
        <w:t>法定代表人：王莉</w:t>
      </w:r>
    </w:p>
    <w:p>
      <w:pPr>
        <w:adjustRightInd w:val="0"/>
        <w:snapToGrid w:val="0"/>
        <w:spacing w:line="360" w:lineRule="auto"/>
        <w:ind w:firstLine="480" w:firstLineChars="200"/>
        <w:rPr>
          <w:sz w:val="24"/>
        </w:rPr>
      </w:pPr>
      <w:r>
        <w:rPr>
          <w:rFonts w:hint="eastAsia"/>
          <w:sz w:val="24"/>
        </w:rPr>
        <w:t>电话：（021）20835789</w:t>
      </w:r>
    </w:p>
    <w:p>
      <w:pPr>
        <w:adjustRightInd w:val="0"/>
        <w:snapToGrid w:val="0"/>
        <w:spacing w:line="360" w:lineRule="auto"/>
        <w:ind w:firstLine="480" w:firstLineChars="200"/>
        <w:rPr>
          <w:sz w:val="24"/>
        </w:rPr>
      </w:pPr>
      <w:r>
        <w:rPr>
          <w:rFonts w:hint="eastAsia"/>
          <w:sz w:val="24"/>
        </w:rPr>
        <w:t>传真：（021）20835879</w:t>
      </w:r>
    </w:p>
    <w:p>
      <w:pPr>
        <w:adjustRightInd w:val="0"/>
        <w:snapToGrid w:val="0"/>
        <w:spacing w:line="360" w:lineRule="auto"/>
        <w:ind w:firstLine="480" w:firstLineChars="200"/>
        <w:rPr>
          <w:sz w:val="24"/>
        </w:rPr>
      </w:pPr>
      <w:r>
        <w:rPr>
          <w:rFonts w:hint="eastAsia"/>
          <w:sz w:val="24"/>
        </w:rPr>
        <w:t>联系人：周轶</w:t>
      </w:r>
    </w:p>
    <w:p>
      <w:pPr>
        <w:adjustRightInd w:val="0"/>
        <w:snapToGrid w:val="0"/>
        <w:spacing w:line="360" w:lineRule="auto"/>
        <w:ind w:firstLine="480" w:firstLineChars="200"/>
        <w:rPr>
          <w:sz w:val="24"/>
        </w:rPr>
      </w:pPr>
      <w:r>
        <w:rPr>
          <w:rFonts w:hint="eastAsia"/>
          <w:sz w:val="24"/>
        </w:rPr>
        <w:t>客户服务电话：4009200022</w:t>
      </w:r>
    </w:p>
    <w:p>
      <w:pPr>
        <w:adjustRightInd w:val="0"/>
        <w:snapToGrid w:val="0"/>
        <w:spacing w:line="360" w:lineRule="auto"/>
        <w:ind w:firstLine="480" w:firstLineChars="200"/>
        <w:rPr>
          <w:sz w:val="24"/>
        </w:rPr>
      </w:pPr>
      <w:r>
        <w:rPr>
          <w:rFonts w:hint="eastAsia"/>
          <w:sz w:val="24"/>
        </w:rPr>
        <w:t>网址：http://licaike.hexun.com/</w:t>
      </w:r>
    </w:p>
    <w:p>
      <w:pPr>
        <w:adjustRightInd w:val="0"/>
        <w:snapToGrid w:val="0"/>
        <w:spacing w:line="360" w:lineRule="auto"/>
        <w:ind w:firstLine="480" w:firstLineChars="200"/>
        <w:rPr>
          <w:sz w:val="24"/>
        </w:rPr>
      </w:pPr>
      <w:r>
        <w:rPr>
          <w:rFonts w:hint="eastAsia"/>
          <w:sz w:val="24"/>
        </w:rPr>
        <w:t xml:space="preserve">（35）上海天天基金销售有限公司 </w:t>
      </w:r>
    </w:p>
    <w:p>
      <w:pPr>
        <w:adjustRightInd w:val="0"/>
        <w:snapToGrid w:val="0"/>
        <w:spacing w:line="360" w:lineRule="auto"/>
        <w:ind w:firstLine="480" w:firstLineChars="200"/>
        <w:rPr>
          <w:sz w:val="24"/>
        </w:rPr>
      </w:pPr>
      <w:r>
        <w:rPr>
          <w:rFonts w:hint="eastAsia"/>
          <w:sz w:val="24"/>
        </w:rPr>
        <w:t xml:space="preserve">住所：上海市徐汇区龙田路190号2号楼2层 </w:t>
      </w:r>
    </w:p>
    <w:p>
      <w:pPr>
        <w:adjustRightInd w:val="0"/>
        <w:snapToGrid w:val="0"/>
        <w:spacing w:line="360" w:lineRule="auto"/>
        <w:ind w:firstLine="480" w:firstLineChars="200"/>
        <w:rPr>
          <w:sz w:val="24"/>
        </w:rPr>
      </w:pPr>
      <w:r>
        <w:rPr>
          <w:rFonts w:hint="eastAsia"/>
          <w:sz w:val="24"/>
        </w:rPr>
        <w:t>办公地址：上海市徐汇区龙田路195号3C座10楼</w:t>
      </w:r>
    </w:p>
    <w:p>
      <w:pPr>
        <w:adjustRightInd w:val="0"/>
        <w:snapToGrid w:val="0"/>
        <w:spacing w:line="360" w:lineRule="auto"/>
        <w:ind w:firstLine="480" w:firstLineChars="200"/>
        <w:rPr>
          <w:sz w:val="24"/>
        </w:rPr>
      </w:pPr>
      <w:r>
        <w:rPr>
          <w:rFonts w:hint="eastAsia"/>
          <w:sz w:val="24"/>
        </w:rPr>
        <w:t>法定代表人：其实</w:t>
      </w:r>
    </w:p>
    <w:p>
      <w:pPr>
        <w:adjustRightInd w:val="0"/>
        <w:snapToGrid w:val="0"/>
        <w:spacing w:line="360" w:lineRule="auto"/>
        <w:ind w:firstLine="480" w:firstLineChars="200"/>
        <w:rPr>
          <w:sz w:val="24"/>
        </w:rPr>
      </w:pPr>
      <w:r>
        <w:rPr>
          <w:rFonts w:hint="eastAsia"/>
          <w:sz w:val="24"/>
        </w:rPr>
        <w:t>电话：（021）54509998</w:t>
      </w:r>
    </w:p>
    <w:p>
      <w:pPr>
        <w:adjustRightInd w:val="0"/>
        <w:snapToGrid w:val="0"/>
        <w:spacing w:line="360" w:lineRule="auto"/>
        <w:ind w:firstLine="480" w:firstLineChars="200"/>
        <w:rPr>
          <w:sz w:val="24"/>
        </w:rPr>
      </w:pPr>
      <w:r>
        <w:rPr>
          <w:rFonts w:hint="eastAsia"/>
          <w:sz w:val="24"/>
        </w:rPr>
        <w:t>传真：（021）64385308</w:t>
      </w:r>
    </w:p>
    <w:p>
      <w:pPr>
        <w:adjustRightInd w:val="0"/>
        <w:snapToGrid w:val="0"/>
        <w:spacing w:line="360" w:lineRule="auto"/>
        <w:ind w:firstLine="480" w:firstLineChars="200"/>
        <w:rPr>
          <w:sz w:val="24"/>
        </w:rPr>
      </w:pPr>
      <w:r>
        <w:rPr>
          <w:rFonts w:hint="eastAsia"/>
          <w:sz w:val="24"/>
        </w:rPr>
        <w:t>联系人：潘世友</w:t>
      </w:r>
    </w:p>
    <w:p>
      <w:pPr>
        <w:adjustRightInd w:val="0"/>
        <w:snapToGrid w:val="0"/>
        <w:spacing w:line="360" w:lineRule="auto"/>
        <w:ind w:firstLine="480" w:firstLineChars="200"/>
        <w:rPr>
          <w:sz w:val="24"/>
        </w:rPr>
      </w:pPr>
      <w:r>
        <w:rPr>
          <w:rFonts w:hint="eastAsia"/>
          <w:sz w:val="24"/>
        </w:rPr>
        <w:t>客户服务电话：400-1818-188</w:t>
      </w:r>
    </w:p>
    <w:p>
      <w:pPr>
        <w:adjustRightInd w:val="0"/>
        <w:snapToGrid w:val="0"/>
        <w:spacing w:line="360" w:lineRule="auto"/>
        <w:ind w:firstLine="480" w:firstLineChars="200"/>
        <w:rPr>
          <w:sz w:val="24"/>
        </w:rPr>
      </w:pPr>
      <w:r>
        <w:rPr>
          <w:rFonts w:hint="eastAsia"/>
          <w:sz w:val="24"/>
        </w:rPr>
        <w:t>网址：www.1234567.com.cn</w:t>
      </w:r>
    </w:p>
    <w:p>
      <w:pPr>
        <w:adjustRightInd w:val="0"/>
        <w:snapToGrid w:val="0"/>
        <w:spacing w:line="360" w:lineRule="auto"/>
        <w:ind w:firstLine="480" w:firstLineChars="200"/>
        <w:rPr>
          <w:sz w:val="24"/>
        </w:rPr>
      </w:pPr>
      <w:r>
        <w:rPr>
          <w:rFonts w:hint="eastAsia"/>
          <w:sz w:val="24"/>
        </w:rPr>
        <w:t xml:space="preserve">（36）北京钱景财富投资管理有限公司 </w:t>
      </w:r>
    </w:p>
    <w:p>
      <w:pPr>
        <w:adjustRightInd w:val="0"/>
        <w:snapToGrid w:val="0"/>
        <w:spacing w:line="360" w:lineRule="auto"/>
        <w:ind w:firstLine="480" w:firstLineChars="200"/>
        <w:rPr>
          <w:sz w:val="24"/>
        </w:rPr>
      </w:pPr>
      <w:r>
        <w:rPr>
          <w:rFonts w:hint="eastAsia"/>
          <w:sz w:val="24"/>
        </w:rPr>
        <w:t>住所：北京市海淀区丹棱街6幢1号9层1008-1012</w:t>
      </w:r>
    </w:p>
    <w:p>
      <w:pPr>
        <w:adjustRightInd w:val="0"/>
        <w:snapToGrid w:val="0"/>
        <w:spacing w:line="360" w:lineRule="auto"/>
        <w:ind w:firstLine="480" w:firstLineChars="200"/>
        <w:rPr>
          <w:sz w:val="24"/>
        </w:rPr>
      </w:pPr>
      <w:r>
        <w:rPr>
          <w:rFonts w:hint="eastAsia"/>
          <w:sz w:val="24"/>
        </w:rPr>
        <w:t>办公地址：北京市海淀区丹棱街6幢1号9层1008-1012</w:t>
      </w:r>
    </w:p>
    <w:p>
      <w:pPr>
        <w:adjustRightInd w:val="0"/>
        <w:snapToGrid w:val="0"/>
        <w:spacing w:line="360" w:lineRule="auto"/>
        <w:ind w:firstLine="480" w:firstLineChars="200"/>
        <w:rPr>
          <w:sz w:val="24"/>
        </w:rPr>
      </w:pPr>
      <w:r>
        <w:rPr>
          <w:rFonts w:hint="eastAsia"/>
          <w:sz w:val="24"/>
        </w:rPr>
        <w:t>法定代表人：赵荣春</w:t>
      </w:r>
    </w:p>
    <w:p>
      <w:pPr>
        <w:adjustRightInd w:val="0"/>
        <w:snapToGrid w:val="0"/>
        <w:spacing w:line="360" w:lineRule="auto"/>
        <w:ind w:firstLine="480" w:firstLineChars="200"/>
        <w:rPr>
          <w:sz w:val="24"/>
        </w:rPr>
      </w:pPr>
      <w:r>
        <w:rPr>
          <w:rFonts w:hint="eastAsia"/>
          <w:sz w:val="24"/>
        </w:rPr>
        <w:t>电话：（010）57418829</w:t>
      </w:r>
    </w:p>
    <w:p>
      <w:pPr>
        <w:adjustRightInd w:val="0"/>
        <w:snapToGrid w:val="0"/>
        <w:spacing w:line="360" w:lineRule="auto"/>
        <w:ind w:firstLine="480" w:firstLineChars="200"/>
        <w:rPr>
          <w:sz w:val="24"/>
        </w:rPr>
      </w:pPr>
      <w:r>
        <w:rPr>
          <w:rFonts w:hint="eastAsia"/>
          <w:sz w:val="24"/>
        </w:rPr>
        <w:t>传真：（010）57569671</w:t>
      </w:r>
    </w:p>
    <w:p>
      <w:pPr>
        <w:adjustRightInd w:val="0"/>
        <w:snapToGrid w:val="0"/>
        <w:spacing w:line="360" w:lineRule="auto"/>
        <w:ind w:firstLine="480" w:firstLineChars="200"/>
        <w:rPr>
          <w:sz w:val="24"/>
        </w:rPr>
      </w:pPr>
      <w:r>
        <w:rPr>
          <w:rFonts w:hint="eastAsia"/>
          <w:sz w:val="24"/>
        </w:rPr>
        <w:t>联系人： 魏争</w:t>
      </w:r>
    </w:p>
    <w:p>
      <w:pPr>
        <w:adjustRightInd w:val="0"/>
        <w:snapToGrid w:val="0"/>
        <w:spacing w:line="360" w:lineRule="auto"/>
        <w:ind w:firstLine="480" w:firstLineChars="200"/>
        <w:rPr>
          <w:sz w:val="24"/>
        </w:rPr>
      </w:pPr>
      <w:r>
        <w:rPr>
          <w:rFonts w:hint="eastAsia"/>
          <w:sz w:val="24"/>
        </w:rPr>
        <w:t>客户服务电话： 400-678-5095</w:t>
      </w:r>
    </w:p>
    <w:p>
      <w:pPr>
        <w:adjustRightInd w:val="0"/>
        <w:snapToGrid w:val="0"/>
        <w:spacing w:line="360" w:lineRule="auto"/>
        <w:ind w:firstLine="480" w:firstLineChars="200"/>
        <w:rPr>
          <w:sz w:val="24"/>
        </w:rPr>
      </w:pPr>
      <w:r>
        <w:rPr>
          <w:rFonts w:hint="eastAsia"/>
          <w:sz w:val="24"/>
        </w:rPr>
        <w:t>网址：www.niuji.net</w:t>
      </w:r>
    </w:p>
    <w:p>
      <w:pPr>
        <w:adjustRightInd w:val="0"/>
        <w:snapToGrid w:val="0"/>
        <w:spacing w:line="360" w:lineRule="auto"/>
        <w:ind w:firstLine="480" w:firstLineChars="200"/>
        <w:rPr>
          <w:sz w:val="24"/>
        </w:rPr>
      </w:pPr>
      <w:r>
        <w:rPr>
          <w:rFonts w:hint="eastAsia"/>
          <w:sz w:val="24"/>
        </w:rPr>
        <w:t>（37）深圳市新兰德证券投资咨询有限公司</w:t>
      </w:r>
    </w:p>
    <w:p>
      <w:pPr>
        <w:adjustRightInd w:val="0"/>
        <w:snapToGrid w:val="0"/>
        <w:spacing w:line="360" w:lineRule="auto"/>
        <w:ind w:firstLine="480" w:firstLineChars="200"/>
        <w:rPr>
          <w:sz w:val="24"/>
        </w:rPr>
      </w:pPr>
      <w:r>
        <w:rPr>
          <w:rFonts w:hint="eastAsia"/>
          <w:sz w:val="24"/>
        </w:rPr>
        <w:t>住所：深圳市福田区华强北路赛格科技园4栋10层1006#</w:t>
      </w:r>
    </w:p>
    <w:p>
      <w:pPr>
        <w:adjustRightInd w:val="0"/>
        <w:snapToGrid w:val="0"/>
        <w:spacing w:line="360" w:lineRule="auto"/>
        <w:ind w:firstLine="480" w:firstLineChars="200"/>
        <w:rPr>
          <w:sz w:val="24"/>
        </w:rPr>
      </w:pPr>
      <w:r>
        <w:rPr>
          <w:rFonts w:hint="eastAsia"/>
          <w:sz w:val="24"/>
        </w:rPr>
        <w:t>办公地址：北京市西城区金融大街35号国际企业大厦C座9层</w:t>
      </w:r>
    </w:p>
    <w:p>
      <w:pPr>
        <w:adjustRightInd w:val="0"/>
        <w:snapToGrid w:val="0"/>
        <w:spacing w:line="360" w:lineRule="auto"/>
        <w:ind w:firstLine="480" w:firstLineChars="200"/>
        <w:rPr>
          <w:sz w:val="24"/>
        </w:rPr>
      </w:pPr>
      <w:r>
        <w:rPr>
          <w:rFonts w:hint="eastAsia"/>
          <w:sz w:val="24"/>
        </w:rPr>
        <w:t>法定代表人：陈操</w:t>
      </w:r>
    </w:p>
    <w:p>
      <w:pPr>
        <w:adjustRightInd w:val="0"/>
        <w:snapToGrid w:val="0"/>
        <w:spacing w:line="360" w:lineRule="auto"/>
        <w:ind w:firstLine="480" w:firstLineChars="200"/>
        <w:rPr>
          <w:sz w:val="24"/>
        </w:rPr>
      </w:pPr>
      <w:r>
        <w:rPr>
          <w:rFonts w:hint="eastAsia"/>
          <w:sz w:val="24"/>
        </w:rPr>
        <w:t>电话：（010）58325395</w:t>
      </w:r>
    </w:p>
    <w:p>
      <w:pPr>
        <w:adjustRightInd w:val="0"/>
        <w:snapToGrid w:val="0"/>
        <w:spacing w:line="360" w:lineRule="auto"/>
        <w:ind w:firstLine="480" w:firstLineChars="200"/>
        <w:rPr>
          <w:sz w:val="24"/>
        </w:rPr>
      </w:pPr>
      <w:r>
        <w:rPr>
          <w:rFonts w:hint="eastAsia"/>
          <w:sz w:val="24"/>
        </w:rPr>
        <w:t>传真：（010）58325282</w:t>
      </w:r>
    </w:p>
    <w:p>
      <w:pPr>
        <w:adjustRightInd w:val="0"/>
        <w:snapToGrid w:val="0"/>
        <w:spacing w:line="360" w:lineRule="auto"/>
        <w:ind w:firstLine="480" w:firstLineChars="200"/>
        <w:rPr>
          <w:sz w:val="24"/>
        </w:rPr>
      </w:pPr>
      <w:r>
        <w:rPr>
          <w:rFonts w:hint="eastAsia"/>
          <w:sz w:val="24"/>
        </w:rPr>
        <w:t xml:space="preserve">联系人：刘宝文 </w:t>
      </w:r>
    </w:p>
    <w:p>
      <w:pPr>
        <w:adjustRightInd w:val="0"/>
        <w:snapToGrid w:val="0"/>
        <w:spacing w:line="360" w:lineRule="auto"/>
        <w:ind w:firstLine="480" w:firstLineChars="200"/>
        <w:rPr>
          <w:sz w:val="24"/>
        </w:rPr>
      </w:pPr>
      <w:r>
        <w:rPr>
          <w:rFonts w:hint="eastAsia"/>
          <w:sz w:val="24"/>
        </w:rPr>
        <w:t>客户服务电话：400-850-7771</w:t>
      </w:r>
    </w:p>
    <w:p>
      <w:pPr>
        <w:adjustRightInd w:val="0"/>
        <w:snapToGrid w:val="0"/>
        <w:spacing w:line="360" w:lineRule="auto"/>
        <w:ind w:firstLine="480" w:firstLineChars="200"/>
        <w:rPr>
          <w:sz w:val="24"/>
        </w:rPr>
      </w:pPr>
      <w:r>
        <w:rPr>
          <w:rFonts w:hint="eastAsia"/>
          <w:sz w:val="24"/>
        </w:rPr>
        <w:t>网址：http://8.jrj.com.cn/</w:t>
      </w:r>
    </w:p>
    <w:p>
      <w:pPr>
        <w:adjustRightInd w:val="0"/>
        <w:snapToGrid w:val="0"/>
        <w:spacing w:line="360" w:lineRule="auto"/>
        <w:ind w:firstLine="480" w:firstLineChars="200"/>
        <w:rPr>
          <w:sz w:val="24"/>
        </w:rPr>
      </w:pPr>
      <w:r>
        <w:rPr>
          <w:rFonts w:hint="eastAsia"/>
          <w:sz w:val="24"/>
        </w:rPr>
        <w:t>（38）北京展恒基金销售股份有限公司</w:t>
      </w:r>
    </w:p>
    <w:p>
      <w:pPr>
        <w:adjustRightInd w:val="0"/>
        <w:snapToGrid w:val="0"/>
        <w:spacing w:line="360" w:lineRule="auto"/>
        <w:ind w:firstLine="480" w:firstLineChars="200"/>
        <w:rPr>
          <w:sz w:val="24"/>
        </w:rPr>
      </w:pPr>
      <w:r>
        <w:rPr>
          <w:rFonts w:hint="eastAsia"/>
          <w:sz w:val="24"/>
        </w:rPr>
        <w:t>住所：北京市顺义区后沙峪镇安富街6号</w:t>
      </w:r>
    </w:p>
    <w:p>
      <w:pPr>
        <w:adjustRightInd w:val="0"/>
        <w:snapToGrid w:val="0"/>
        <w:spacing w:line="360" w:lineRule="auto"/>
        <w:ind w:firstLine="480" w:firstLineChars="200"/>
        <w:rPr>
          <w:sz w:val="24"/>
        </w:rPr>
      </w:pPr>
      <w:r>
        <w:rPr>
          <w:rFonts w:hint="eastAsia"/>
          <w:sz w:val="24"/>
        </w:rPr>
        <w:t>办公地址：北京市朝阳区安苑路15-1号邮电新闻大厦2层</w:t>
      </w:r>
    </w:p>
    <w:p>
      <w:pPr>
        <w:adjustRightInd w:val="0"/>
        <w:snapToGrid w:val="0"/>
        <w:spacing w:line="360" w:lineRule="auto"/>
        <w:ind w:firstLine="480" w:firstLineChars="200"/>
        <w:rPr>
          <w:sz w:val="24"/>
        </w:rPr>
      </w:pPr>
      <w:r>
        <w:rPr>
          <w:rFonts w:hint="eastAsia"/>
          <w:sz w:val="24"/>
        </w:rPr>
        <w:t>法定代表人：闫振杰</w:t>
      </w:r>
    </w:p>
    <w:p>
      <w:pPr>
        <w:adjustRightInd w:val="0"/>
        <w:snapToGrid w:val="0"/>
        <w:spacing w:line="360" w:lineRule="auto"/>
        <w:ind w:firstLine="480" w:firstLineChars="200"/>
        <w:rPr>
          <w:sz w:val="24"/>
        </w:rPr>
      </w:pPr>
      <w:r>
        <w:rPr>
          <w:rFonts w:hint="eastAsia"/>
          <w:sz w:val="24"/>
        </w:rPr>
        <w:t>电话：（010）59601366-7024</w:t>
      </w:r>
    </w:p>
    <w:p>
      <w:pPr>
        <w:adjustRightInd w:val="0"/>
        <w:snapToGrid w:val="0"/>
        <w:spacing w:line="360" w:lineRule="auto"/>
        <w:ind w:firstLine="480" w:firstLineChars="200"/>
        <w:rPr>
          <w:sz w:val="24"/>
        </w:rPr>
      </w:pPr>
      <w:r>
        <w:rPr>
          <w:rFonts w:hint="eastAsia"/>
          <w:sz w:val="24"/>
        </w:rPr>
        <w:t>传真：（010）62020355</w:t>
      </w:r>
    </w:p>
    <w:p>
      <w:pPr>
        <w:adjustRightInd w:val="0"/>
        <w:snapToGrid w:val="0"/>
        <w:spacing w:line="360" w:lineRule="auto"/>
        <w:ind w:firstLine="480" w:firstLineChars="200"/>
        <w:rPr>
          <w:sz w:val="24"/>
        </w:rPr>
      </w:pPr>
      <w:r>
        <w:rPr>
          <w:rFonts w:hint="eastAsia"/>
          <w:sz w:val="24"/>
        </w:rPr>
        <w:t>联系人：  马林</w:t>
      </w:r>
    </w:p>
    <w:p>
      <w:pPr>
        <w:adjustRightInd w:val="0"/>
        <w:snapToGrid w:val="0"/>
        <w:spacing w:line="360" w:lineRule="auto"/>
        <w:ind w:firstLine="480" w:firstLineChars="200"/>
        <w:rPr>
          <w:sz w:val="24"/>
        </w:rPr>
      </w:pPr>
      <w:r>
        <w:rPr>
          <w:rFonts w:hint="eastAsia"/>
          <w:sz w:val="24"/>
        </w:rPr>
        <w:t>客户服务电话：400-888-6661</w:t>
      </w:r>
    </w:p>
    <w:p>
      <w:pPr>
        <w:adjustRightInd w:val="0"/>
        <w:snapToGrid w:val="0"/>
        <w:spacing w:line="360" w:lineRule="auto"/>
        <w:ind w:firstLine="480" w:firstLineChars="200"/>
        <w:rPr>
          <w:sz w:val="24"/>
        </w:rPr>
      </w:pPr>
      <w:r>
        <w:rPr>
          <w:rFonts w:hint="eastAsia"/>
          <w:sz w:val="24"/>
        </w:rPr>
        <w:t xml:space="preserve">网址：www.myfund.com </w:t>
      </w:r>
    </w:p>
    <w:p>
      <w:pPr>
        <w:adjustRightInd w:val="0"/>
        <w:snapToGrid w:val="0"/>
        <w:spacing w:line="360" w:lineRule="auto"/>
        <w:ind w:firstLine="480" w:firstLineChars="200"/>
        <w:rPr>
          <w:sz w:val="24"/>
        </w:rPr>
      </w:pPr>
      <w:r>
        <w:rPr>
          <w:rFonts w:hint="eastAsia"/>
          <w:sz w:val="24"/>
        </w:rPr>
        <w:t>（39）一路财富（北京）信息科技有限公司</w:t>
      </w:r>
    </w:p>
    <w:p>
      <w:pPr>
        <w:adjustRightInd w:val="0"/>
        <w:snapToGrid w:val="0"/>
        <w:spacing w:line="360" w:lineRule="auto"/>
        <w:ind w:firstLine="480" w:firstLineChars="200"/>
        <w:rPr>
          <w:sz w:val="24"/>
        </w:rPr>
      </w:pPr>
      <w:r>
        <w:rPr>
          <w:rFonts w:hint="eastAsia"/>
          <w:sz w:val="24"/>
        </w:rPr>
        <w:t>住所：北京市西城区车公庄大街9号五栋大楼C座702</w:t>
      </w:r>
    </w:p>
    <w:p>
      <w:pPr>
        <w:adjustRightInd w:val="0"/>
        <w:snapToGrid w:val="0"/>
        <w:spacing w:line="360" w:lineRule="auto"/>
        <w:ind w:firstLine="480" w:firstLineChars="200"/>
        <w:rPr>
          <w:sz w:val="24"/>
        </w:rPr>
      </w:pPr>
      <w:r>
        <w:rPr>
          <w:rFonts w:hint="eastAsia"/>
          <w:sz w:val="24"/>
        </w:rPr>
        <w:t>办公地址：北京西城区阜成门大街2号万通新世界广场A座22层2208</w:t>
      </w:r>
    </w:p>
    <w:p>
      <w:pPr>
        <w:adjustRightInd w:val="0"/>
        <w:snapToGrid w:val="0"/>
        <w:spacing w:line="360" w:lineRule="auto"/>
        <w:ind w:firstLine="480" w:firstLineChars="200"/>
        <w:rPr>
          <w:sz w:val="24"/>
        </w:rPr>
      </w:pPr>
      <w:r>
        <w:rPr>
          <w:rFonts w:hint="eastAsia"/>
          <w:sz w:val="24"/>
        </w:rPr>
        <w:t>法定代表人： 吴雪秀</w:t>
      </w:r>
    </w:p>
    <w:p>
      <w:pPr>
        <w:adjustRightInd w:val="0"/>
        <w:snapToGrid w:val="0"/>
        <w:spacing w:line="360" w:lineRule="auto"/>
        <w:ind w:firstLine="480" w:firstLineChars="200"/>
        <w:rPr>
          <w:sz w:val="24"/>
        </w:rPr>
      </w:pPr>
      <w:r>
        <w:rPr>
          <w:rFonts w:hint="eastAsia"/>
          <w:sz w:val="24"/>
        </w:rPr>
        <w:t>电话：010-88312877</w:t>
      </w:r>
    </w:p>
    <w:p>
      <w:pPr>
        <w:adjustRightInd w:val="0"/>
        <w:snapToGrid w:val="0"/>
        <w:spacing w:line="360" w:lineRule="auto"/>
        <w:ind w:firstLine="480" w:firstLineChars="200"/>
        <w:rPr>
          <w:sz w:val="24"/>
        </w:rPr>
      </w:pPr>
      <w:r>
        <w:rPr>
          <w:rFonts w:hint="eastAsia"/>
          <w:sz w:val="24"/>
        </w:rPr>
        <w:t>传真：010-88312099</w:t>
      </w:r>
    </w:p>
    <w:p>
      <w:pPr>
        <w:adjustRightInd w:val="0"/>
        <w:snapToGrid w:val="0"/>
        <w:spacing w:line="360" w:lineRule="auto"/>
        <w:ind w:firstLine="480" w:firstLineChars="200"/>
        <w:rPr>
          <w:sz w:val="24"/>
        </w:rPr>
      </w:pPr>
      <w:r>
        <w:rPr>
          <w:rFonts w:hint="eastAsia"/>
          <w:sz w:val="24"/>
        </w:rPr>
        <w:t>联系人： 苏昊</w:t>
      </w:r>
    </w:p>
    <w:p>
      <w:pPr>
        <w:adjustRightInd w:val="0"/>
        <w:snapToGrid w:val="0"/>
        <w:spacing w:line="360" w:lineRule="auto"/>
        <w:ind w:firstLine="480" w:firstLineChars="200"/>
        <w:rPr>
          <w:sz w:val="24"/>
        </w:rPr>
      </w:pPr>
      <w:r>
        <w:rPr>
          <w:rFonts w:hint="eastAsia"/>
          <w:sz w:val="24"/>
        </w:rPr>
        <w:t>客户服务电话：400-001-1566</w:t>
      </w:r>
    </w:p>
    <w:p>
      <w:pPr>
        <w:adjustRightInd w:val="0"/>
        <w:snapToGrid w:val="0"/>
        <w:spacing w:line="360" w:lineRule="auto"/>
        <w:ind w:firstLine="480" w:firstLineChars="200"/>
        <w:rPr>
          <w:sz w:val="24"/>
        </w:rPr>
      </w:pPr>
      <w:r>
        <w:rPr>
          <w:rFonts w:hint="eastAsia"/>
          <w:sz w:val="24"/>
        </w:rPr>
        <w:t>网址：http://www.yilucaifu.com/</w:t>
      </w:r>
    </w:p>
    <w:p>
      <w:pPr>
        <w:adjustRightInd w:val="0"/>
        <w:snapToGrid w:val="0"/>
        <w:spacing w:line="360" w:lineRule="auto"/>
        <w:ind w:firstLine="480" w:firstLineChars="200"/>
        <w:rPr>
          <w:sz w:val="24"/>
        </w:rPr>
      </w:pPr>
      <w:r>
        <w:rPr>
          <w:rFonts w:hint="eastAsia"/>
          <w:sz w:val="24"/>
        </w:rPr>
        <w:t>（40）上海联泰资产管理有限公司</w:t>
      </w:r>
    </w:p>
    <w:p>
      <w:pPr>
        <w:adjustRightInd w:val="0"/>
        <w:snapToGrid w:val="0"/>
        <w:spacing w:line="360" w:lineRule="auto"/>
        <w:ind w:firstLine="480" w:firstLineChars="200"/>
        <w:rPr>
          <w:sz w:val="24"/>
        </w:rPr>
      </w:pPr>
      <w:r>
        <w:rPr>
          <w:rFonts w:hint="eastAsia"/>
          <w:sz w:val="24"/>
        </w:rPr>
        <w:t>住所：中国（上海）自由贸易试验区富特北路277号3层310室</w:t>
      </w:r>
    </w:p>
    <w:p>
      <w:pPr>
        <w:adjustRightInd w:val="0"/>
        <w:snapToGrid w:val="0"/>
        <w:spacing w:line="360" w:lineRule="auto"/>
        <w:ind w:firstLine="480" w:firstLineChars="200"/>
        <w:rPr>
          <w:sz w:val="24"/>
        </w:rPr>
      </w:pPr>
      <w:r>
        <w:rPr>
          <w:rFonts w:hint="eastAsia"/>
          <w:sz w:val="24"/>
        </w:rPr>
        <w:t>办公地址：上海市长宁区福泉北路518号8座3楼</w:t>
      </w:r>
    </w:p>
    <w:p>
      <w:pPr>
        <w:adjustRightInd w:val="0"/>
        <w:snapToGrid w:val="0"/>
        <w:spacing w:line="360" w:lineRule="auto"/>
        <w:ind w:firstLine="480" w:firstLineChars="200"/>
        <w:rPr>
          <w:sz w:val="24"/>
        </w:rPr>
      </w:pPr>
      <w:r>
        <w:rPr>
          <w:rFonts w:hint="eastAsia"/>
          <w:sz w:val="24"/>
        </w:rPr>
        <w:t>法定代表人：燕斌</w:t>
      </w:r>
    </w:p>
    <w:p>
      <w:pPr>
        <w:adjustRightInd w:val="0"/>
        <w:snapToGrid w:val="0"/>
        <w:spacing w:line="360" w:lineRule="auto"/>
        <w:ind w:firstLine="480" w:firstLineChars="200"/>
        <w:rPr>
          <w:sz w:val="24"/>
        </w:rPr>
      </w:pPr>
      <w:r>
        <w:rPr>
          <w:rFonts w:hint="eastAsia"/>
          <w:sz w:val="24"/>
        </w:rPr>
        <w:t>电话：021-52822063</w:t>
      </w:r>
    </w:p>
    <w:p>
      <w:pPr>
        <w:adjustRightInd w:val="0"/>
        <w:snapToGrid w:val="0"/>
        <w:spacing w:line="360" w:lineRule="auto"/>
        <w:ind w:firstLine="480" w:firstLineChars="200"/>
        <w:rPr>
          <w:sz w:val="24"/>
        </w:rPr>
      </w:pPr>
      <w:r>
        <w:rPr>
          <w:rFonts w:hint="eastAsia"/>
          <w:sz w:val="24"/>
        </w:rPr>
        <w:t>传真：021-52975270</w:t>
      </w:r>
    </w:p>
    <w:p>
      <w:pPr>
        <w:adjustRightInd w:val="0"/>
        <w:snapToGrid w:val="0"/>
        <w:spacing w:line="360" w:lineRule="auto"/>
        <w:ind w:firstLine="480" w:firstLineChars="200"/>
        <w:rPr>
          <w:sz w:val="24"/>
        </w:rPr>
      </w:pPr>
      <w:r>
        <w:rPr>
          <w:rFonts w:hint="eastAsia"/>
          <w:sz w:val="24"/>
        </w:rPr>
        <w:t>联系人：凌秋艳</w:t>
      </w:r>
    </w:p>
    <w:p>
      <w:pPr>
        <w:adjustRightInd w:val="0"/>
        <w:snapToGrid w:val="0"/>
        <w:spacing w:line="360" w:lineRule="auto"/>
        <w:ind w:firstLine="480" w:firstLineChars="200"/>
        <w:rPr>
          <w:sz w:val="24"/>
        </w:rPr>
      </w:pPr>
      <w:r>
        <w:rPr>
          <w:rFonts w:hint="eastAsia"/>
          <w:sz w:val="24"/>
        </w:rPr>
        <w:t>客户服务电话：4000-466-788</w:t>
      </w:r>
    </w:p>
    <w:p>
      <w:pPr>
        <w:adjustRightInd w:val="0"/>
        <w:snapToGrid w:val="0"/>
        <w:spacing w:line="360" w:lineRule="auto"/>
        <w:ind w:firstLine="480" w:firstLineChars="200"/>
        <w:rPr>
          <w:sz w:val="24"/>
        </w:rPr>
      </w:pPr>
      <w:r>
        <w:rPr>
          <w:rFonts w:hint="eastAsia"/>
          <w:sz w:val="24"/>
        </w:rPr>
        <w:t>网址：www.66zichan.com</w:t>
      </w:r>
    </w:p>
    <w:p>
      <w:pPr>
        <w:adjustRightInd w:val="0"/>
        <w:snapToGrid w:val="0"/>
        <w:spacing w:line="360" w:lineRule="auto"/>
        <w:ind w:firstLine="480" w:firstLineChars="200"/>
        <w:rPr>
          <w:sz w:val="24"/>
        </w:rPr>
      </w:pPr>
      <w:r>
        <w:rPr>
          <w:rFonts w:hint="eastAsia"/>
          <w:sz w:val="24"/>
        </w:rPr>
        <w:t>（41）宜信普泽投资顾问（北京）有限公司</w:t>
      </w:r>
    </w:p>
    <w:p>
      <w:pPr>
        <w:adjustRightInd w:val="0"/>
        <w:snapToGrid w:val="0"/>
        <w:spacing w:line="360" w:lineRule="auto"/>
        <w:ind w:firstLine="480" w:firstLineChars="200"/>
        <w:rPr>
          <w:sz w:val="24"/>
        </w:rPr>
      </w:pPr>
      <w:r>
        <w:rPr>
          <w:rFonts w:hint="eastAsia"/>
          <w:sz w:val="24"/>
        </w:rPr>
        <w:t xml:space="preserve">住所：北京市朝阳区建国路88号9号楼15层1809 </w:t>
      </w:r>
    </w:p>
    <w:p>
      <w:pPr>
        <w:adjustRightInd w:val="0"/>
        <w:snapToGrid w:val="0"/>
        <w:spacing w:line="360" w:lineRule="auto"/>
        <w:ind w:firstLine="480" w:firstLineChars="200"/>
        <w:rPr>
          <w:sz w:val="24"/>
        </w:rPr>
      </w:pPr>
      <w:r>
        <w:rPr>
          <w:rFonts w:hint="eastAsia"/>
          <w:sz w:val="24"/>
        </w:rPr>
        <w:t>办公地址：北京市朝阳区建国路88号SOHO现代城C座1809</w:t>
      </w:r>
    </w:p>
    <w:p>
      <w:pPr>
        <w:adjustRightInd w:val="0"/>
        <w:snapToGrid w:val="0"/>
        <w:spacing w:line="360" w:lineRule="auto"/>
        <w:ind w:firstLine="480" w:firstLineChars="200"/>
        <w:rPr>
          <w:sz w:val="24"/>
        </w:rPr>
      </w:pPr>
      <w:r>
        <w:rPr>
          <w:rFonts w:hint="eastAsia"/>
          <w:sz w:val="24"/>
        </w:rPr>
        <w:t>法定代表人：沈伟桦</w:t>
      </w:r>
    </w:p>
    <w:p>
      <w:pPr>
        <w:adjustRightInd w:val="0"/>
        <w:snapToGrid w:val="0"/>
        <w:spacing w:line="360" w:lineRule="auto"/>
        <w:ind w:firstLine="480" w:firstLineChars="200"/>
        <w:rPr>
          <w:sz w:val="24"/>
        </w:rPr>
      </w:pPr>
      <w:r>
        <w:rPr>
          <w:rFonts w:hint="eastAsia"/>
          <w:sz w:val="24"/>
        </w:rPr>
        <w:t>电话：010-52855713</w:t>
      </w:r>
    </w:p>
    <w:p>
      <w:pPr>
        <w:adjustRightInd w:val="0"/>
        <w:snapToGrid w:val="0"/>
        <w:spacing w:line="360" w:lineRule="auto"/>
        <w:ind w:firstLine="480" w:firstLineChars="200"/>
        <w:rPr>
          <w:sz w:val="24"/>
        </w:rPr>
      </w:pPr>
      <w:r>
        <w:rPr>
          <w:rFonts w:hint="eastAsia"/>
          <w:sz w:val="24"/>
        </w:rPr>
        <w:t>传真：010-85894285</w:t>
      </w:r>
    </w:p>
    <w:p>
      <w:pPr>
        <w:adjustRightInd w:val="0"/>
        <w:snapToGrid w:val="0"/>
        <w:spacing w:line="360" w:lineRule="auto"/>
        <w:ind w:firstLine="480" w:firstLineChars="200"/>
        <w:rPr>
          <w:sz w:val="24"/>
        </w:rPr>
      </w:pPr>
      <w:r>
        <w:rPr>
          <w:rFonts w:hint="eastAsia"/>
          <w:sz w:val="24"/>
        </w:rPr>
        <w:t>联系人：程刚</w:t>
      </w:r>
    </w:p>
    <w:p>
      <w:pPr>
        <w:adjustRightInd w:val="0"/>
        <w:snapToGrid w:val="0"/>
        <w:spacing w:line="360" w:lineRule="auto"/>
        <w:ind w:firstLine="480" w:firstLineChars="200"/>
        <w:rPr>
          <w:sz w:val="24"/>
        </w:rPr>
      </w:pPr>
      <w:r>
        <w:rPr>
          <w:rFonts w:hint="eastAsia"/>
          <w:sz w:val="24"/>
        </w:rPr>
        <w:t>客户服务电话：400-6099-200</w:t>
      </w:r>
    </w:p>
    <w:p>
      <w:pPr>
        <w:adjustRightInd w:val="0"/>
        <w:snapToGrid w:val="0"/>
        <w:spacing w:line="360" w:lineRule="auto"/>
        <w:ind w:firstLine="480" w:firstLineChars="200"/>
        <w:rPr>
          <w:sz w:val="24"/>
        </w:rPr>
      </w:pPr>
      <w:r>
        <w:rPr>
          <w:rFonts w:hint="eastAsia"/>
          <w:sz w:val="24"/>
        </w:rPr>
        <w:t>网址：www.yixinfund.com</w:t>
      </w:r>
    </w:p>
    <w:p>
      <w:pPr>
        <w:adjustRightInd w:val="0"/>
        <w:snapToGrid w:val="0"/>
        <w:spacing w:line="360" w:lineRule="auto"/>
        <w:ind w:firstLine="480" w:firstLineChars="200"/>
        <w:rPr>
          <w:sz w:val="24"/>
        </w:rPr>
      </w:pPr>
      <w:r>
        <w:rPr>
          <w:rFonts w:hint="eastAsia"/>
          <w:sz w:val="24"/>
        </w:rPr>
        <w:t>（42）上海基煜基金销售有限公司</w:t>
      </w:r>
    </w:p>
    <w:p>
      <w:pPr>
        <w:adjustRightInd w:val="0"/>
        <w:snapToGrid w:val="0"/>
        <w:spacing w:line="360" w:lineRule="auto"/>
        <w:ind w:firstLine="480" w:firstLineChars="200"/>
        <w:rPr>
          <w:sz w:val="24"/>
        </w:rPr>
      </w:pPr>
      <w:r>
        <w:rPr>
          <w:rFonts w:hint="eastAsia"/>
          <w:sz w:val="24"/>
        </w:rPr>
        <w:t>住所： 上海市崇明县长兴镇路潘园公路1800号2号楼6153室（上海泰和经济发展区）</w:t>
      </w:r>
    </w:p>
    <w:p>
      <w:pPr>
        <w:adjustRightInd w:val="0"/>
        <w:snapToGrid w:val="0"/>
        <w:spacing w:line="360" w:lineRule="auto"/>
        <w:ind w:firstLine="480" w:firstLineChars="200"/>
        <w:rPr>
          <w:sz w:val="24"/>
        </w:rPr>
      </w:pPr>
      <w:r>
        <w:rPr>
          <w:rFonts w:hint="eastAsia"/>
          <w:sz w:val="24"/>
        </w:rPr>
        <w:t>办公地址：上海市昆明路518号北美广场A1002-A1003室</w:t>
      </w:r>
    </w:p>
    <w:p>
      <w:pPr>
        <w:adjustRightInd w:val="0"/>
        <w:snapToGrid w:val="0"/>
        <w:spacing w:line="360" w:lineRule="auto"/>
        <w:ind w:firstLine="480" w:firstLineChars="200"/>
        <w:rPr>
          <w:sz w:val="24"/>
        </w:rPr>
      </w:pPr>
      <w:r>
        <w:rPr>
          <w:rFonts w:hint="eastAsia"/>
          <w:sz w:val="24"/>
        </w:rPr>
        <w:t xml:space="preserve">法定代表人：王翔 </w:t>
      </w:r>
    </w:p>
    <w:p>
      <w:pPr>
        <w:adjustRightInd w:val="0"/>
        <w:snapToGrid w:val="0"/>
        <w:spacing w:line="360" w:lineRule="auto"/>
        <w:ind w:firstLine="480" w:firstLineChars="200"/>
        <w:rPr>
          <w:sz w:val="24"/>
        </w:rPr>
      </w:pPr>
      <w:r>
        <w:rPr>
          <w:rFonts w:hint="eastAsia"/>
          <w:sz w:val="24"/>
        </w:rPr>
        <w:t>电话：（021）35385521</w:t>
      </w:r>
    </w:p>
    <w:p>
      <w:pPr>
        <w:adjustRightInd w:val="0"/>
        <w:snapToGrid w:val="0"/>
        <w:spacing w:line="360" w:lineRule="auto"/>
        <w:ind w:firstLine="480" w:firstLineChars="200"/>
        <w:rPr>
          <w:sz w:val="24"/>
        </w:rPr>
      </w:pPr>
      <w:r>
        <w:rPr>
          <w:rFonts w:hint="eastAsia"/>
          <w:sz w:val="24"/>
        </w:rPr>
        <w:t>传真：（021）55085991</w:t>
      </w:r>
    </w:p>
    <w:p>
      <w:pPr>
        <w:adjustRightInd w:val="0"/>
        <w:snapToGrid w:val="0"/>
        <w:spacing w:line="360" w:lineRule="auto"/>
        <w:ind w:firstLine="480" w:firstLineChars="200"/>
        <w:rPr>
          <w:sz w:val="24"/>
        </w:rPr>
      </w:pPr>
      <w:r>
        <w:rPr>
          <w:rFonts w:hint="eastAsia"/>
          <w:sz w:val="24"/>
        </w:rPr>
        <w:t>联系人：蓝杰</w:t>
      </w:r>
    </w:p>
    <w:p>
      <w:pPr>
        <w:adjustRightInd w:val="0"/>
        <w:snapToGrid w:val="0"/>
        <w:spacing w:line="360" w:lineRule="auto"/>
        <w:ind w:firstLine="480" w:firstLineChars="200"/>
        <w:rPr>
          <w:sz w:val="24"/>
        </w:rPr>
      </w:pPr>
      <w:r>
        <w:rPr>
          <w:rFonts w:hint="eastAsia"/>
          <w:sz w:val="24"/>
        </w:rPr>
        <w:t>客户服务电话：400-820-5369</w:t>
      </w:r>
    </w:p>
    <w:p>
      <w:pPr>
        <w:adjustRightInd w:val="0"/>
        <w:snapToGrid w:val="0"/>
        <w:spacing w:line="360" w:lineRule="auto"/>
        <w:ind w:firstLine="480" w:firstLineChars="200"/>
        <w:rPr>
          <w:sz w:val="24"/>
        </w:rPr>
      </w:pPr>
      <w:r>
        <w:rPr>
          <w:rFonts w:hint="eastAsia"/>
          <w:sz w:val="24"/>
        </w:rPr>
        <w:t xml:space="preserve">网址：www.jiyufund.com.cn </w:t>
      </w:r>
    </w:p>
    <w:p>
      <w:pPr>
        <w:adjustRightInd w:val="0"/>
        <w:snapToGrid w:val="0"/>
        <w:spacing w:line="360" w:lineRule="auto"/>
        <w:ind w:firstLine="480" w:firstLineChars="200"/>
        <w:rPr>
          <w:sz w:val="24"/>
        </w:rPr>
      </w:pPr>
      <w:r>
        <w:rPr>
          <w:rFonts w:hint="eastAsia"/>
          <w:sz w:val="24"/>
        </w:rPr>
        <w:t>（43）珠海盈米财富管理有限公司</w:t>
      </w:r>
    </w:p>
    <w:p>
      <w:pPr>
        <w:adjustRightInd w:val="0"/>
        <w:snapToGrid w:val="0"/>
        <w:spacing w:line="360" w:lineRule="auto"/>
        <w:ind w:firstLine="480" w:firstLineChars="200"/>
        <w:rPr>
          <w:sz w:val="24"/>
        </w:rPr>
      </w:pPr>
      <w:r>
        <w:rPr>
          <w:rFonts w:hint="eastAsia"/>
          <w:sz w:val="24"/>
        </w:rPr>
        <w:t xml:space="preserve">住所：珠海市横琴新区宝华路6号105室-3491 </w:t>
      </w:r>
    </w:p>
    <w:p>
      <w:pPr>
        <w:adjustRightInd w:val="0"/>
        <w:snapToGrid w:val="0"/>
        <w:spacing w:line="360" w:lineRule="auto"/>
        <w:ind w:firstLine="480" w:firstLineChars="200"/>
        <w:rPr>
          <w:sz w:val="24"/>
        </w:rPr>
      </w:pPr>
      <w:r>
        <w:rPr>
          <w:rFonts w:hint="eastAsia"/>
          <w:sz w:val="24"/>
        </w:rPr>
        <w:t xml:space="preserve">办公地址：广州市海珠区琶洲大道东1号保利国际广场南塔12楼B1201-1203 </w:t>
      </w:r>
    </w:p>
    <w:p>
      <w:pPr>
        <w:adjustRightInd w:val="0"/>
        <w:snapToGrid w:val="0"/>
        <w:spacing w:line="360" w:lineRule="auto"/>
        <w:ind w:firstLine="480" w:firstLineChars="200"/>
        <w:rPr>
          <w:sz w:val="24"/>
        </w:rPr>
      </w:pPr>
      <w:r>
        <w:rPr>
          <w:rFonts w:hint="eastAsia"/>
          <w:sz w:val="24"/>
        </w:rPr>
        <w:t xml:space="preserve">法定代表人：肖雯 </w:t>
      </w:r>
    </w:p>
    <w:p>
      <w:pPr>
        <w:adjustRightInd w:val="0"/>
        <w:snapToGrid w:val="0"/>
        <w:spacing w:line="360" w:lineRule="auto"/>
        <w:ind w:firstLine="480" w:firstLineChars="200"/>
        <w:rPr>
          <w:sz w:val="24"/>
        </w:rPr>
      </w:pPr>
      <w:r>
        <w:rPr>
          <w:rFonts w:hint="eastAsia"/>
          <w:sz w:val="24"/>
        </w:rPr>
        <w:t xml:space="preserve">电话：（020）89629099 </w:t>
      </w:r>
    </w:p>
    <w:p>
      <w:pPr>
        <w:adjustRightInd w:val="0"/>
        <w:snapToGrid w:val="0"/>
        <w:spacing w:line="360" w:lineRule="auto"/>
        <w:ind w:firstLine="480" w:firstLineChars="200"/>
        <w:rPr>
          <w:sz w:val="24"/>
        </w:rPr>
      </w:pPr>
      <w:r>
        <w:rPr>
          <w:rFonts w:hint="eastAsia"/>
          <w:sz w:val="24"/>
        </w:rPr>
        <w:t xml:space="preserve">传真：（020）89629011 </w:t>
      </w:r>
    </w:p>
    <w:p>
      <w:pPr>
        <w:adjustRightInd w:val="0"/>
        <w:snapToGrid w:val="0"/>
        <w:spacing w:line="360" w:lineRule="auto"/>
        <w:ind w:firstLine="480" w:firstLineChars="200"/>
        <w:rPr>
          <w:sz w:val="24"/>
        </w:rPr>
      </w:pPr>
      <w:r>
        <w:rPr>
          <w:rFonts w:hint="eastAsia"/>
          <w:sz w:val="24"/>
        </w:rPr>
        <w:t xml:space="preserve">联系人：黄敏嫦 </w:t>
      </w:r>
    </w:p>
    <w:p>
      <w:pPr>
        <w:adjustRightInd w:val="0"/>
        <w:snapToGrid w:val="0"/>
        <w:spacing w:line="360" w:lineRule="auto"/>
        <w:ind w:firstLine="480" w:firstLineChars="200"/>
        <w:rPr>
          <w:sz w:val="24"/>
        </w:rPr>
      </w:pPr>
      <w:r>
        <w:rPr>
          <w:rFonts w:hint="eastAsia"/>
          <w:sz w:val="24"/>
        </w:rPr>
        <w:t>客户服务电话：（020）89629066</w:t>
      </w:r>
    </w:p>
    <w:p>
      <w:pPr>
        <w:adjustRightInd w:val="0"/>
        <w:snapToGrid w:val="0"/>
        <w:spacing w:line="360" w:lineRule="auto"/>
        <w:ind w:firstLine="480" w:firstLineChars="200"/>
        <w:rPr>
          <w:sz w:val="24"/>
        </w:rPr>
      </w:pPr>
      <w:r>
        <w:rPr>
          <w:rFonts w:hint="eastAsia"/>
          <w:sz w:val="24"/>
        </w:rPr>
        <w:t>网址：www.yingmi.cn</w:t>
      </w:r>
    </w:p>
    <w:p>
      <w:pPr>
        <w:adjustRightInd w:val="0"/>
        <w:snapToGrid w:val="0"/>
        <w:spacing w:line="360" w:lineRule="auto"/>
        <w:ind w:firstLine="480" w:firstLineChars="200"/>
        <w:rPr>
          <w:sz w:val="24"/>
        </w:rPr>
      </w:pPr>
      <w:r>
        <w:rPr>
          <w:rFonts w:hint="eastAsia"/>
          <w:sz w:val="24"/>
        </w:rPr>
        <w:t>（44）上海陆金所资产管理有限公司</w:t>
      </w:r>
    </w:p>
    <w:p>
      <w:pPr>
        <w:adjustRightInd w:val="0"/>
        <w:snapToGrid w:val="0"/>
        <w:spacing w:line="360" w:lineRule="auto"/>
        <w:ind w:firstLine="480" w:firstLineChars="200"/>
        <w:rPr>
          <w:sz w:val="24"/>
        </w:rPr>
      </w:pPr>
      <w:r>
        <w:rPr>
          <w:rFonts w:hint="eastAsia"/>
          <w:sz w:val="24"/>
        </w:rPr>
        <w:t>住所：上海市浦东新区陆家嘴环路1333号14楼09单元</w:t>
      </w:r>
    </w:p>
    <w:p>
      <w:pPr>
        <w:adjustRightInd w:val="0"/>
        <w:snapToGrid w:val="0"/>
        <w:spacing w:line="360" w:lineRule="auto"/>
        <w:ind w:firstLine="480" w:firstLineChars="200"/>
        <w:rPr>
          <w:sz w:val="24"/>
        </w:rPr>
      </w:pPr>
      <w:r>
        <w:rPr>
          <w:rFonts w:hint="eastAsia"/>
          <w:sz w:val="24"/>
        </w:rPr>
        <w:t>办公地址：上海市浦东新区陆家嘴环路1333号14楼</w:t>
      </w:r>
    </w:p>
    <w:p>
      <w:pPr>
        <w:adjustRightInd w:val="0"/>
        <w:snapToGrid w:val="0"/>
        <w:spacing w:line="360" w:lineRule="auto"/>
        <w:ind w:firstLine="480" w:firstLineChars="200"/>
        <w:rPr>
          <w:sz w:val="24"/>
        </w:rPr>
      </w:pPr>
      <w:r>
        <w:rPr>
          <w:rFonts w:hint="eastAsia"/>
          <w:sz w:val="24"/>
        </w:rPr>
        <w:t>法定代表人：郭坚</w:t>
      </w:r>
    </w:p>
    <w:p>
      <w:pPr>
        <w:adjustRightInd w:val="0"/>
        <w:snapToGrid w:val="0"/>
        <w:spacing w:line="360" w:lineRule="auto"/>
        <w:ind w:firstLine="480" w:firstLineChars="200"/>
        <w:rPr>
          <w:sz w:val="24"/>
        </w:rPr>
      </w:pPr>
      <w:r>
        <w:rPr>
          <w:rFonts w:hint="eastAsia"/>
          <w:sz w:val="24"/>
        </w:rPr>
        <w:t>电话：（021）20665952</w:t>
      </w:r>
    </w:p>
    <w:p>
      <w:pPr>
        <w:adjustRightInd w:val="0"/>
        <w:snapToGrid w:val="0"/>
        <w:spacing w:line="360" w:lineRule="auto"/>
        <w:ind w:firstLine="480" w:firstLineChars="200"/>
        <w:rPr>
          <w:sz w:val="24"/>
        </w:rPr>
      </w:pPr>
      <w:r>
        <w:rPr>
          <w:rFonts w:hint="eastAsia"/>
          <w:sz w:val="24"/>
        </w:rPr>
        <w:t>传真：（021）22066653</w:t>
      </w:r>
    </w:p>
    <w:p>
      <w:pPr>
        <w:adjustRightInd w:val="0"/>
        <w:snapToGrid w:val="0"/>
        <w:spacing w:line="360" w:lineRule="auto"/>
        <w:ind w:firstLine="480" w:firstLineChars="200"/>
        <w:rPr>
          <w:sz w:val="24"/>
        </w:rPr>
      </w:pPr>
      <w:r>
        <w:rPr>
          <w:rFonts w:hint="eastAsia"/>
          <w:sz w:val="24"/>
        </w:rPr>
        <w:t>联系人：宁博宇</w:t>
      </w:r>
    </w:p>
    <w:p>
      <w:pPr>
        <w:adjustRightInd w:val="0"/>
        <w:snapToGrid w:val="0"/>
        <w:spacing w:line="360" w:lineRule="auto"/>
        <w:ind w:firstLine="480" w:firstLineChars="200"/>
        <w:rPr>
          <w:sz w:val="24"/>
        </w:rPr>
      </w:pPr>
      <w:r>
        <w:rPr>
          <w:rFonts w:hint="eastAsia"/>
          <w:sz w:val="24"/>
        </w:rPr>
        <w:t>客户服务电话：4008219031</w:t>
      </w:r>
    </w:p>
    <w:p>
      <w:pPr>
        <w:adjustRightInd w:val="0"/>
        <w:snapToGrid w:val="0"/>
        <w:spacing w:line="360" w:lineRule="auto"/>
        <w:ind w:firstLine="480" w:firstLineChars="200"/>
        <w:rPr>
          <w:sz w:val="24"/>
        </w:rPr>
      </w:pPr>
      <w:r>
        <w:rPr>
          <w:rFonts w:hint="eastAsia"/>
          <w:sz w:val="24"/>
        </w:rPr>
        <w:t>网址：www.lufunds.com</w:t>
      </w:r>
    </w:p>
    <w:p>
      <w:pPr>
        <w:adjustRightInd w:val="0"/>
        <w:snapToGrid w:val="0"/>
        <w:spacing w:line="360" w:lineRule="auto"/>
        <w:ind w:firstLine="480" w:firstLineChars="200"/>
        <w:rPr>
          <w:sz w:val="24"/>
        </w:rPr>
      </w:pPr>
      <w:r>
        <w:rPr>
          <w:rFonts w:hint="eastAsia"/>
          <w:sz w:val="24"/>
        </w:rPr>
        <w:t>（45）北京虹点基金销售有限公司</w:t>
      </w:r>
    </w:p>
    <w:p>
      <w:pPr>
        <w:adjustRightInd w:val="0"/>
        <w:snapToGrid w:val="0"/>
        <w:spacing w:line="360" w:lineRule="auto"/>
        <w:ind w:firstLine="480" w:firstLineChars="200"/>
        <w:rPr>
          <w:sz w:val="24"/>
        </w:rPr>
      </w:pPr>
      <w:r>
        <w:rPr>
          <w:rFonts w:hint="eastAsia"/>
          <w:sz w:val="24"/>
        </w:rPr>
        <w:t>住所：北京市朝阳区工人体育场北路甲2号裙房2层222单元</w:t>
      </w:r>
    </w:p>
    <w:p>
      <w:pPr>
        <w:adjustRightInd w:val="0"/>
        <w:snapToGrid w:val="0"/>
        <w:spacing w:line="360" w:lineRule="auto"/>
        <w:ind w:firstLine="480" w:firstLineChars="200"/>
        <w:rPr>
          <w:sz w:val="24"/>
        </w:rPr>
      </w:pPr>
      <w:r>
        <w:rPr>
          <w:rFonts w:hint="eastAsia"/>
          <w:sz w:val="24"/>
        </w:rPr>
        <w:t>办公地址：北京市朝阳区工人体育场北路甲2号裙房2层222单元</w:t>
      </w:r>
    </w:p>
    <w:p>
      <w:pPr>
        <w:adjustRightInd w:val="0"/>
        <w:snapToGrid w:val="0"/>
        <w:spacing w:line="360" w:lineRule="auto"/>
        <w:ind w:firstLine="480" w:firstLineChars="200"/>
        <w:rPr>
          <w:sz w:val="24"/>
        </w:rPr>
      </w:pPr>
      <w:r>
        <w:rPr>
          <w:rFonts w:hint="eastAsia"/>
          <w:sz w:val="24"/>
        </w:rPr>
        <w:t>法定代表人：胡伟</w:t>
      </w:r>
    </w:p>
    <w:p>
      <w:pPr>
        <w:adjustRightInd w:val="0"/>
        <w:snapToGrid w:val="0"/>
        <w:spacing w:line="360" w:lineRule="auto"/>
        <w:ind w:firstLine="480" w:firstLineChars="200"/>
        <w:rPr>
          <w:sz w:val="24"/>
        </w:rPr>
      </w:pPr>
      <w:r>
        <w:rPr>
          <w:rFonts w:hint="eastAsia"/>
          <w:sz w:val="24"/>
        </w:rPr>
        <w:t>电话：（010）65951887</w:t>
      </w:r>
    </w:p>
    <w:p>
      <w:pPr>
        <w:adjustRightInd w:val="0"/>
        <w:snapToGrid w:val="0"/>
        <w:spacing w:line="360" w:lineRule="auto"/>
        <w:ind w:firstLine="480" w:firstLineChars="200"/>
        <w:rPr>
          <w:sz w:val="24"/>
        </w:rPr>
      </w:pPr>
      <w:r>
        <w:rPr>
          <w:rFonts w:hint="eastAsia"/>
          <w:sz w:val="24"/>
        </w:rPr>
        <w:t>传真：（010）65951887</w:t>
      </w:r>
    </w:p>
    <w:p>
      <w:pPr>
        <w:adjustRightInd w:val="0"/>
        <w:snapToGrid w:val="0"/>
        <w:spacing w:line="360" w:lineRule="auto"/>
        <w:ind w:firstLine="480" w:firstLineChars="200"/>
        <w:rPr>
          <w:sz w:val="24"/>
        </w:rPr>
      </w:pPr>
      <w:r>
        <w:rPr>
          <w:rFonts w:hint="eastAsia"/>
          <w:sz w:val="24"/>
        </w:rPr>
        <w:t>联系人：姜颖</w:t>
      </w:r>
    </w:p>
    <w:p>
      <w:pPr>
        <w:adjustRightInd w:val="0"/>
        <w:snapToGrid w:val="0"/>
        <w:spacing w:line="360" w:lineRule="auto"/>
        <w:ind w:firstLine="480" w:firstLineChars="200"/>
        <w:rPr>
          <w:sz w:val="24"/>
        </w:rPr>
      </w:pPr>
      <w:r>
        <w:rPr>
          <w:rFonts w:hint="eastAsia"/>
          <w:sz w:val="24"/>
        </w:rPr>
        <w:t>客户服务电话：400-618-0707</w:t>
      </w:r>
    </w:p>
    <w:p>
      <w:pPr>
        <w:adjustRightInd w:val="0"/>
        <w:snapToGrid w:val="0"/>
        <w:spacing w:line="360" w:lineRule="auto"/>
        <w:ind w:firstLine="480" w:firstLineChars="200"/>
        <w:rPr>
          <w:sz w:val="24"/>
        </w:rPr>
      </w:pPr>
      <w:r>
        <w:rPr>
          <w:rFonts w:hint="eastAsia"/>
          <w:sz w:val="24"/>
        </w:rPr>
        <w:t>网址：www.hongdianfund.com/</w:t>
      </w:r>
    </w:p>
    <w:p>
      <w:pPr>
        <w:adjustRightInd w:val="0"/>
        <w:snapToGrid w:val="0"/>
        <w:spacing w:line="360" w:lineRule="auto"/>
        <w:ind w:firstLine="480" w:firstLineChars="200"/>
        <w:rPr>
          <w:sz w:val="24"/>
        </w:rPr>
      </w:pPr>
      <w:r>
        <w:rPr>
          <w:rFonts w:hint="eastAsia"/>
          <w:sz w:val="24"/>
        </w:rPr>
        <w:t>（46）上海凯石财富基金销售有限公司</w:t>
      </w:r>
    </w:p>
    <w:p>
      <w:pPr>
        <w:adjustRightInd w:val="0"/>
        <w:snapToGrid w:val="0"/>
        <w:spacing w:line="360" w:lineRule="auto"/>
        <w:ind w:firstLine="480" w:firstLineChars="200"/>
        <w:rPr>
          <w:sz w:val="24"/>
        </w:rPr>
      </w:pPr>
      <w:r>
        <w:rPr>
          <w:rFonts w:hint="eastAsia"/>
          <w:sz w:val="24"/>
        </w:rPr>
        <w:t>住所：上海市黄浦区西藏南路765号602-115室</w:t>
      </w:r>
    </w:p>
    <w:p>
      <w:pPr>
        <w:adjustRightInd w:val="0"/>
        <w:snapToGrid w:val="0"/>
        <w:spacing w:line="360" w:lineRule="auto"/>
        <w:ind w:firstLine="480" w:firstLineChars="200"/>
        <w:rPr>
          <w:sz w:val="24"/>
        </w:rPr>
      </w:pPr>
      <w:r>
        <w:rPr>
          <w:rFonts w:hint="eastAsia"/>
          <w:sz w:val="24"/>
        </w:rPr>
        <w:t>办公地址：上海市黄浦区延安东路1号凯石大厦4楼</w:t>
      </w:r>
    </w:p>
    <w:p>
      <w:pPr>
        <w:adjustRightInd w:val="0"/>
        <w:snapToGrid w:val="0"/>
        <w:spacing w:line="360" w:lineRule="auto"/>
        <w:ind w:firstLine="480" w:firstLineChars="200"/>
        <w:rPr>
          <w:sz w:val="24"/>
        </w:rPr>
      </w:pPr>
      <w:r>
        <w:rPr>
          <w:rFonts w:hint="eastAsia"/>
          <w:sz w:val="24"/>
        </w:rPr>
        <w:t>法定代表人：陈继武</w:t>
      </w:r>
    </w:p>
    <w:p>
      <w:pPr>
        <w:adjustRightInd w:val="0"/>
        <w:snapToGrid w:val="0"/>
        <w:spacing w:line="360" w:lineRule="auto"/>
        <w:ind w:firstLine="480" w:firstLineChars="200"/>
        <w:rPr>
          <w:sz w:val="24"/>
        </w:rPr>
      </w:pPr>
      <w:r>
        <w:rPr>
          <w:rFonts w:hint="eastAsia"/>
          <w:sz w:val="24"/>
        </w:rPr>
        <w:t>电话：021-63333319</w:t>
      </w:r>
    </w:p>
    <w:p>
      <w:pPr>
        <w:adjustRightInd w:val="0"/>
        <w:snapToGrid w:val="0"/>
        <w:spacing w:line="360" w:lineRule="auto"/>
        <w:ind w:firstLine="480" w:firstLineChars="200"/>
        <w:rPr>
          <w:sz w:val="24"/>
        </w:rPr>
      </w:pPr>
      <w:r>
        <w:rPr>
          <w:rFonts w:hint="eastAsia"/>
          <w:sz w:val="24"/>
        </w:rPr>
        <w:t>传真：021-63332523</w:t>
      </w:r>
    </w:p>
    <w:p>
      <w:pPr>
        <w:adjustRightInd w:val="0"/>
        <w:snapToGrid w:val="0"/>
        <w:spacing w:line="360" w:lineRule="auto"/>
        <w:ind w:firstLine="480" w:firstLineChars="200"/>
        <w:rPr>
          <w:sz w:val="24"/>
        </w:rPr>
      </w:pPr>
      <w:r>
        <w:rPr>
          <w:rFonts w:hint="eastAsia"/>
          <w:sz w:val="24"/>
        </w:rPr>
        <w:t>联系人：李晓明</w:t>
      </w:r>
    </w:p>
    <w:p>
      <w:pPr>
        <w:adjustRightInd w:val="0"/>
        <w:snapToGrid w:val="0"/>
        <w:spacing w:line="360" w:lineRule="auto"/>
        <w:ind w:firstLine="480" w:firstLineChars="200"/>
        <w:rPr>
          <w:sz w:val="24"/>
        </w:rPr>
      </w:pPr>
      <w:r>
        <w:rPr>
          <w:rFonts w:hint="eastAsia"/>
          <w:sz w:val="24"/>
        </w:rPr>
        <w:t>客服电话：4000 178 000</w:t>
      </w:r>
    </w:p>
    <w:p>
      <w:pPr>
        <w:adjustRightInd w:val="0"/>
        <w:snapToGrid w:val="0"/>
        <w:spacing w:line="360" w:lineRule="auto"/>
        <w:ind w:firstLine="480" w:firstLineChars="200"/>
        <w:rPr>
          <w:sz w:val="24"/>
        </w:rPr>
      </w:pPr>
      <w:r>
        <w:rPr>
          <w:rFonts w:hint="eastAsia"/>
          <w:sz w:val="24"/>
        </w:rPr>
        <w:t>网址：www.lingxianfund.com</w:t>
      </w:r>
    </w:p>
    <w:p>
      <w:pPr>
        <w:adjustRightInd w:val="0"/>
        <w:snapToGrid w:val="0"/>
        <w:spacing w:line="360" w:lineRule="auto"/>
        <w:ind w:firstLine="480" w:firstLineChars="200"/>
        <w:rPr>
          <w:sz w:val="24"/>
        </w:rPr>
      </w:pPr>
      <w:r>
        <w:rPr>
          <w:rFonts w:hint="eastAsia"/>
          <w:sz w:val="24"/>
        </w:rPr>
        <w:t>（47）上海利得基金销售有限公司</w:t>
      </w:r>
    </w:p>
    <w:p>
      <w:pPr>
        <w:adjustRightInd w:val="0"/>
        <w:snapToGrid w:val="0"/>
        <w:spacing w:line="360" w:lineRule="auto"/>
        <w:ind w:firstLine="480" w:firstLineChars="200"/>
        <w:rPr>
          <w:sz w:val="24"/>
        </w:rPr>
      </w:pPr>
      <w:r>
        <w:rPr>
          <w:rFonts w:hint="eastAsia"/>
          <w:sz w:val="24"/>
        </w:rPr>
        <w:t>住所： 上海浦东新区峨山路91弄61号陆家嘴软件园10号楼12楼</w:t>
      </w:r>
    </w:p>
    <w:p>
      <w:pPr>
        <w:adjustRightInd w:val="0"/>
        <w:snapToGrid w:val="0"/>
        <w:spacing w:line="360" w:lineRule="auto"/>
        <w:ind w:firstLine="480" w:firstLineChars="200"/>
        <w:rPr>
          <w:sz w:val="24"/>
        </w:rPr>
      </w:pPr>
      <w:r>
        <w:rPr>
          <w:rFonts w:hint="eastAsia"/>
          <w:sz w:val="24"/>
        </w:rPr>
        <w:t>办公地址：上海浦东新区峨山路91弄61号陆家嘴软件园10号楼12楼</w:t>
      </w:r>
    </w:p>
    <w:p>
      <w:pPr>
        <w:adjustRightInd w:val="0"/>
        <w:snapToGrid w:val="0"/>
        <w:spacing w:line="360" w:lineRule="auto"/>
        <w:ind w:firstLine="480" w:firstLineChars="200"/>
        <w:rPr>
          <w:sz w:val="24"/>
        </w:rPr>
      </w:pPr>
      <w:r>
        <w:rPr>
          <w:rFonts w:hint="eastAsia"/>
          <w:sz w:val="24"/>
        </w:rPr>
        <w:t>法定代表人：沈继伟</w:t>
      </w:r>
    </w:p>
    <w:p>
      <w:pPr>
        <w:adjustRightInd w:val="0"/>
        <w:snapToGrid w:val="0"/>
        <w:spacing w:line="360" w:lineRule="auto"/>
        <w:ind w:firstLine="480" w:firstLineChars="200"/>
        <w:rPr>
          <w:sz w:val="24"/>
        </w:rPr>
      </w:pPr>
      <w:r>
        <w:rPr>
          <w:rFonts w:hint="eastAsia"/>
          <w:sz w:val="24"/>
        </w:rPr>
        <w:t>电话：021-50583533</w:t>
      </w:r>
    </w:p>
    <w:p>
      <w:pPr>
        <w:adjustRightInd w:val="0"/>
        <w:snapToGrid w:val="0"/>
        <w:spacing w:line="360" w:lineRule="auto"/>
        <w:ind w:firstLine="480" w:firstLineChars="200"/>
        <w:rPr>
          <w:sz w:val="24"/>
        </w:rPr>
      </w:pPr>
      <w:r>
        <w:rPr>
          <w:rFonts w:hint="eastAsia"/>
          <w:sz w:val="24"/>
        </w:rPr>
        <w:t>传真：021-50583633</w:t>
      </w:r>
    </w:p>
    <w:p>
      <w:pPr>
        <w:adjustRightInd w:val="0"/>
        <w:snapToGrid w:val="0"/>
        <w:spacing w:line="360" w:lineRule="auto"/>
        <w:ind w:firstLine="480" w:firstLineChars="200"/>
        <w:rPr>
          <w:sz w:val="24"/>
        </w:rPr>
      </w:pPr>
      <w:r>
        <w:rPr>
          <w:rFonts w:hint="eastAsia"/>
          <w:sz w:val="24"/>
        </w:rPr>
        <w:t>联系人： 徐鹏</w:t>
      </w:r>
    </w:p>
    <w:p>
      <w:pPr>
        <w:adjustRightInd w:val="0"/>
        <w:snapToGrid w:val="0"/>
        <w:spacing w:line="360" w:lineRule="auto"/>
        <w:ind w:firstLine="480" w:firstLineChars="200"/>
        <w:rPr>
          <w:sz w:val="24"/>
        </w:rPr>
      </w:pPr>
      <w:r>
        <w:rPr>
          <w:rFonts w:hint="eastAsia"/>
          <w:sz w:val="24"/>
        </w:rPr>
        <w:t>客服电话：400-005-6355</w:t>
      </w:r>
    </w:p>
    <w:p>
      <w:pPr>
        <w:adjustRightInd w:val="0"/>
        <w:snapToGrid w:val="0"/>
        <w:spacing w:line="360" w:lineRule="auto"/>
        <w:ind w:firstLine="480" w:firstLineChars="200"/>
        <w:rPr>
          <w:sz w:val="24"/>
        </w:rPr>
      </w:pPr>
      <w:r>
        <w:rPr>
          <w:rFonts w:hint="eastAsia"/>
          <w:sz w:val="24"/>
        </w:rPr>
        <w:t>网址：a.leadfund.com.cn</w:t>
      </w:r>
    </w:p>
    <w:p>
      <w:pPr>
        <w:adjustRightInd w:val="0"/>
        <w:snapToGrid w:val="0"/>
        <w:spacing w:line="360" w:lineRule="auto"/>
        <w:ind w:firstLine="480" w:firstLineChars="200"/>
        <w:rPr>
          <w:sz w:val="24"/>
        </w:rPr>
      </w:pPr>
      <w:r>
        <w:rPr>
          <w:rFonts w:hint="eastAsia"/>
          <w:sz w:val="24"/>
        </w:rPr>
        <w:t>（48）浙江同花顺基金销售有限公司</w:t>
      </w:r>
    </w:p>
    <w:p>
      <w:pPr>
        <w:adjustRightInd w:val="0"/>
        <w:snapToGrid w:val="0"/>
        <w:spacing w:line="360" w:lineRule="auto"/>
        <w:ind w:firstLine="480" w:firstLineChars="200"/>
        <w:rPr>
          <w:sz w:val="24"/>
        </w:rPr>
      </w:pPr>
      <w:r>
        <w:rPr>
          <w:rFonts w:hint="eastAsia"/>
          <w:sz w:val="24"/>
        </w:rPr>
        <w:t>住所：浙江省杭州市文二西路1号元茂大厦903</w:t>
      </w:r>
    </w:p>
    <w:p>
      <w:pPr>
        <w:adjustRightInd w:val="0"/>
        <w:snapToGrid w:val="0"/>
        <w:spacing w:line="360" w:lineRule="auto"/>
        <w:ind w:firstLine="480" w:firstLineChars="200"/>
        <w:rPr>
          <w:sz w:val="24"/>
        </w:rPr>
      </w:pPr>
      <w:r>
        <w:rPr>
          <w:rFonts w:hint="eastAsia"/>
          <w:sz w:val="24"/>
        </w:rPr>
        <w:t>办公地址：浙江省杭州市西湖区翠柏路7号电子商务产业园2号楼 2楼</w:t>
      </w:r>
    </w:p>
    <w:p>
      <w:pPr>
        <w:adjustRightInd w:val="0"/>
        <w:snapToGrid w:val="0"/>
        <w:spacing w:line="360" w:lineRule="auto"/>
        <w:ind w:firstLine="480" w:firstLineChars="200"/>
        <w:rPr>
          <w:sz w:val="24"/>
        </w:rPr>
      </w:pPr>
      <w:r>
        <w:rPr>
          <w:rFonts w:hint="eastAsia"/>
          <w:sz w:val="24"/>
        </w:rPr>
        <w:t xml:space="preserve">法定代表人：凌顺平 </w:t>
      </w:r>
    </w:p>
    <w:p>
      <w:pPr>
        <w:adjustRightInd w:val="0"/>
        <w:snapToGrid w:val="0"/>
        <w:spacing w:line="360" w:lineRule="auto"/>
        <w:ind w:firstLine="480" w:firstLineChars="200"/>
        <w:rPr>
          <w:sz w:val="24"/>
        </w:rPr>
      </w:pPr>
      <w:r>
        <w:rPr>
          <w:rFonts w:hint="eastAsia"/>
          <w:sz w:val="24"/>
        </w:rPr>
        <w:t>电话：（0571）88911818</w:t>
      </w:r>
    </w:p>
    <w:p>
      <w:pPr>
        <w:adjustRightInd w:val="0"/>
        <w:snapToGrid w:val="0"/>
        <w:spacing w:line="360" w:lineRule="auto"/>
        <w:ind w:firstLine="480" w:firstLineChars="200"/>
        <w:rPr>
          <w:sz w:val="24"/>
        </w:rPr>
      </w:pPr>
      <w:r>
        <w:rPr>
          <w:rFonts w:hint="eastAsia"/>
          <w:sz w:val="24"/>
        </w:rPr>
        <w:t>传真：（0571）86800423</w:t>
      </w:r>
    </w:p>
    <w:p>
      <w:pPr>
        <w:adjustRightInd w:val="0"/>
        <w:snapToGrid w:val="0"/>
        <w:spacing w:line="360" w:lineRule="auto"/>
        <w:ind w:firstLine="480" w:firstLineChars="200"/>
        <w:rPr>
          <w:sz w:val="24"/>
        </w:rPr>
      </w:pPr>
      <w:r>
        <w:rPr>
          <w:rFonts w:hint="eastAsia"/>
          <w:sz w:val="24"/>
        </w:rPr>
        <w:t xml:space="preserve">联系人：吴强 </w:t>
      </w:r>
    </w:p>
    <w:p>
      <w:pPr>
        <w:adjustRightInd w:val="0"/>
        <w:snapToGrid w:val="0"/>
        <w:spacing w:line="360" w:lineRule="auto"/>
        <w:ind w:firstLine="480" w:firstLineChars="200"/>
        <w:rPr>
          <w:sz w:val="24"/>
        </w:rPr>
      </w:pPr>
      <w:r>
        <w:rPr>
          <w:rFonts w:hint="eastAsia"/>
          <w:sz w:val="24"/>
        </w:rPr>
        <w:t>客户服务电话：400-877-3772</w:t>
      </w:r>
    </w:p>
    <w:p>
      <w:pPr>
        <w:adjustRightInd w:val="0"/>
        <w:snapToGrid w:val="0"/>
        <w:spacing w:line="360" w:lineRule="auto"/>
        <w:ind w:firstLine="480" w:firstLineChars="200"/>
        <w:rPr>
          <w:sz w:val="24"/>
        </w:rPr>
      </w:pPr>
      <w:r>
        <w:rPr>
          <w:rFonts w:hint="eastAsia"/>
          <w:sz w:val="24"/>
        </w:rPr>
        <w:t>网址：www.5ifund.com</w:t>
      </w:r>
    </w:p>
    <w:p>
      <w:pPr>
        <w:adjustRightInd w:val="0"/>
        <w:snapToGrid w:val="0"/>
        <w:spacing w:line="360" w:lineRule="auto"/>
        <w:ind w:firstLine="480" w:firstLineChars="200"/>
        <w:rPr>
          <w:sz w:val="24"/>
        </w:rPr>
      </w:pPr>
      <w:r>
        <w:rPr>
          <w:rFonts w:hint="eastAsia"/>
          <w:sz w:val="24"/>
        </w:rPr>
        <w:t xml:space="preserve">（49）上海好买基金销售有限公司 </w:t>
      </w:r>
    </w:p>
    <w:p>
      <w:pPr>
        <w:adjustRightInd w:val="0"/>
        <w:snapToGrid w:val="0"/>
        <w:spacing w:line="360" w:lineRule="auto"/>
        <w:ind w:firstLine="480" w:firstLineChars="200"/>
        <w:rPr>
          <w:sz w:val="24"/>
        </w:rPr>
      </w:pPr>
      <w:r>
        <w:rPr>
          <w:rFonts w:hint="eastAsia"/>
          <w:sz w:val="24"/>
        </w:rPr>
        <w:t xml:space="preserve">住所：上海市虹口区场中路685弄37号4号楼449室 </w:t>
      </w:r>
    </w:p>
    <w:p>
      <w:pPr>
        <w:adjustRightInd w:val="0"/>
        <w:snapToGrid w:val="0"/>
        <w:spacing w:line="360" w:lineRule="auto"/>
        <w:ind w:firstLine="480" w:firstLineChars="200"/>
        <w:rPr>
          <w:sz w:val="24"/>
        </w:rPr>
      </w:pPr>
      <w:r>
        <w:rPr>
          <w:rFonts w:hint="eastAsia"/>
          <w:sz w:val="24"/>
        </w:rPr>
        <w:t xml:space="preserve">办公地址：上海市浦东新区浦东南路1118号鄂尔多斯国际大厦903-906室 </w:t>
      </w:r>
    </w:p>
    <w:p>
      <w:pPr>
        <w:adjustRightInd w:val="0"/>
        <w:snapToGrid w:val="0"/>
        <w:spacing w:line="360" w:lineRule="auto"/>
        <w:ind w:firstLine="480" w:firstLineChars="200"/>
        <w:rPr>
          <w:sz w:val="24"/>
        </w:rPr>
      </w:pPr>
      <w:r>
        <w:rPr>
          <w:rFonts w:hint="eastAsia"/>
          <w:sz w:val="24"/>
        </w:rPr>
        <w:t xml:space="preserve">法定代表人：杨文斌 </w:t>
      </w:r>
    </w:p>
    <w:p>
      <w:pPr>
        <w:adjustRightInd w:val="0"/>
        <w:snapToGrid w:val="0"/>
        <w:spacing w:line="360" w:lineRule="auto"/>
        <w:ind w:firstLine="480" w:firstLineChars="200"/>
        <w:rPr>
          <w:sz w:val="24"/>
        </w:rPr>
      </w:pPr>
      <w:r>
        <w:rPr>
          <w:rFonts w:hint="eastAsia"/>
          <w:sz w:val="24"/>
        </w:rPr>
        <w:t xml:space="preserve">传真：（021）68596916 </w:t>
      </w:r>
    </w:p>
    <w:p>
      <w:pPr>
        <w:adjustRightInd w:val="0"/>
        <w:snapToGrid w:val="0"/>
        <w:spacing w:line="360" w:lineRule="auto"/>
        <w:ind w:firstLine="480" w:firstLineChars="200"/>
        <w:rPr>
          <w:sz w:val="24"/>
        </w:rPr>
      </w:pPr>
      <w:r>
        <w:rPr>
          <w:rFonts w:hint="eastAsia"/>
          <w:sz w:val="24"/>
        </w:rPr>
        <w:t>联系人：薛年</w:t>
      </w:r>
    </w:p>
    <w:p>
      <w:pPr>
        <w:adjustRightInd w:val="0"/>
        <w:snapToGrid w:val="0"/>
        <w:spacing w:line="360" w:lineRule="auto"/>
        <w:ind w:firstLine="480" w:firstLineChars="200"/>
        <w:rPr>
          <w:sz w:val="24"/>
        </w:rPr>
      </w:pPr>
      <w:r>
        <w:rPr>
          <w:rFonts w:hint="eastAsia"/>
          <w:sz w:val="24"/>
        </w:rPr>
        <w:t xml:space="preserve">客户服务电话：400-700-9665 </w:t>
      </w:r>
    </w:p>
    <w:p>
      <w:pPr>
        <w:adjustRightInd w:val="0"/>
        <w:snapToGrid w:val="0"/>
        <w:spacing w:line="360" w:lineRule="auto"/>
        <w:ind w:firstLine="480" w:firstLineChars="200"/>
        <w:rPr>
          <w:sz w:val="24"/>
        </w:rPr>
      </w:pPr>
      <w:r>
        <w:rPr>
          <w:rFonts w:hint="eastAsia"/>
          <w:sz w:val="24"/>
        </w:rPr>
        <w:t>网址：www.ehowbuy.com</w:t>
      </w:r>
    </w:p>
    <w:p>
      <w:pPr>
        <w:adjustRightInd w:val="0"/>
        <w:snapToGrid w:val="0"/>
        <w:spacing w:line="360" w:lineRule="auto"/>
        <w:ind w:firstLine="480" w:firstLineChars="200"/>
        <w:rPr>
          <w:sz w:val="24"/>
        </w:rPr>
      </w:pPr>
      <w:r>
        <w:rPr>
          <w:rFonts w:hint="eastAsia"/>
          <w:sz w:val="24"/>
        </w:rPr>
        <w:t>（50）北京汇成基金销售有限公司</w:t>
      </w:r>
    </w:p>
    <w:p>
      <w:pPr>
        <w:adjustRightInd w:val="0"/>
        <w:snapToGrid w:val="0"/>
        <w:spacing w:line="360" w:lineRule="auto"/>
        <w:ind w:firstLine="480" w:firstLineChars="200"/>
        <w:rPr>
          <w:sz w:val="24"/>
        </w:rPr>
      </w:pPr>
      <w:r>
        <w:rPr>
          <w:rFonts w:hint="eastAsia"/>
          <w:sz w:val="24"/>
        </w:rPr>
        <w:t xml:space="preserve">住所：北京市海淀区中关村大街11号11层1108 </w:t>
      </w:r>
    </w:p>
    <w:p>
      <w:pPr>
        <w:adjustRightInd w:val="0"/>
        <w:snapToGrid w:val="0"/>
        <w:spacing w:line="360" w:lineRule="auto"/>
        <w:ind w:firstLine="480" w:firstLineChars="200"/>
        <w:rPr>
          <w:sz w:val="24"/>
        </w:rPr>
      </w:pPr>
      <w:r>
        <w:rPr>
          <w:rFonts w:hint="eastAsia"/>
          <w:sz w:val="24"/>
        </w:rPr>
        <w:t xml:space="preserve">办公地址：北京市海淀区中关村大街11号11层1108  </w:t>
      </w:r>
    </w:p>
    <w:p>
      <w:pPr>
        <w:adjustRightInd w:val="0"/>
        <w:snapToGrid w:val="0"/>
        <w:spacing w:line="360" w:lineRule="auto"/>
        <w:ind w:firstLine="480" w:firstLineChars="200"/>
        <w:rPr>
          <w:sz w:val="24"/>
        </w:rPr>
      </w:pPr>
      <w:r>
        <w:rPr>
          <w:rFonts w:hint="eastAsia"/>
          <w:sz w:val="24"/>
        </w:rPr>
        <w:t xml:space="preserve">法定代表人：王伟刚 </w:t>
      </w:r>
    </w:p>
    <w:p>
      <w:pPr>
        <w:adjustRightInd w:val="0"/>
        <w:snapToGrid w:val="0"/>
        <w:spacing w:line="360" w:lineRule="auto"/>
        <w:ind w:firstLine="480" w:firstLineChars="200"/>
        <w:rPr>
          <w:sz w:val="24"/>
        </w:rPr>
      </w:pPr>
      <w:r>
        <w:rPr>
          <w:rFonts w:hint="eastAsia"/>
          <w:sz w:val="24"/>
        </w:rPr>
        <w:t>电话：（010）56282140</w:t>
      </w:r>
    </w:p>
    <w:p>
      <w:pPr>
        <w:adjustRightInd w:val="0"/>
        <w:snapToGrid w:val="0"/>
        <w:spacing w:line="360" w:lineRule="auto"/>
        <w:ind w:firstLine="480" w:firstLineChars="200"/>
        <w:rPr>
          <w:sz w:val="24"/>
        </w:rPr>
      </w:pPr>
      <w:r>
        <w:rPr>
          <w:rFonts w:hint="eastAsia"/>
          <w:sz w:val="24"/>
        </w:rPr>
        <w:t>传真：（010）62680827</w:t>
      </w:r>
    </w:p>
    <w:p>
      <w:pPr>
        <w:adjustRightInd w:val="0"/>
        <w:snapToGrid w:val="0"/>
        <w:spacing w:line="360" w:lineRule="auto"/>
        <w:ind w:firstLine="480" w:firstLineChars="200"/>
        <w:rPr>
          <w:sz w:val="24"/>
        </w:rPr>
      </w:pPr>
      <w:r>
        <w:rPr>
          <w:rFonts w:hint="eastAsia"/>
          <w:sz w:val="24"/>
        </w:rPr>
        <w:t>联系人：丁向坤</w:t>
      </w:r>
    </w:p>
    <w:p>
      <w:pPr>
        <w:adjustRightInd w:val="0"/>
        <w:snapToGrid w:val="0"/>
        <w:spacing w:line="360" w:lineRule="auto"/>
        <w:ind w:firstLine="480" w:firstLineChars="200"/>
        <w:rPr>
          <w:sz w:val="24"/>
        </w:rPr>
      </w:pPr>
      <w:r>
        <w:rPr>
          <w:rFonts w:hint="eastAsia"/>
          <w:sz w:val="24"/>
        </w:rPr>
        <w:t>客户服务电话：400-619-9059</w:t>
      </w:r>
    </w:p>
    <w:p>
      <w:pPr>
        <w:adjustRightInd w:val="0"/>
        <w:snapToGrid w:val="0"/>
        <w:spacing w:line="360" w:lineRule="auto"/>
        <w:ind w:firstLine="480" w:firstLineChars="200"/>
        <w:rPr>
          <w:sz w:val="24"/>
        </w:rPr>
      </w:pPr>
      <w:r>
        <w:rPr>
          <w:rFonts w:hint="eastAsia"/>
          <w:sz w:val="24"/>
        </w:rPr>
        <w:t>网址：www.fundzone.cn、www.51jijinhui.com</w:t>
      </w:r>
    </w:p>
    <w:p>
      <w:pPr>
        <w:adjustRightInd w:val="0"/>
        <w:snapToGrid w:val="0"/>
        <w:spacing w:line="360" w:lineRule="auto"/>
        <w:ind w:firstLine="480" w:firstLineChars="200"/>
        <w:rPr>
          <w:sz w:val="24"/>
        </w:rPr>
      </w:pPr>
      <w:r>
        <w:rPr>
          <w:rFonts w:hint="eastAsia"/>
          <w:sz w:val="24"/>
        </w:rPr>
        <w:t>（51）北京恒天明泽基金销售有限公司</w:t>
      </w:r>
    </w:p>
    <w:p>
      <w:pPr>
        <w:adjustRightInd w:val="0"/>
        <w:snapToGrid w:val="0"/>
        <w:spacing w:line="360" w:lineRule="auto"/>
        <w:ind w:firstLine="480" w:firstLineChars="200"/>
        <w:rPr>
          <w:sz w:val="24"/>
        </w:rPr>
      </w:pPr>
      <w:r>
        <w:rPr>
          <w:rFonts w:hint="eastAsia"/>
          <w:sz w:val="24"/>
        </w:rPr>
        <w:t xml:space="preserve">住所：北京市经济技术开发区宏达北路10号五层5122室 </w:t>
      </w:r>
    </w:p>
    <w:p>
      <w:pPr>
        <w:adjustRightInd w:val="0"/>
        <w:snapToGrid w:val="0"/>
        <w:spacing w:line="360" w:lineRule="auto"/>
        <w:ind w:firstLine="480" w:firstLineChars="200"/>
        <w:rPr>
          <w:sz w:val="24"/>
        </w:rPr>
      </w:pPr>
      <w:r>
        <w:rPr>
          <w:rFonts w:hint="eastAsia"/>
          <w:sz w:val="24"/>
        </w:rPr>
        <w:t xml:space="preserve">办公地址：北京市朝阳区东三环北路甲19号SOHO嘉盛中心30层3001室 </w:t>
      </w:r>
    </w:p>
    <w:p>
      <w:pPr>
        <w:adjustRightInd w:val="0"/>
        <w:snapToGrid w:val="0"/>
        <w:spacing w:line="360" w:lineRule="auto"/>
        <w:ind w:firstLine="480" w:firstLineChars="200"/>
        <w:rPr>
          <w:sz w:val="24"/>
        </w:rPr>
      </w:pPr>
      <w:r>
        <w:rPr>
          <w:rFonts w:hint="eastAsia"/>
          <w:sz w:val="24"/>
        </w:rPr>
        <w:t xml:space="preserve">法定代表人：李悦 </w:t>
      </w:r>
    </w:p>
    <w:p>
      <w:pPr>
        <w:adjustRightInd w:val="0"/>
        <w:snapToGrid w:val="0"/>
        <w:spacing w:line="360" w:lineRule="auto"/>
        <w:ind w:firstLine="480" w:firstLineChars="200"/>
        <w:rPr>
          <w:sz w:val="24"/>
        </w:rPr>
      </w:pPr>
      <w:r>
        <w:rPr>
          <w:rFonts w:hint="eastAsia"/>
          <w:sz w:val="24"/>
        </w:rPr>
        <w:t>电话：（010）56642600</w:t>
      </w:r>
    </w:p>
    <w:p>
      <w:pPr>
        <w:adjustRightInd w:val="0"/>
        <w:snapToGrid w:val="0"/>
        <w:spacing w:line="360" w:lineRule="auto"/>
        <w:ind w:firstLine="480" w:firstLineChars="200"/>
        <w:rPr>
          <w:sz w:val="24"/>
        </w:rPr>
      </w:pPr>
      <w:r>
        <w:rPr>
          <w:rFonts w:hint="eastAsia"/>
          <w:sz w:val="24"/>
        </w:rPr>
        <w:t>传真：（010）56642623</w:t>
      </w:r>
    </w:p>
    <w:p>
      <w:pPr>
        <w:adjustRightInd w:val="0"/>
        <w:snapToGrid w:val="0"/>
        <w:spacing w:line="360" w:lineRule="auto"/>
        <w:ind w:firstLine="480" w:firstLineChars="200"/>
        <w:rPr>
          <w:sz w:val="24"/>
        </w:rPr>
      </w:pPr>
      <w:r>
        <w:rPr>
          <w:rFonts w:hint="eastAsia"/>
          <w:sz w:val="24"/>
        </w:rPr>
        <w:t>联系人：张晔</w:t>
      </w:r>
    </w:p>
    <w:p>
      <w:pPr>
        <w:adjustRightInd w:val="0"/>
        <w:snapToGrid w:val="0"/>
        <w:spacing w:line="360" w:lineRule="auto"/>
        <w:ind w:firstLine="480" w:firstLineChars="200"/>
        <w:rPr>
          <w:sz w:val="24"/>
        </w:rPr>
      </w:pPr>
      <w:r>
        <w:rPr>
          <w:rFonts w:hint="eastAsia"/>
          <w:sz w:val="24"/>
        </w:rPr>
        <w:t>客户服务电话：4007868868</w:t>
      </w:r>
    </w:p>
    <w:p>
      <w:pPr>
        <w:adjustRightInd w:val="0"/>
        <w:snapToGrid w:val="0"/>
        <w:spacing w:line="360" w:lineRule="auto"/>
        <w:ind w:firstLine="480" w:firstLineChars="200"/>
        <w:rPr>
          <w:sz w:val="24"/>
        </w:rPr>
      </w:pPr>
      <w:r>
        <w:rPr>
          <w:rFonts w:hint="eastAsia"/>
          <w:sz w:val="24"/>
        </w:rPr>
        <w:t>网址：www.chtfund.com</w:t>
      </w:r>
    </w:p>
    <w:p>
      <w:pPr>
        <w:adjustRightInd w:val="0"/>
        <w:snapToGrid w:val="0"/>
        <w:spacing w:line="360" w:lineRule="auto"/>
        <w:ind w:firstLine="480" w:firstLineChars="200"/>
        <w:rPr>
          <w:sz w:val="24"/>
        </w:rPr>
      </w:pPr>
      <w:r>
        <w:rPr>
          <w:rFonts w:hint="eastAsia"/>
          <w:sz w:val="24"/>
        </w:rPr>
        <w:t>（52）奕丰基金销售有限公司</w:t>
      </w:r>
    </w:p>
    <w:p>
      <w:pPr>
        <w:adjustRightInd w:val="0"/>
        <w:snapToGrid w:val="0"/>
        <w:spacing w:line="360" w:lineRule="auto"/>
        <w:ind w:firstLine="480" w:firstLineChars="200"/>
        <w:rPr>
          <w:sz w:val="24"/>
        </w:rPr>
      </w:pPr>
      <w:r>
        <w:rPr>
          <w:rFonts w:hint="eastAsia"/>
          <w:sz w:val="24"/>
        </w:rPr>
        <w:t xml:space="preserve">住所：深圳市前海深港合作区前湾一路1号A栋201室（入住深圳市前海商务秘书有限公司） </w:t>
      </w:r>
    </w:p>
    <w:p>
      <w:pPr>
        <w:adjustRightInd w:val="0"/>
        <w:snapToGrid w:val="0"/>
        <w:spacing w:line="360" w:lineRule="auto"/>
        <w:ind w:firstLine="480" w:firstLineChars="200"/>
        <w:rPr>
          <w:sz w:val="24"/>
        </w:rPr>
      </w:pPr>
      <w:r>
        <w:rPr>
          <w:rFonts w:hint="eastAsia"/>
          <w:sz w:val="24"/>
        </w:rPr>
        <w:t>办公地址：深圳市南山区海德三道航天科技广场A座17楼1704室</w:t>
      </w:r>
    </w:p>
    <w:p>
      <w:pPr>
        <w:adjustRightInd w:val="0"/>
        <w:snapToGrid w:val="0"/>
        <w:spacing w:line="360" w:lineRule="auto"/>
        <w:ind w:firstLine="480" w:firstLineChars="200"/>
        <w:rPr>
          <w:sz w:val="24"/>
        </w:rPr>
      </w:pPr>
      <w:r>
        <w:rPr>
          <w:rFonts w:hint="eastAsia"/>
          <w:sz w:val="24"/>
        </w:rPr>
        <w:t>法定代表人：TEO WEE HOWE</w:t>
      </w:r>
    </w:p>
    <w:p>
      <w:pPr>
        <w:adjustRightInd w:val="0"/>
        <w:snapToGrid w:val="0"/>
        <w:spacing w:line="360" w:lineRule="auto"/>
        <w:ind w:firstLine="480" w:firstLineChars="200"/>
        <w:rPr>
          <w:sz w:val="24"/>
        </w:rPr>
      </w:pPr>
      <w:r>
        <w:rPr>
          <w:rFonts w:hint="eastAsia"/>
          <w:sz w:val="24"/>
        </w:rPr>
        <w:t>电话：（0755）89460500</w:t>
      </w:r>
    </w:p>
    <w:p>
      <w:pPr>
        <w:adjustRightInd w:val="0"/>
        <w:snapToGrid w:val="0"/>
        <w:spacing w:line="360" w:lineRule="auto"/>
        <w:ind w:firstLine="480" w:firstLineChars="200"/>
        <w:rPr>
          <w:sz w:val="24"/>
        </w:rPr>
      </w:pPr>
      <w:r>
        <w:rPr>
          <w:rFonts w:hint="eastAsia"/>
          <w:sz w:val="24"/>
        </w:rPr>
        <w:t>传真：（0755）21674453</w:t>
      </w:r>
    </w:p>
    <w:p>
      <w:pPr>
        <w:adjustRightInd w:val="0"/>
        <w:snapToGrid w:val="0"/>
        <w:spacing w:line="360" w:lineRule="auto"/>
        <w:ind w:firstLine="480" w:firstLineChars="200"/>
        <w:rPr>
          <w:sz w:val="24"/>
        </w:rPr>
      </w:pPr>
      <w:r>
        <w:rPr>
          <w:rFonts w:hint="eastAsia"/>
          <w:sz w:val="24"/>
        </w:rPr>
        <w:t>联系人：叶健</w:t>
      </w:r>
    </w:p>
    <w:p>
      <w:pPr>
        <w:adjustRightInd w:val="0"/>
        <w:snapToGrid w:val="0"/>
        <w:spacing w:line="360" w:lineRule="auto"/>
        <w:ind w:firstLine="480" w:firstLineChars="200"/>
        <w:rPr>
          <w:sz w:val="24"/>
        </w:rPr>
      </w:pPr>
      <w:r>
        <w:rPr>
          <w:rFonts w:hint="eastAsia"/>
          <w:sz w:val="24"/>
        </w:rPr>
        <w:t>客户服务电话：400-684-0500</w:t>
      </w:r>
    </w:p>
    <w:p>
      <w:pPr>
        <w:adjustRightInd w:val="0"/>
        <w:snapToGrid w:val="0"/>
        <w:spacing w:line="360" w:lineRule="auto"/>
        <w:ind w:firstLine="480" w:firstLineChars="200"/>
        <w:rPr>
          <w:sz w:val="24"/>
        </w:rPr>
      </w:pPr>
      <w:r>
        <w:rPr>
          <w:rFonts w:hint="eastAsia"/>
          <w:sz w:val="24"/>
        </w:rPr>
        <w:t>网址：www.ifastps.com.cn</w:t>
      </w:r>
    </w:p>
    <w:p>
      <w:pPr>
        <w:adjustRightInd w:val="0"/>
        <w:snapToGrid w:val="0"/>
        <w:spacing w:line="360" w:lineRule="auto"/>
        <w:ind w:firstLine="480" w:firstLineChars="200"/>
        <w:rPr>
          <w:sz w:val="24"/>
        </w:rPr>
      </w:pPr>
      <w:r>
        <w:rPr>
          <w:rFonts w:hint="eastAsia"/>
          <w:sz w:val="24"/>
        </w:rPr>
        <w:t>（53）北京创金启富投资管理有限公司</w:t>
      </w:r>
    </w:p>
    <w:p>
      <w:pPr>
        <w:adjustRightInd w:val="0"/>
        <w:snapToGrid w:val="0"/>
        <w:spacing w:line="360" w:lineRule="auto"/>
        <w:ind w:firstLine="480" w:firstLineChars="200"/>
        <w:rPr>
          <w:sz w:val="24"/>
        </w:rPr>
      </w:pPr>
      <w:r>
        <w:rPr>
          <w:rFonts w:hint="eastAsia"/>
          <w:sz w:val="24"/>
        </w:rPr>
        <w:t>住所： 北京市西城区民丰胡同31号中水大厦215A</w:t>
      </w:r>
    </w:p>
    <w:p>
      <w:pPr>
        <w:adjustRightInd w:val="0"/>
        <w:snapToGrid w:val="0"/>
        <w:spacing w:line="360" w:lineRule="auto"/>
        <w:ind w:firstLine="480" w:firstLineChars="200"/>
        <w:rPr>
          <w:sz w:val="24"/>
        </w:rPr>
      </w:pPr>
      <w:r>
        <w:rPr>
          <w:rFonts w:hint="eastAsia"/>
          <w:sz w:val="24"/>
        </w:rPr>
        <w:t>办公地址：北京市西城区白纸坊东街2号经济日报社A综合楼712室</w:t>
      </w:r>
    </w:p>
    <w:p>
      <w:pPr>
        <w:adjustRightInd w:val="0"/>
        <w:snapToGrid w:val="0"/>
        <w:spacing w:line="360" w:lineRule="auto"/>
        <w:ind w:firstLine="480" w:firstLineChars="200"/>
        <w:rPr>
          <w:sz w:val="24"/>
        </w:rPr>
      </w:pPr>
      <w:r>
        <w:rPr>
          <w:rFonts w:hint="eastAsia"/>
          <w:sz w:val="24"/>
        </w:rPr>
        <w:t>法定代表人：梁蓉</w:t>
      </w:r>
    </w:p>
    <w:p>
      <w:pPr>
        <w:adjustRightInd w:val="0"/>
        <w:snapToGrid w:val="0"/>
        <w:spacing w:line="360" w:lineRule="auto"/>
        <w:ind w:firstLine="480" w:firstLineChars="200"/>
        <w:rPr>
          <w:sz w:val="24"/>
        </w:rPr>
      </w:pPr>
      <w:r>
        <w:rPr>
          <w:rFonts w:hint="eastAsia"/>
          <w:sz w:val="24"/>
        </w:rPr>
        <w:t>电话：（010）66154828</w:t>
      </w:r>
    </w:p>
    <w:p>
      <w:pPr>
        <w:adjustRightInd w:val="0"/>
        <w:snapToGrid w:val="0"/>
        <w:spacing w:line="360" w:lineRule="auto"/>
        <w:ind w:firstLine="480" w:firstLineChars="200"/>
        <w:rPr>
          <w:sz w:val="24"/>
        </w:rPr>
      </w:pPr>
      <w:r>
        <w:rPr>
          <w:rFonts w:hint="eastAsia"/>
          <w:sz w:val="24"/>
        </w:rPr>
        <w:t>传真：（010）63583991</w:t>
      </w:r>
    </w:p>
    <w:p>
      <w:pPr>
        <w:adjustRightInd w:val="0"/>
        <w:snapToGrid w:val="0"/>
        <w:spacing w:line="360" w:lineRule="auto"/>
        <w:ind w:firstLine="480" w:firstLineChars="200"/>
        <w:rPr>
          <w:sz w:val="24"/>
        </w:rPr>
      </w:pPr>
      <w:r>
        <w:rPr>
          <w:rFonts w:hint="eastAsia"/>
          <w:sz w:val="24"/>
        </w:rPr>
        <w:t xml:space="preserve">联系人：李婷婷 </w:t>
      </w:r>
    </w:p>
    <w:p>
      <w:pPr>
        <w:adjustRightInd w:val="0"/>
        <w:snapToGrid w:val="0"/>
        <w:spacing w:line="360" w:lineRule="auto"/>
        <w:ind w:firstLine="480" w:firstLineChars="200"/>
        <w:rPr>
          <w:sz w:val="24"/>
        </w:rPr>
      </w:pPr>
      <w:r>
        <w:rPr>
          <w:rFonts w:hint="eastAsia"/>
          <w:sz w:val="24"/>
        </w:rPr>
        <w:t>客户服务电话：400-6262-818</w:t>
      </w:r>
    </w:p>
    <w:p>
      <w:pPr>
        <w:adjustRightInd w:val="0"/>
        <w:snapToGrid w:val="0"/>
        <w:spacing w:line="360" w:lineRule="auto"/>
        <w:ind w:firstLine="480" w:firstLineChars="200"/>
        <w:rPr>
          <w:sz w:val="24"/>
        </w:rPr>
      </w:pPr>
      <w:r>
        <w:rPr>
          <w:rFonts w:hint="eastAsia"/>
          <w:sz w:val="24"/>
        </w:rPr>
        <w:t>网址： www.5irich.com</w:t>
      </w:r>
    </w:p>
    <w:p>
      <w:pPr>
        <w:adjustRightInd w:val="0"/>
        <w:snapToGrid w:val="0"/>
        <w:spacing w:line="360" w:lineRule="auto"/>
        <w:ind w:firstLine="480" w:firstLineChars="200"/>
        <w:rPr>
          <w:sz w:val="24"/>
        </w:rPr>
      </w:pPr>
      <w:r>
        <w:rPr>
          <w:rFonts w:hint="eastAsia"/>
          <w:sz w:val="24"/>
        </w:rPr>
        <w:t>（54）日发资产管理（上海）有限公司</w:t>
      </w:r>
    </w:p>
    <w:p>
      <w:pPr>
        <w:adjustRightInd w:val="0"/>
        <w:snapToGrid w:val="0"/>
        <w:spacing w:line="360" w:lineRule="auto"/>
        <w:ind w:firstLine="480" w:firstLineChars="200"/>
        <w:rPr>
          <w:sz w:val="24"/>
        </w:rPr>
      </w:pPr>
      <w:r>
        <w:rPr>
          <w:rFonts w:hint="eastAsia"/>
          <w:sz w:val="24"/>
        </w:rPr>
        <w:t>住所：上海市陆家嘴花园石桥路66号东亚银行大厦3301室</w:t>
      </w:r>
    </w:p>
    <w:p>
      <w:pPr>
        <w:adjustRightInd w:val="0"/>
        <w:snapToGrid w:val="0"/>
        <w:spacing w:line="360" w:lineRule="auto"/>
        <w:ind w:firstLine="480" w:firstLineChars="200"/>
        <w:rPr>
          <w:sz w:val="24"/>
        </w:rPr>
      </w:pPr>
      <w:r>
        <w:rPr>
          <w:rFonts w:hint="eastAsia"/>
          <w:sz w:val="24"/>
        </w:rPr>
        <w:t>办公地址：上海市陆家嘴花园石桥路66号东亚银行大厦3301室</w:t>
      </w:r>
    </w:p>
    <w:p>
      <w:pPr>
        <w:adjustRightInd w:val="0"/>
        <w:snapToGrid w:val="0"/>
        <w:spacing w:line="360" w:lineRule="auto"/>
        <w:ind w:firstLine="480" w:firstLineChars="200"/>
        <w:rPr>
          <w:sz w:val="24"/>
        </w:rPr>
      </w:pPr>
      <w:r>
        <w:rPr>
          <w:rFonts w:hint="eastAsia"/>
          <w:sz w:val="24"/>
        </w:rPr>
        <w:t>法定代表人： 周泉恭</w:t>
      </w:r>
    </w:p>
    <w:p>
      <w:pPr>
        <w:adjustRightInd w:val="0"/>
        <w:snapToGrid w:val="0"/>
        <w:spacing w:line="360" w:lineRule="auto"/>
        <w:ind w:firstLine="480" w:firstLineChars="200"/>
        <w:rPr>
          <w:sz w:val="24"/>
        </w:rPr>
      </w:pPr>
      <w:r>
        <w:rPr>
          <w:rFonts w:hint="eastAsia"/>
          <w:sz w:val="24"/>
        </w:rPr>
        <w:t>电话：（021）61600500</w:t>
      </w:r>
    </w:p>
    <w:p>
      <w:pPr>
        <w:adjustRightInd w:val="0"/>
        <w:snapToGrid w:val="0"/>
        <w:spacing w:line="360" w:lineRule="auto"/>
        <w:ind w:firstLine="480" w:firstLineChars="200"/>
        <w:rPr>
          <w:sz w:val="24"/>
        </w:rPr>
      </w:pPr>
      <w:r>
        <w:rPr>
          <w:rFonts w:hint="eastAsia"/>
          <w:sz w:val="24"/>
        </w:rPr>
        <w:t>传真：（021）61600602</w:t>
      </w:r>
    </w:p>
    <w:p>
      <w:pPr>
        <w:adjustRightInd w:val="0"/>
        <w:snapToGrid w:val="0"/>
        <w:spacing w:line="360" w:lineRule="auto"/>
        <w:ind w:firstLine="480" w:firstLineChars="200"/>
        <w:rPr>
          <w:sz w:val="24"/>
        </w:rPr>
      </w:pPr>
      <w:r>
        <w:rPr>
          <w:rFonts w:hint="eastAsia"/>
          <w:sz w:val="24"/>
        </w:rPr>
        <w:t xml:space="preserve">联系人：蔡小威 </w:t>
      </w:r>
    </w:p>
    <w:p>
      <w:pPr>
        <w:adjustRightInd w:val="0"/>
        <w:snapToGrid w:val="0"/>
        <w:spacing w:line="360" w:lineRule="auto"/>
        <w:ind w:firstLine="480" w:firstLineChars="200"/>
        <w:rPr>
          <w:sz w:val="24"/>
        </w:rPr>
      </w:pPr>
      <w:r>
        <w:rPr>
          <w:rFonts w:hint="eastAsia"/>
          <w:sz w:val="24"/>
        </w:rPr>
        <w:t>客户服务电话：400-021-1010，（021）61600500</w:t>
      </w:r>
    </w:p>
    <w:p>
      <w:pPr>
        <w:adjustRightInd w:val="0"/>
        <w:snapToGrid w:val="0"/>
        <w:spacing w:line="360" w:lineRule="auto"/>
        <w:ind w:firstLine="480" w:firstLineChars="200"/>
        <w:rPr>
          <w:sz w:val="24"/>
        </w:rPr>
      </w:pPr>
      <w:r>
        <w:rPr>
          <w:rFonts w:hint="eastAsia"/>
          <w:sz w:val="24"/>
        </w:rPr>
        <w:t>网址：www.rffund.com</w:t>
      </w:r>
    </w:p>
    <w:p>
      <w:pPr>
        <w:adjustRightInd w:val="0"/>
        <w:snapToGrid w:val="0"/>
        <w:spacing w:line="360" w:lineRule="auto"/>
        <w:ind w:firstLine="480" w:firstLineChars="200"/>
        <w:rPr>
          <w:sz w:val="24"/>
        </w:rPr>
      </w:pPr>
      <w:r>
        <w:rPr>
          <w:rFonts w:hint="eastAsia"/>
          <w:sz w:val="24"/>
        </w:rPr>
        <w:t>（55）上海云湾投资管理有限公司</w:t>
      </w:r>
    </w:p>
    <w:p>
      <w:pPr>
        <w:adjustRightInd w:val="0"/>
        <w:snapToGrid w:val="0"/>
        <w:spacing w:line="360" w:lineRule="auto"/>
        <w:ind w:firstLine="480" w:firstLineChars="200"/>
        <w:rPr>
          <w:sz w:val="24"/>
        </w:rPr>
      </w:pPr>
      <w:r>
        <w:rPr>
          <w:rFonts w:hint="eastAsia"/>
          <w:sz w:val="24"/>
        </w:rPr>
        <w:t>住所：中国（上海）自由贸易试验区新金桥路27号13号楼2层，200127</w:t>
      </w:r>
    </w:p>
    <w:p>
      <w:pPr>
        <w:adjustRightInd w:val="0"/>
        <w:snapToGrid w:val="0"/>
        <w:spacing w:line="360" w:lineRule="auto"/>
        <w:ind w:firstLine="480" w:firstLineChars="200"/>
        <w:rPr>
          <w:sz w:val="24"/>
        </w:rPr>
      </w:pPr>
      <w:r>
        <w:rPr>
          <w:rFonts w:hint="eastAsia"/>
          <w:sz w:val="24"/>
        </w:rPr>
        <w:t>办公地址：上海市锦康路308号6号楼6层</w:t>
      </w:r>
    </w:p>
    <w:p>
      <w:pPr>
        <w:adjustRightInd w:val="0"/>
        <w:snapToGrid w:val="0"/>
        <w:spacing w:line="360" w:lineRule="auto"/>
        <w:ind w:firstLine="480" w:firstLineChars="200"/>
        <w:rPr>
          <w:sz w:val="24"/>
        </w:rPr>
      </w:pPr>
      <w:r>
        <w:rPr>
          <w:rFonts w:hint="eastAsia"/>
          <w:sz w:val="24"/>
        </w:rPr>
        <w:t>法定代表人：戴新装</w:t>
      </w:r>
    </w:p>
    <w:p>
      <w:pPr>
        <w:adjustRightInd w:val="0"/>
        <w:snapToGrid w:val="0"/>
        <w:spacing w:line="360" w:lineRule="auto"/>
        <w:ind w:firstLine="480" w:firstLineChars="200"/>
        <w:rPr>
          <w:sz w:val="24"/>
        </w:rPr>
      </w:pPr>
      <w:r>
        <w:rPr>
          <w:rFonts w:hint="eastAsia"/>
          <w:sz w:val="24"/>
        </w:rPr>
        <w:t>电话：（021）20538888</w:t>
      </w:r>
    </w:p>
    <w:p>
      <w:pPr>
        <w:adjustRightInd w:val="0"/>
        <w:snapToGrid w:val="0"/>
        <w:spacing w:line="360" w:lineRule="auto"/>
        <w:ind w:firstLine="480" w:firstLineChars="200"/>
        <w:rPr>
          <w:sz w:val="24"/>
        </w:rPr>
      </w:pPr>
      <w:r>
        <w:rPr>
          <w:rFonts w:hint="eastAsia"/>
          <w:sz w:val="24"/>
        </w:rPr>
        <w:t>传真：（021）20538999</w:t>
      </w:r>
    </w:p>
    <w:p>
      <w:pPr>
        <w:adjustRightInd w:val="0"/>
        <w:snapToGrid w:val="0"/>
        <w:spacing w:line="360" w:lineRule="auto"/>
        <w:ind w:firstLine="480" w:firstLineChars="200"/>
        <w:rPr>
          <w:sz w:val="24"/>
        </w:rPr>
      </w:pPr>
      <w:r>
        <w:rPr>
          <w:rFonts w:hint="eastAsia"/>
          <w:sz w:val="24"/>
        </w:rPr>
        <w:t>联系人：江辉</w:t>
      </w:r>
    </w:p>
    <w:p>
      <w:pPr>
        <w:adjustRightInd w:val="0"/>
        <w:snapToGrid w:val="0"/>
        <w:spacing w:line="360" w:lineRule="auto"/>
        <w:ind w:firstLine="480" w:firstLineChars="200"/>
        <w:rPr>
          <w:sz w:val="24"/>
        </w:rPr>
      </w:pPr>
      <w:r>
        <w:rPr>
          <w:rFonts w:hint="eastAsia"/>
          <w:sz w:val="24"/>
        </w:rPr>
        <w:t>客户服务电话：400-820-1515</w:t>
      </w:r>
    </w:p>
    <w:p>
      <w:pPr>
        <w:adjustRightInd w:val="0"/>
        <w:snapToGrid w:val="0"/>
        <w:spacing w:line="360" w:lineRule="auto"/>
        <w:ind w:firstLine="480" w:firstLineChars="200"/>
        <w:rPr>
          <w:sz w:val="24"/>
        </w:rPr>
      </w:pPr>
      <w:r>
        <w:rPr>
          <w:rFonts w:hint="eastAsia"/>
          <w:sz w:val="24"/>
        </w:rPr>
        <w:t xml:space="preserve">网址：www.zhengtongfunds.com </w:t>
      </w:r>
    </w:p>
    <w:p>
      <w:pPr>
        <w:adjustRightInd w:val="0"/>
        <w:snapToGrid w:val="0"/>
        <w:spacing w:line="360" w:lineRule="auto"/>
        <w:ind w:firstLine="480" w:firstLineChars="200"/>
        <w:rPr>
          <w:sz w:val="24"/>
        </w:rPr>
      </w:pPr>
      <w:r>
        <w:rPr>
          <w:rFonts w:hint="eastAsia"/>
          <w:sz w:val="24"/>
        </w:rPr>
        <w:t>（56）中证金牛（北京）投资咨询有限公司</w:t>
      </w:r>
    </w:p>
    <w:p>
      <w:pPr>
        <w:adjustRightInd w:val="0"/>
        <w:snapToGrid w:val="0"/>
        <w:spacing w:line="360" w:lineRule="auto"/>
        <w:ind w:firstLine="480" w:firstLineChars="200"/>
        <w:rPr>
          <w:sz w:val="24"/>
        </w:rPr>
      </w:pPr>
      <w:r>
        <w:rPr>
          <w:rFonts w:hint="eastAsia"/>
          <w:sz w:val="24"/>
        </w:rPr>
        <w:t>住所： 北京市丰台区东管头1号2号楼2-45室</w:t>
      </w:r>
    </w:p>
    <w:p>
      <w:pPr>
        <w:adjustRightInd w:val="0"/>
        <w:snapToGrid w:val="0"/>
        <w:spacing w:line="360" w:lineRule="auto"/>
        <w:ind w:firstLine="480" w:firstLineChars="200"/>
        <w:rPr>
          <w:sz w:val="24"/>
        </w:rPr>
      </w:pPr>
      <w:r>
        <w:rPr>
          <w:rFonts w:hint="eastAsia"/>
          <w:sz w:val="24"/>
        </w:rPr>
        <w:t>办公地址： 北京市西城区宣武门外大街甲一号环球财讯中心A座5层</w:t>
      </w:r>
    </w:p>
    <w:p>
      <w:pPr>
        <w:adjustRightInd w:val="0"/>
        <w:snapToGrid w:val="0"/>
        <w:spacing w:line="360" w:lineRule="auto"/>
        <w:ind w:firstLine="480" w:firstLineChars="200"/>
        <w:rPr>
          <w:sz w:val="24"/>
        </w:rPr>
      </w:pPr>
      <w:r>
        <w:rPr>
          <w:rFonts w:hint="eastAsia"/>
          <w:sz w:val="24"/>
        </w:rPr>
        <w:t>法定代表人： 钱昊旻</w:t>
      </w:r>
    </w:p>
    <w:p>
      <w:pPr>
        <w:adjustRightInd w:val="0"/>
        <w:snapToGrid w:val="0"/>
        <w:spacing w:line="360" w:lineRule="auto"/>
        <w:ind w:firstLine="480" w:firstLineChars="200"/>
        <w:rPr>
          <w:sz w:val="24"/>
        </w:rPr>
      </w:pPr>
      <w:r>
        <w:rPr>
          <w:rFonts w:hint="eastAsia"/>
          <w:sz w:val="24"/>
        </w:rPr>
        <w:t>电话：（010）59336533</w:t>
      </w:r>
    </w:p>
    <w:p>
      <w:pPr>
        <w:adjustRightInd w:val="0"/>
        <w:snapToGrid w:val="0"/>
        <w:spacing w:line="360" w:lineRule="auto"/>
        <w:ind w:firstLine="480" w:firstLineChars="200"/>
        <w:rPr>
          <w:sz w:val="24"/>
        </w:rPr>
      </w:pPr>
      <w:r>
        <w:rPr>
          <w:rFonts w:hint="eastAsia"/>
          <w:sz w:val="24"/>
        </w:rPr>
        <w:t>传真：（010）59336500</w:t>
      </w:r>
    </w:p>
    <w:p>
      <w:pPr>
        <w:adjustRightInd w:val="0"/>
        <w:snapToGrid w:val="0"/>
        <w:spacing w:line="360" w:lineRule="auto"/>
        <w:ind w:firstLine="480" w:firstLineChars="200"/>
        <w:rPr>
          <w:sz w:val="24"/>
        </w:rPr>
      </w:pPr>
      <w:r>
        <w:rPr>
          <w:rFonts w:hint="eastAsia"/>
          <w:sz w:val="24"/>
        </w:rPr>
        <w:t>联系人： 孟汉霄</w:t>
      </w:r>
    </w:p>
    <w:p>
      <w:pPr>
        <w:adjustRightInd w:val="0"/>
        <w:snapToGrid w:val="0"/>
        <w:spacing w:line="360" w:lineRule="auto"/>
        <w:ind w:firstLine="480" w:firstLineChars="200"/>
        <w:rPr>
          <w:sz w:val="24"/>
        </w:rPr>
      </w:pPr>
      <w:r>
        <w:rPr>
          <w:rFonts w:hint="eastAsia"/>
          <w:sz w:val="24"/>
        </w:rPr>
        <w:t>客户服务电话：4008-909-998</w:t>
      </w:r>
    </w:p>
    <w:p>
      <w:pPr>
        <w:adjustRightInd w:val="0"/>
        <w:snapToGrid w:val="0"/>
        <w:spacing w:line="360" w:lineRule="auto"/>
        <w:ind w:firstLine="480" w:firstLineChars="200"/>
        <w:rPr>
          <w:sz w:val="24"/>
        </w:rPr>
      </w:pPr>
      <w:r>
        <w:rPr>
          <w:rFonts w:hint="eastAsia"/>
          <w:sz w:val="24"/>
        </w:rPr>
        <w:t>网址： www.jnlc.com</w:t>
      </w:r>
    </w:p>
    <w:p>
      <w:pPr>
        <w:adjustRightInd w:val="0"/>
        <w:snapToGrid w:val="0"/>
        <w:spacing w:line="360" w:lineRule="auto"/>
        <w:ind w:firstLine="480" w:firstLineChars="200"/>
        <w:rPr>
          <w:sz w:val="24"/>
        </w:rPr>
      </w:pPr>
      <w:r>
        <w:rPr>
          <w:rFonts w:hint="eastAsia"/>
          <w:sz w:val="24"/>
        </w:rPr>
        <w:t>（57）北京肯特瑞基金销售有限公司</w:t>
      </w:r>
    </w:p>
    <w:p>
      <w:pPr>
        <w:adjustRightInd w:val="0"/>
        <w:snapToGrid w:val="0"/>
        <w:spacing w:line="360" w:lineRule="auto"/>
        <w:ind w:firstLine="480" w:firstLineChars="200"/>
        <w:rPr>
          <w:sz w:val="24"/>
        </w:rPr>
      </w:pPr>
      <w:r>
        <w:rPr>
          <w:rFonts w:hint="eastAsia"/>
          <w:sz w:val="24"/>
        </w:rPr>
        <w:t>住所： 北京市海淀区西三旗建材城中路12号17号平房157</w:t>
      </w:r>
    </w:p>
    <w:p>
      <w:pPr>
        <w:adjustRightInd w:val="0"/>
        <w:snapToGrid w:val="0"/>
        <w:spacing w:line="360" w:lineRule="auto"/>
        <w:ind w:firstLine="480" w:firstLineChars="200"/>
        <w:rPr>
          <w:sz w:val="24"/>
        </w:rPr>
      </w:pPr>
      <w:r>
        <w:rPr>
          <w:rFonts w:hint="eastAsia"/>
          <w:sz w:val="24"/>
        </w:rPr>
        <w:t>办公地址：北京市通州区亦庄经济技术开发区科创十一街18号院京东集团总部A座15层</w:t>
      </w:r>
    </w:p>
    <w:p>
      <w:pPr>
        <w:adjustRightInd w:val="0"/>
        <w:snapToGrid w:val="0"/>
        <w:spacing w:line="360" w:lineRule="auto"/>
        <w:ind w:firstLine="480" w:firstLineChars="200"/>
        <w:rPr>
          <w:sz w:val="24"/>
        </w:rPr>
      </w:pPr>
      <w:r>
        <w:rPr>
          <w:rFonts w:hint="eastAsia"/>
          <w:sz w:val="24"/>
        </w:rPr>
        <w:t>法定代表人：王苏宁</w:t>
      </w:r>
    </w:p>
    <w:p>
      <w:pPr>
        <w:adjustRightInd w:val="0"/>
        <w:snapToGrid w:val="0"/>
        <w:spacing w:line="360" w:lineRule="auto"/>
        <w:ind w:firstLine="480" w:firstLineChars="200"/>
        <w:rPr>
          <w:sz w:val="24"/>
        </w:rPr>
      </w:pPr>
      <w:r>
        <w:rPr>
          <w:rFonts w:hint="eastAsia"/>
          <w:sz w:val="24"/>
        </w:rPr>
        <w:t>电话：95118</w:t>
      </w:r>
    </w:p>
    <w:p>
      <w:pPr>
        <w:adjustRightInd w:val="0"/>
        <w:snapToGrid w:val="0"/>
        <w:spacing w:line="360" w:lineRule="auto"/>
        <w:ind w:firstLine="480" w:firstLineChars="200"/>
        <w:rPr>
          <w:sz w:val="24"/>
        </w:rPr>
      </w:pPr>
      <w:r>
        <w:rPr>
          <w:rFonts w:hint="eastAsia"/>
          <w:sz w:val="24"/>
        </w:rPr>
        <w:t>传真：010-89189566</w:t>
      </w:r>
    </w:p>
    <w:p>
      <w:pPr>
        <w:adjustRightInd w:val="0"/>
        <w:snapToGrid w:val="0"/>
        <w:spacing w:line="360" w:lineRule="auto"/>
        <w:ind w:firstLine="480" w:firstLineChars="200"/>
        <w:rPr>
          <w:sz w:val="24"/>
        </w:rPr>
      </w:pPr>
      <w:r>
        <w:rPr>
          <w:rFonts w:hint="eastAsia"/>
          <w:sz w:val="24"/>
        </w:rPr>
        <w:t xml:space="preserve">联系人：李丹  </w:t>
      </w:r>
    </w:p>
    <w:p>
      <w:pPr>
        <w:adjustRightInd w:val="0"/>
        <w:snapToGrid w:val="0"/>
        <w:spacing w:line="360" w:lineRule="auto"/>
        <w:ind w:firstLine="480" w:firstLineChars="200"/>
        <w:rPr>
          <w:sz w:val="24"/>
        </w:rPr>
      </w:pPr>
      <w:r>
        <w:rPr>
          <w:rFonts w:hint="eastAsia"/>
          <w:sz w:val="24"/>
        </w:rPr>
        <w:t>客服热线：95118</w:t>
      </w:r>
    </w:p>
    <w:p>
      <w:pPr>
        <w:adjustRightInd w:val="0"/>
        <w:snapToGrid w:val="0"/>
        <w:spacing w:line="360" w:lineRule="auto"/>
        <w:ind w:firstLine="480" w:firstLineChars="200"/>
        <w:rPr>
          <w:sz w:val="24"/>
        </w:rPr>
      </w:pPr>
      <w:r>
        <w:rPr>
          <w:rFonts w:hint="eastAsia"/>
          <w:sz w:val="24"/>
        </w:rPr>
        <w:t>网址：kenterui.jd.com</w:t>
      </w:r>
    </w:p>
    <w:p>
      <w:pPr>
        <w:adjustRightInd w:val="0"/>
        <w:snapToGrid w:val="0"/>
        <w:spacing w:line="360" w:lineRule="auto"/>
        <w:ind w:firstLine="480" w:firstLineChars="200"/>
        <w:rPr>
          <w:sz w:val="24"/>
        </w:rPr>
      </w:pPr>
      <w:r>
        <w:rPr>
          <w:rFonts w:hint="eastAsia"/>
          <w:sz w:val="24"/>
        </w:rPr>
        <w:t>（58）北京新浪仓石基金销售有限公司</w:t>
      </w:r>
    </w:p>
    <w:p>
      <w:pPr>
        <w:adjustRightInd w:val="0"/>
        <w:snapToGrid w:val="0"/>
        <w:spacing w:line="360" w:lineRule="auto"/>
        <w:ind w:firstLine="480" w:firstLineChars="200"/>
        <w:rPr>
          <w:sz w:val="24"/>
        </w:rPr>
      </w:pPr>
      <w:r>
        <w:rPr>
          <w:rFonts w:hint="eastAsia"/>
          <w:sz w:val="24"/>
        </w:rPr>
        <w:t xml:space="preserve">住所：北京市海淀区东北旺西路中关村软件园二期(西扩)N-1、N-2地块新浪总部科研楼5层518室 </w:t>
      </w:r>
    </w:p>
    <w:p>
      <w:pPr>
        <w:adjustRightInd w:val="0"/>
        <w:snapToGrid w:val="0"/>
        <w:spacing w:line="360" w:lineRule="auto"/>
        <w:ind w:firstLine="480" w:firstLineChars="200"/>
        <w:rPr>
          <w:sz w:val="24"/>
        </w:rPr>
      </w:pPr>
      <w:r>
        <w:rPr>
          <w:rFonts w:hint="eastAsia"/>
          <w:sz w:val="24"/>
        </w:rPr>
        <w:t>办公地址：北京市海淀区东北旺西路中关村软件园二期(西扩)N-1、N-2地块新浪总部科研楼5层518室</w:t>
      </w:r>
    </w:p>
    <w:p>
      <w:pPr>
        <w:adjustRightInd w:val="0"/>
        <w:snapToGrid w:val="0"/>
        <w:spacing w:line="360" w:lineRule="auto"/>
        <w:ind w:firstLine="480" w:firstLineChars="200"/>
        <w:rPr>
          <w:sz w:val="24"/>
        </w:rPr>
      </w:pPr>
      <w:r>
        <w:rPr>
          <w:rFonts w:hint="eastAsia"/>
          <w:sz w:val="24"/>
        </w:rPr>
        <w:t xml:space="preserve">法定代表人：李昭琛 </w:t>
      </w:r>
    </w:p>
    <w:p>
      <w:pPr>
        <w:adjustRightInd w:val="0"/>
        <w:snapToGrid w:val="0"/>
        <w:spacing w:line="360" w:lineRule="auto"/>
        <w:ind w:firstLine="480" w:firstLineChars="200"/>
        <w:rPr>
          <w:sz w:val="24"/>
        </w:rPr>
      </w:pPr>
      <w:r>
        <w:rPr>
          <w:rFonts w:hint="eastAsia"/>
          <w:sz w:val="24"/>
        </w:rPr>
        <w:t>电话：（010）60619607</w:t>
      </w:r>
    </w:p>
    <w:p>
      <w:pPr>
        <w:adjustRightInd w:val="0"/>
        <w:snapToGrid w:val="0"/>
        <w:spacing w:line="360" w:lineRule="auto"/>
        <w:ind w:firstLine="480" w:firstLineChars="200"/>
        <w:rPr>
          <w:sz w:val="24"/>
        </w:rPr>
      </w:pPr>
      <w:r>
        <w:rPr>
          <w:rFonts w:hint="eastAsia"/>
          <w:sz w:val="24"/>
        </w:rPr>
        <w:t>传真：8610-62676582</w:t>
      </w:r>
    </w:p>
    <w:p>
      <w:pPr>
        <w:adjustRightInd w:val="0"/>
        <w:snapToGrid w:val="0"/>
        <w:spacing w:line="360" w:lineRule="auto"/>
        <w:ind w:firstLine="480" w:firstLineChars="200"/>
        <w:rPr>
          <w:sz w:val="24"/>
        </w:rPr>
      </w:pPr>
      <w:r>
        <w:rPr>
          <w:rFonts w:hint="eastAsia"/>
          <w:sz w:val="24"/>
        </w:rPr>
        <w:t xml:space="preserve">联系人：付文红 </w:t>
      </w:r>
    </w:p>
    <w:p>
      <w:pPr>
        <w:adjustRightInd w:val="0"/>
        <w:snapToGrid w:val="0"/>
        <w:spacing w:line="360" w:lineRule="auto"/>
        <w:ind w:firstLine="480" w:firstLineChars="200"/>
        <w:rPr>
          <w:sz w:val="24"/>
        </w:rPr>
      </w:pPr>
      <w:r>
        <w:rPr>
          <w:rFonts w:hint="eastAsia"/>
          <w:sz w:val="24"/>
        </w:rPr>
        <w:t>客户服务电话：（010）62675369</w:t>
      </w:r>
    </w:p>
    <w:p>
      <w:pPr>
        <w:adjustRightInd w:val="0"/>
        <w:snapToGrid w:val="0"/>
        <w:spacing w:line="360" w:lineRule="auto"/>
        <w:ind w:firstLine="480" w:firstLineChars="200"/>
        <w:rPr>
          <w:sz w:val="24"/>
        </w:rPr>
      </w:pPr>
      <w:r>
        <w:rPr>
          <w:rFonts w:hint="eastAsia"/>
          <w:sz w:val="24"/>
        </w:rPr>
        <w:t xml:space="preserve">网址：www.xincai.com </w:t>
      </w:r>
    </w:p>
    <w:p>
      <w:pPr>
        <w:adjustRightInd w:val="0"/>
        <w:snapToGrid w:val="0"/>
        <w:spacing w:line="360" w:lineRule="auto"/>
        <w:ind w:firstLine="480" w:firstLineChars="200"/>
        <w:rPr>
          <w:sz w:val="24"/>
        </w:rPr>
      </w:pPr>
      <w:r>
        <w:rPr>
          <w:rFonts w:hint="eastAsia"/>
          <w:sz w:val="24"/>
        </w:rPr>
        <w:t>（59）北京蛋卷基金销售有限公司</w:t>
      </w:r>
    </w:p>
    <w:p>
      <w:pPr>
        <w:adjustRightInd w:val="0"/>
        <w:snapToGrid w:val="0"/>
        <w:spacing w:line="360" w:lineRule="auto"/>
        <w:ind w:firstLine="480" w:firstLineChars="200"/>
        <w:rPr>
          <w:sz w:val="24"/>
        </w:rPr>
      </w:pPr>
      <w:r>
        <w:rPr>
          <w:rFonts w:hint="eastAsia"/>
          <w:sz w:val="24"/>
        </w:rPr>
        <w:t>住所：北京市朝阳区创远路 34 号院6号楼15层1501室</w:t>
      </w:r>
    </w:p>
    <w:p>
      <w:pPr>
        <w:adjustRightInd w:val="0"/>
        <w:snapToGrid w:val="0"/>
        <w:spacing w:line="360" w:lineRule="auto"/>
        <w:ind w:firstLine="480" w:firstLineChars="200"/>
        <w:rPr>
          <w:sz w:val="24"/>
        </w:rPr>
      </w:pPr>
      <w:r>
        <w:rPr>
          <w:rFonts w:hint="eastAsia"/>
          <w:sz w:val="24"/>
        </w:rPr>
        <w:t>办公地址：北京市朝阳区创远路 34 号院融新科技中心 C 座 17 层</w:t>
      </w:r>
    </w:p>
    <w:p>
      <w:pPr>
        <w:adjustRightInd w:val="0"/>
        <w:snapToGrid w:val="0"/>
        <w:spacing w:line="360" w:lineRule="auto"/>
        <w:ind w:firstLine="480" w:firstLineChars="200"/>
        <w:rPr>
          <w:sz w:val="24"/>
        </w:rPr>
      </w:pPr>
      <w:r>
        <w:rPr>
          <w:rFonts w:hint="eastAsia"/>
          <w:sz w:val="24"/>
        </w:rPr>
        <w:t>法定代表人：钟斐斐</w:t>
      </w:r>
    </w:p>
    <w:p>
      <w:pPr>
        <w:adjustRightInd w:val="0"/>
        <w:snapToGrid w:val="0"/>
        <w:spacing w:line="360" w:lineRule="auto"/>
        <w:ind w:firstLine="480" w:firstLineChars="200"/>
        <w:rPr>
          <w:sz w:val="24"/>
        </w:rPr>
      </w:pPr>
      <w:r>
        <w:rPr>
          <w:rFonts w:hint="eastAsia"/>
          <w:sz w:val="24"/>
        </w:rPr>
        <w:t>电话：（010）61840688</w:t>
      </w:r>
    </w:p>
    <w:p>
      <w:pPr>
        <w:adjustRightInd w:val="0"/>
        <w:snapToGrid w:val="0"/>
        <w:spacing w:line="360" w:lineRule="auto"/>
        <w:ind w:firstLine="480" w:firstLineChars="200"/>
        <w:rPr>
          <w:sz w:val="24"/>
        </w:rPr>
      </w:pPr>
      <w:r>
        <w:rPr>
          <w:rFonts w:hint="eastAsia"/>
          <w:sz w:val="24"/>
        </w:rPr>
        <w:t>传真：（010）84997571</w:t>
      </w:r>
    </w:p>
    <w:p>
      <w:pPr>
        <w:adjustRightInd w:val="0"/>
        <w:snapToGrid w:val="0"/>
        <w:spacing w:line="360" w:lineRule="auto"/>
        <w:ind w:firstLine="480" w:firstLineChars="200"/>
        <w:rPr>
          <w:sz w:val="24"/>
        </w:rPr>
      </w:pPr>
      <w:r>
        <w:rPr>
          <w:rFonts w:hint="eastAsia"/>
          <w:sz w:val="24"/>
        </w:rPr>
        <w:t>联系人：侯芳芳</w:t>
      </w:r>
    </w:p>
    <w:p>
      <w:pPr>
        <w:adjustRightInd w:val="0"/>
        <w:snapToGrid w:val="0"/>
        <w:spacing w:line="360" w:lineRule="auto"/>
        <w:ind w:firstLine="480" w:firstLineChars="200"/>
        <w:rPr>
          <w:sz w:val="24"/>
        </w:rPr>
      </w:pPr>
      <w:r>
        <w:rPr>
          <w:rFonts w:hint="eastAsia"/>
          <w:sz w:val="24"/>
        </w:rPr>
        <w:t>客户服务电话：400-1599-288</w:t>
      </w:r>
    </w:p>
    <w:p>
      <w:pPr>
        <w:adjustRightInd w:val="0"/>
        <w:snapToGrid w:val="0"/>
        <w:spacing w:line="360" w:lineRule="auto"/>
        <w:ind w:firstLine="480" w:firstLineChars="200"/>
        <w:rPr>
          <w:sz w:val="24"/>
        </w:rPr>
      </w:pPr>
      <w:r>
        <w:rPr>
          <w:rFonts w:hint="eastAsia"/>
          <w:sz w:val="24"/>
        </w:rPr>
        <w:t>网址：danjuanapp.com</w:t>
      </w:r>
    </w:p>
    <w:p>
      <w:pPr>
        <w:adjustRightInd w:val="0"/>
        <w:snapToGrid w:val="0"/>
        <w:spacing w:line="360" w:lineRule="auto"/>
        <w:ind w:firstLine="480" w:firstLineChars="200"/>
        <w:rPr>
          <w:sz w:val="24"/>
        </w:rPr>
      </w:pPr>
      <w:r>
        <w:rPr>
          <w:rFonts w:hint="eastAsia"/>
          <w:sz w:val="24"/>
        </w:rPr>
        <w:t>（60）凤凰金信（银川）投资管理有限公司</w:t>
      </w:r>
    </w:p>
    <w:p>
      <w:pPr>
        <w:adjustRightInd w:val="0"/>
        <w:snapToGrid w:val="0"/>
        <w:spacing w:line="360" w:lineRule="auto"/>
        <w:ind w:firstLine="480" w:firstLineChars="200"/>
        <w:rPr>
          <w:sz w:val="24"/>
        </w:rPr>
      </w:pPr>
      <w:r>
        <w:rPr>
          <w:rFonts w:hint="eastAsia"/>
          <w:sz w:val="24"/>
        </w:rPr>
        <w:t>住所：宁夏回族自治区银川市金凤区阅海湾中央商务区万寿路142号14层1402(750000)</w:t>
      </w:r>
    </w:p>
    <w:p>
      <w:pPr>
        <w:adjustRightInd w:val="0"/>
        <w:snapToGrid w:val="0"/>
        <w:spacing w:line="360" w:lineRule="auto"/>
        <w:ind w:firstLine="480" w:firstLineChars="200"/>
        <w:rPr>
          <w:sz w:val="24"/>
        </w:rPr>
      </w:pPr>
      <w:r>
        <w:rPr>
          <w:rFonts w:hint="eastAsia"/>
          <w:sz w:val="24"/>
        </w:rPr>
        <w:t>办公地址：北京市朝阳区紫月路18号院朝来高科技产业园18号楼   (100000)</w:t>
      </w:r>
    </w:p>
    <w:p>
      <w:pPr>
        <w:adjustRightInd w:val="0"/>
        <w:snapToGrid w:val="0"/>
        <w:spacing w:line="360" w:lineRule="auto"/>
        <w:ind w:firstLine="480" w:firstLineChars="200"/>
        <w:rPr>
          <w:sz w:val="24"/>
        </w:rPr>
      </w:pPr>
      <w:r>
        <w:rPr>
          <w:rFonts w:hint="eastAsia"/>
          <w:sz w:val="24"/>
        </w:rPr>
        <w:t>法定代表人：程刚</w:t>
      </w:r>
    </w:p>
    <w:p>
      <w:pPr>
        <w:adjustRightInd w:val="0"/>
        <w:snapToGrid w:val="0"/>
        <w:spacing w:line="360" w:lineRule="auto"/>
        <w:ind w:firstLine="480" w:firstLineChars="200"/>
        <w:rPr>
          <w:sz w:val="24"/>
        </w:rPr>
      </w:pPr>
      <w:r>
        <w:rPr>
          <w:rFonts w:hint="eastAsia"/>
          <w:sz w:val="24"/>
        </w:rPr>
        <w:t>电话：（010）58160168</w:t>
      </w:r>
    </w:p>
    <w:p>
      <w:pPr>
        <w:adjustRightInd w:val="0"/>
        <w:snapToGrid w:val="0"/>
        <w:spacing w:line="360" w:lineRule="auto"/>
        <w:ind w:firstLine="480" w:firstLineChars="200"/>
        <w:rPr>
          <w:sz w:val="24"/>
        </w:rPr>
      </w:pPr>
      <w:r>
        <w:rPr>
          <w:rFonts w:hint="eastAsia"/>
          <w:sz w:val="24"/>
        </w:rPr>
        <w:t>传真：（010）58160173</w:t>
      </w:r>
    </w:p>
    <w:p>
      <w:pPr>
        <w:adjustRightInd w:val="0"/>
        <w:snapToGrid w:val="0"/>
        <w:spacing w:line="360" w:lineRule="auto"/>
        <w:ind w:firstLine="480" w:firstLineChars="200"/>
        <w:rPr>
          <w:sz w:val="24"/>
        </w:rPr>
      </w:pPr>
      <w:r>
        <w:rPr>
          <w:rFonts w:hint="eastAsia"/>
          <w:sz w:val="24"/>
        </w:rPr>
        <w:t>联系人：张旭</w:t>
      </w:r>
    </w:p>
    <w:p>
      <w:pPr>
        <w:adjustRightInd w:val="0"/>
        <w:snapToGrid w:val="0"/>
        <w:spacing w:line="360" w:lineRule="auto"/>
        <w:ind w:firstLine="480" w:firstLineChars="200"/>
        <w:rPr>
          <w:sz w:val="24"/>
        </w:rPr>
      </w:pPr>
      <w:r>
        <w:rPr>
          <w:rFonts w:hint="eastAsia"/>
          <w:sz w:val="24"/>
        </w:rPr>
        <w:t>客户服务电话：400-810-5919</w:t>
      </w:r>
    </w:p>
    <w:p>
      <w:pPr>
        <w:adjustRightInd w:val="0"/>
        <w:snapToGrid w:val="0"/>
        <w:spacing w:line="360" w:lineRule="auto"/>
        <w:ind w:firstLine="480" w:firstLineChars="200"/>
        <w:rPr>
          <w:sz w:val="24"/>
        </w:rPr>
      </w:pPr>
      <w:r>
        <w:rPr>
          <w:rFonts w:hint="eastAsia"/>
          <w:sz w:val="24"/>
        </w:rPr>
        <w:t>网址：www.fengfd.com</w:t>
      </w:r>
    </w:p>
    <w:p>
      <w:pPr>
        <w:adjustRightInd w:val="0"/>
        <w:snapToGrid w:val="0"/>
        <w:spacing w:line="360" w:lineRule="auto"/>
        <w:ind w:firstLine="480" w:firstLineChars="200"/>
        <w:rPr>
          <w:sz w:val="24"/>
        </w:rPr>
      </w:pPr>
      <w:r>
        <w:rPr>
          <w:rFonts w:hint="eastAsia"/>
          <w:sz w:val="24"/>
        </w:rPr>
        <w:t>（61）深圳市金斧子基金销售有限公司</w:t>
      </w:r>
    </w:p>
    <w:p>
      <w:pPr>
        <w:adjustRightInd w:val="0"/>
        <w:snapToGrid w:val="0"/>
        <w:spacing w:line="360" w:lineRule="auto"/>
        <w:ind w:firstLine="480" w:firstLineChars="200"/>
        <w:rPr>
          <w:sz w:val="24"/>
        </w:rPr>
      </w:pPr>
      <w:r>
        <w:rPr>
          <w:rFonts w:hint="eastAsia"/>
          <w:sz w:val="24"/>
        </w:rPr>
        <w:t xml:space="preserve">住所：深圳市南山区粤海街道科苑路16号东方科技大厦18楼 </w:t>
      </w:r>
    </w:p>
    <w:p>
      <w:pPr>
        <w:adjustRightInd w:val="0"/>
        <w:snapToGrid w:val="0"/>
        <w:spacing w:line="360" w:lineRule="auto"/>
        <w:ind w:firstLine="480" w:firstLineChars="200"/>
        <w:rPr>
          <w:sz w:val="24"/>
        </w:rPr>
      </w:pPr>
      <w:r>
        <w:rPr>
          <w:rFonts w:hint="eastAsia"/>
          <w:sz w:val="24"/>
        </w:rPr>
        <w:t>办公地址：深圳市南山区粤海街道科苑路科兴科学园B3单元7楼</w:t>
      </w:r>
    </w:p>
    <w:p>
      <w:pPr>
        <w:adjustRightInd w:val="0"/>
        <w:snapToGrid w:val="0"/>
        <w:spacing w:line="360" w:lineRule="auto"/>
        <w:ind w:firstLine="480" w:firstLineChars="200"/>
        <w:rPr>
          <w:sz w:val="24"/>
        </w:rPr>
      </w:pPr>
      <w:r>
        <w:rPr>
          <w:rFonts w:hint="eastAsia"/>
          <w:sz w:val="24"/>
        </w:rPr>
        <w:t xml:space="preserve">法定代表人：赖任军 </w:t>
      </w:r>
    </w:p>
    <w:p>
      <w:pPr>
        <w:adjustRightInd w:val="0"/>
        <w:snapToGrid w:val="0"/>
        <w:spacing w:line="360" w:lineRule="auto"/>
        <w:ind w:firstLine="480" w:firstLineChars="200"/>
        <w:rPr>
          <w:sz w:val="24"/>
        </w:rPr>
      </w:pPr>
      <w:r>
        <w:rPr>
          <w:rFonts w:hint="eastAsia"/>
          <w:sz w:val="24"/>
        </w:rPr>
        <w:t>电话：（0755）66892301</w:t>
      </w:r>
    </w:p>
    <w:p>
      <w:pPr>
        <w:adjustRightInd w:val="0"/>
        <w:snapToGrid w:val="0"/>
        <w:spacing w:line="360" w:lineRule="auto"/>
        <w:ind w:firstLine="480" w:firstLineChars="200"/>
        <w:rPr>
          <w:sz w:val="24"/>
        </w:rPr>
      </w:pPr>
      <w:r>
        <w:rPr>
          <w:rFonts w:hint="eastAsia"/>
          <w:sz w:val="24"/>
        </w:rPr>
        <w:t>传真：（0755）66892399</w:t>
      </w:r>
    </w:p>
    <w:p>
      <w:pPr>
        <w:adjustRightInd w:val="0"/>
        <w:snapToGrid w:val="0"/>
        <w:spacing w:line="360" w:lineRule="auto"/>
        <w:ind w:firstLine="480" w:firstLineChars="200"/>
        <w:rPr>
          <w:sz w:val="24"/>
        </w:rPr>
      </w:pPr>
      <w:r>
        <w:rPr>
          <w:rFonts w:hint="eastAsia"/>
          <w:sz w:val="24"/>
        </w:rPr>
        <w:t xml:space="preserve">联系人：张烨 </w:t>
      </w:r>
    </w:p>
    <w:p>
      <w:pPr>
        <w:adjustRightInd w:val="0"/>
        <w:snapToGrid w:val="0"/>
        <w:spacing w:line="360" w:lineRule="auto"/>
        <w:ind w:firstLine="480" w:firstLineChars="200"/>
        <w:rPr>
          <w:sz w:val="24"/>
        </w:rPr>
      </w:pPr>
      <w:r>
        <w:rPr>
          <w:rFonts w:hint="eastAsia"/>
          <w:sz w:val="24"/>
        </w:rPr>
        <w:t>客户服务电话：400-9500-888</w:t>
      </w:r>
    </w:p>
    <w:p>
      <w:pPr>
        <w:adjustRightInd w:val="0"/>
        <w:snapToGrid w:val="0"/>
        <w:spacing w:line="360" w:lineRule="auto"/>
        <w:ind w:firstLine="480" w:firstLineChars="200"/>
        <w:rPr>
          <w:sz w:val="24"/>
        </w:rPr>
      </w:pPr>
      <w:r>
        <w:rPr>
          <w:rFonts w:hint="eastAsia"/>
          <w:sz w:val="24"/>
        </w:rPr>
        <w:t>网址：www.jfzinv.com</w:t>
      </w:r>
    </w:p>
    <w:p>
      <w:pPr>
        <w:adjustRightInd w:val="0"/>
        <w:snapToGrid w:val="0"/>
        <w:spacing w:line="360" w:lineRule="auto"/>
        <w:ind w:firstLine="480" w:firstLineChars="200"/>
        <w:rPr>
          <w:sz w:val="24"/>
        </w:rPr>
      </w:pPr>
      <w:r>
        <w:rPr>
          <w:rFonts w:hint="eastAsia"/>
          <w:sz w:val="24"/>
        </w:rPr>
        <w:t>（62）格上富信投资顾问有限公司</w:t>
      </w:r>
    </w:p>
    <w:p>
      <w:pPr>
        <w:adjustRightInd w:val="0"/>
        <w:snapToGrid w:val="0"/>
        <w:spacing w:line="360" w:lineRule="auto"/>
        <w:ind w:firstLine="480" w:firstLineChars="200"/>
        <w:rPr>
          <w:sz w:val="24"/>
        </w:rPr>
      </w:pPr>
      <w:r>
        <w:rPr>
          <w:rFonts w:hint="eastAsia"/>
          <w:sz w:val="24"/>
        </w:rPr>
        <w:t xml:space="preserve">住所：北京市朝阳区东三环北路19号楼701内09室 </w:t>
      </w:r>
    </w:p>
    <w:p>
      <w:pPr>
        <w:adjustRightInd w:val="0"/>
        <w:snapToGrid w:val="0"/>
        <w:spacing w:line="360" w:lineRule="auto"/>
        <w:ind w:firstLine="480" w:firstLineChars="200"/>
        <w:rPr>
          <w:sz w:val="24"/>
        </w:rPr>
      </w:pPr>
      <w:r>
        <w:rPr>
          <w:rFonts w:hint="eastAsia"/>
          <w:sz w:val="24"/>
        </w:rPr>
        <w:t>办公地址：北京市朝阳区东三环北路19号楼701内09室</w:t>
      </w:r>
    </w:p>
    <w:p>
      <w:pPr>
        <w:adjustRightInd w:val="0"/>
        <w:snapToGrid w:val="0"/>
        <w:spacing w:line="360" w:lineRule="auto"/>
        <w:ind w:firstLine="480" w:firstLineChars="200"/>
        <w:rPr>
          <w:sz w:val="24"/>
        </w:rPr>
      </w:pPr>
      <w:r>
        <w:rPr>
          <w:rFonts w:hint="eastAsia"/>
          <w:sz w:val="24"/>
        </w:rPr>
        <w:t>法定代表人：李悦章</w:t>
      </w:r>
    </w:p>
    <w:p>
      <w:pPr>
        <w:adjustRightInd w:val="0"/>
        <w:snapToGrid w:val="0"/>
        <w:spacing w:line="360" w:lineRule="auto"/>
        <w:ind w:firstLine="480" w:firstLineChars="200"/>
        <w:rPr>
          <w:sz w:val="24"/>
        </w:rPr>
      </w:pPr>
      <w:r>
        <w:rPr>
          <w:rFonts w:hint="eastAsia"/>
          <w:sz w:val="24"/>
        </w:rPr>
        <w:t>电话：（010）85594745</w:t>
      </w:r>
    </w:p>
    <w:p>
      <w:pPr>
        <w:adjustRightInd w:val="0"/>
        <w:snapToGrid w:val="0"/>
        <w:spacing w:line="360" w:lineRule="auto"/>
        <w:ind w:firstLine="480" w:firstLineChars="200"/>
        <w:rPr>
          <w:sz w:val="24"/>
        </w:rPr>
      </w:pPr>
      <w:r>
        <w:rPr>
          <w:rFonts w:hint="eastAsia"/>
          <w:sz w:val="24"/>
        </w:rPr>
        <w:t>传真：（010）65983333</w:t>
      </w:r>
    </w:p>
    <w:p>
      <w:pPr>
        <w:adjustRightInd w:val="0"/>
        <w:snapToGrid w:val="0"/>
        <w:spacing w:line="360" w:lineRule="auto"/>
        <w:ind w:firstLine="480" w:firstLineChars="200"/>
        <w:rPr>
          <w:sz w:val="24"/>
        </w:rPr>
      </w:pPr>
      <w:r>
        <w:rPr>
          <w:rFonts w:hint="eastAsia"/>
          <w:sz w:val="24"/>
        </w:rPr>
        <w:t>联系人：张林</w:t>
      </w:r>
    </w:p>
    <w:p>
      <w:pPr>
        <w:adjustRightInd w:val="0"/>
        <w:snapToGrid w:val="0"/>
        <w:spacing w:line="360" w:lineRule="auto"/>
        <w:ind w:firstLine="480" w:firstLineChars="200"/>
        <w:rPr>
          <w:sz w:val="24"/>
        </w:rPr>
      </w:pPr>
      <w:r>
        <w:rPr>
          <w:rFonts w:hint="eastAsia"/>
          <w:sz w:val="24"/>
        </w:rPr>
        <w:t>客户服务电话：400-066-8586</w:t>
      </w:r>
    </w:p>
    <w:p>
      <w:pPr>
        <w:adjustRightInd w:val="0"/>
        <w:snapToGrid w:val="0"/>
        <w:spacing w:line="360" w:lineRule="auto"/>
        <w:ind w:firstLine="480" w:firstLineChars="200"/>
        <w:rPr>
          <w:sz w:val="24"/>
        </w:rPr>
      </w:pPr>
      <w:r>
        <w:rPr>
          <w:rFonts w:hint="eastAsia"/>
          <w:sz w:val="24"/>
        </w:rPr>
        <w:t xml:space="preserve">网址：www.igesafe.com </w:t>
      </w:r>
    </w:p>
    <w:p>
      <w:pPr>
        <w:adjustRightInd w:val="0"/>
        <w:snapToGrid w:val="0"/>
        <w:spacing w:line="360" w:lineRule="auto"/>
        <w:ind w:firstLine="480" w:firstLineChars="200"/>
        <w:rPr>
          <w:sz w:val="24"/>
        </w:rPr>
      </w:pPr>
      <w:r>
        <w:rPr>
          <w:rFonts w:hint="eastAsia"/>
          <w:sz w:val="24"/>
        </w:rPr>
        <w:t>（63）上海万得基金销售有限公司</w:t>
      </w:r>
    </w:p>
    <w:p>
      <w:pPr>
        <w:adjustRightInd w:val="0"/>
        <w:snapToGrid w:val="0"/>
        <w:spacing w:line="360" w:lineRule="auto"/>
        <w:ind w:firstLine="480" w:firstLineChars="200"/>
        <w:rPr>
          <w:sz w:val="24"/>
        </w:rPr>
      </w:pPr>
      <w:r>
        <w:rPr>
          <w:rFonts w:hint="eastAsia"/>
          <w:sz w:val="24"/>
        </w:rPr>
        <w:t>住所：中国（上海）自由贸易试验区福山路33号11楼B座</w:t>
      </w:r>
    </w:p>
    <w:p>
      <w:pPr>
        <w:adjustRightInd w:val="0"/>
        <w:snapToGrid w:val="0"/>
        <w:spacing w:line="360" w:lineRule="auto"/>
        <w:ind w:firstLine="480" w:firstLineChars="200"/>
        <w:rPr>
          <w:sz w:val="24"/>
        </w:rPr>
      </w:pPr>
      <w:r>
        <w:rPr>
          <w:rFonts w:hint="eastAsia"/>
          <w:sz w:val="24"/>
        </w:rPr>
        <w:t>办公地址：上海市浦东新区福山路33号9楼</w:t>
      </w:r>
    </w:p>
    <w:p>
      <w:pPr>
        <w:adjustRightInd w:val="0"/>
        <w:snapToGrid w:val="0"/>
        <w:spacing w:line="360" w:lineRule="auto"/>
        <w:ind w:firstLine="480" w:firstLineChars="200"/>
        <w:rPr>
          <w:sz w:val="24"/>
        </w:rPr>
      </w:pPr>
      <w:r>
        <w:rPr>
          <w:rFonts w:hint="eastAsia"/>
          <w:sz w:val="24"/>
        </w:rPr>
        <w:t>法定代表人： 王廷富</w:t>
      </w:r>
    </w:p>
    <w:p>
      <w:pPr>
        <w:adjustRightInd w:val="0"/>
        <w:snapToGrid w:val="0"/>
        <w:spacing w:line="360" w:lineRule="auto"/>
        <w:ind w:firstLine="480" w:firstLineChars="200"/>
        <w:rPr>
          <w:sz w:val="24"/>
        </w:rPr>
      </w:pPr>
      <w:r>
        <w:rPr>
          <w:rFonts w:hint="eastAsia"/>
          <w:sz w:val="24"/>
        </w:rPr>
        <w:t>电话：021-50712782</w:t>
      </w:r>
    </w:p>
    <w:p>
      <w:pPr>
        <w:adjustRightInd w:val="0"/>
        <w:snapToGrid w:val="0"/>
        <w:spacing w:line="360" w:lineRule="auto"/>
        <w:ind w:firstLine="480" w:firstLineChars="200"/>
        <w:rPr>
          <w:sz w:val="24"/>
        </w:rPr>
      </w:pPr>
      <w:r>
        <w:rPr>
          <w:rFonts w:hint="eastAsia"/>
          <w:sz w:val="24"/>
        </w:rPr>
        <w:t>传真：021-50710161</w:t>
      </w:r>
    </w:p>
    <w:p>
      <w:pPr>
        <w:adjustRightInd w:val="0"/>
        <w:snapToGrid w:val="0"/>
        <w:spacing w:line="360" w:lineRule="auto"/>
        <w:ind w:firstLine="480" w:firstLineChars="200"/>
        <w:rPr>
          <w:sz w:val="24"/>
        </w:rPr>
      </w:pPr>
      <w:r>
        <w:rPr>
          <w:rFonts w:hint="eastAsia"/>
          <w:sz w:val="24"/>
        </w:rPr>
        <w:t>联系人： 徐亚丹</w:t>
      </w:r>
    </w:p>
    <w:p>
      <w:pPr>
        <w:adjustRightInd w:val="0"/>
        <w:snapToGrid w:val="0"/>
        <w:spacing w:line="360" w:lineRule="auto"/>
        <w:ind w:firstLine="480" w:firstLineChars="200"/>
        <w:rPr>
          <w:sz w:val="24"/>
        </w:rPr>
      </w:pPr>
      <w:r>
        <w:rPr>
          <w:rFonts w:hint="eastAsia"/>
          <w:sz w:val="24"/>
        </w:rPr>
        <w:t>客户服务电话：400-821-0203</w:t>
      </w:r>
    </w:p>
    <w:p>
      <w:pPr>
        <w:adjustRightInd w:val="0"/>
        <w:snapToGrid w:val="0"/>
        <w:spacing w:line="360" w:lineRule="auto"/>
        <w:ind w:firstLine="480" w:firstLineChars="200"/>
        <w:rPr>
          <w:sz w:val="24"/>
        </w:rPr>
      </w:pPr>
      <w:r>
        <w:rPr>
          <w:rFonts w:hint="eastAsia"/>
          <w:sz w:val="24"/>
        </w:rPr>
        <w:t>网址： www.520fund.com.cn</w:t>
      </w:r>
    </w:p>
    <w:p>
      <w:pPr>
        <w:adjustRightInd w:val="0"/>
        <w:snapToGrid w:val="0"/>
        <w:spacing w:line="360" w:lineRule="auto"/>
        <w:ind w:firstLine="480" w:firstLineChars="200"/>
        <w:rPr>
          <w:sz w:val="24"/>
        </w:rPr>
      </w:pPr>
      <w:r>
        <w:rPr>
          <w:rFonts w:hint="eastAsia"/>
          <w:sz w:val="24"/>
        </w:rPr>
        <w:t>（64）天津万家财富资产管理有限公司</w:t>
      </w:r>
    </w:p>
    <w:p>
      <w:pPr>
        <w:adjustRightInd w:val="0"/>
        <w:snapToGrid w:val="0"/>
        <w:spacing w:line="360" w:lineRule="auto"/>
        <w:ind w:firstLine="480" w:firstLineChars="200"/>
        <w:rPr>
          <w:sz w:val="24"/>
        </w:rPr>
      </w:pPr>
      <w:r>
        <w:rPr>
          <w:rFonts w:hint="eastAsia"/>
          <w:sz w:val="24"/>
        </w:rPr>
        <w:t>住所：天津自贸区（中心商务区）迎宾大道1988号滨海浙商大厦公寓2-2413室</w:t>
      </w:r>
    </w:p>
    <w:p>
      <w:pPr>
        <w:adjustRightInd w:val="0"/>
        <w:snapToGrid w:val="0"/>
        <w:spacing w:line="360" w:lineRule="auto"/>
        <w:ind w:firstLine="480" w:firstLineChars="200"/>
        <w:rPr>
          <w:sz w:val="24"/>
        </w:rPr>
      </w:pPr>
      <w:r>
        <w:rPr>
          <w:rFonts w:hint="eastAsia"/>
          <w:sz w:val="24"/>
        </w:rPr>
        <w:t>办公地址：北京市西城区丰盛胡同28号太平洋保险大厦5层</w:t>
      </w:r>
    </w:p>
    <w:p>
      <w:pPr>
        <w:adjustRightInd w:val="0"/>
        <w:snapToGrid w:val="0"/>
        <w:spacing w:line="360" w:lineRule="auto"/>
        <w:ind w:firstLine="480" w:firstLineChars="200"/>
        <w:rPr>
          <w:sz w:val="24"/>
        </w:rPr>
      </w:pPr>
      <w:r>
        <w:rPr>
          <w:rFonts w:hint="eastAsia"/>
          <w:sz w:val="24"/>
        </w:rPr>
        <w:t xml:space="preserve">法定代表人：李修辞 </w:t>
      </w:r>
    </w:p>
    <w:p>
      <w:pPr>
        <w:adjustRightInd w:val="0"/>
        <w:snapToGrid w:val="0"/>
        <w:spacing w:line="360" w:lineRule="auto"/>
        <w:ind w:firstLine="480" w:firstLineChars="200"/>
        <w:rPr>
          <w:sz w:val="24"/>
        </w:rPr>
      </w:pPr>
      <w:r>
        <w:rPr>
          <w:rFonts w:hint="eastAsia"/>
          <w:sz w:val="24"/>
        </w:rPr>
        <w:t>电话：（010）59013828</w:t>
      </w:r>
    </w:p>
    <w:p>
      <w:pPr>
        <w:adjustRightInd w:val="0"/>
        <w:snapToGrid w:val="0"/>
        <w:spacing w:line="360" w:lineRule="auto"/>
        <w:ind w:firstLine="480" w:firstLineChars="200"/>
        <w:rPr>
          <w:sz w:val="24"/>
        </w:rPr>
      </w:pPr>
      <w:r>
        <w:rPr>
          <w:rFonts w:hint="eastAsia"/>
          <w:sz w:val="24"/>
        </w:rPr>
        <w:t>传真：（010）59013707</w:t>
      </w:r>
    </w:p>
    <w:p>
      <w:pPr>
        <w:adjustRightInd w:val="0"/>
        <w:snapToGrid w:val="0"/>
        <w:spacing w:line="360" w:lineRule="auto"/>
        <w:ind w:firstLine="480" w:firstLineChars="200"/>
        <w:rPr>
          <w:sz w:val="24"/>
        </w:rPr>
      </w:pPr>
      <w:r>
        <w:rPr>
          <w:rFonts w:hint="eastAsia"/>
          <w:sz w:val="24"/>
        </w:rPr>
        <w:t xml:space="preserve">联系人：王芳芳 </w:t>
      </w:r>
    </w:p>
    <w:p>
      <w:pPr>
        <w:adjustRightInd w:val="0"/>
        <w:snapToGrid w:val="0"/>
        <w:spacing w:line="360" w:lineRule="auto"/>
        <w:ind w:firstLine="480" w:firstLineChars="200"/>
        <w:rPr>
          <w:sz w:val="24"/>
        </w:rPr>
      </w:pPr>
      <w:r>
        <w:rPr>
          <w:rFonts w:hint="eastAsia"/>
          <w:sz w:val="24"/>
        </w:rPr>
        <w:t>客户服务电话：010-59013842</w:t>
      </w:r>
    </w:p>
    <w:p>
      <w:pPr>
        <w:adjustRightInd w:val="0"/>
        <w:snapToGrid w:val="0"/>
        <w:spacing w:line="360" w:lineRule="auto"/>
        <w:ind w:firstLine="480" w:firstLineChars="200"/>
        <w:rPr>
          <w:sz w:val="24"/>
        </w:rPr>
      </w:pPr>
      <w:r>
        <w:rPr>
          <w:rFonts w:hint="eastAsia"/>
          <w:sz w:val="24"/>
        </w:rPr>
        <w:t>网址：http://www.wanjiawealth.com/</w:t>
      </w:r>
    </w:p>
    <w:p>
      <w:pPr>
        <w:adjustRightInd w:val="0"/>
        <w:snapToGrid w:val="0"/>
        <w:spacing w:line="360" w:lineRule="auto"/>
        <w:ind w:firstLine="480" w:firstLineChars="200"/>
        <w:rPr>
          <w:sz w:val="24"/>
        </w:rPr>
      </w:pPr>
      <w:r>
        <w:rPr>
          <w:rFonts w:hint="eastAsia"/>
          <w:sz w:val="24"/>
        </w:rPr>
        <w:t>（65）上海挖财金融信息服务有限公司</w:t>
      </w:r>
    </w:p>
    <w:p>
      <w:pPr>
        <w:adjustRightInd w:val="0"/>
        <w:snapToGrid w:val="0"/>
        <w:spacing w:line="360" w:lineRule="auto"/>
        <w:ind w:firstLine="480" w:firstLineChars="200"/>
        <w:rPr>
          <w:sz w:val="24"/>
        </w:rPr>
      </w:pPr>
      <w:r>
        <w:rPr>
          <w:rFonts w:hint="eastAsia"/>
          <w:sz w:val="24"/>
        </w:rPr>
        <w:t>住所：中国（上海）自由贸易试验区杨高南路799号5层01、02、03室</w:t>
      </w:r>
    </w:p>
    <w:p>
      <w:pPr>
        <w:adjustRightInd w:val="0"/>
        <w:snapToGrid w:val="0"/>
        <w:spacing w:line="360" w:lineRule="auto"/>
        <w:ind w:firstLine="480" w:firstLineChars="200"/>
        <w:rPr>
          <w:sz w:val="24"/>
        </w:rPr>
      </w:pPr>
      <w:r>
        <w:rPr>
          <w:rFonts w:hint="eastAsia"/>
          <w:sz w:val="24"/>
        </w:rPr>
        <w:t>办公地址：中国（上海）自由贸易试验区杨高南路799号5层01、02、03室</w:t>
      </w:r>
    </w:p>
    <w:p>
      <w:pPr>
        <w:adjustRightInd w:val="0"/>
        <w:snapToGrid w:val="0"/>
        <w:spacing w:line="360" w:lineRule="auto"/>
        <w:ind w:firstLine="480" w:firstLineChars="200"/>
        <w:rPr>
          <w:sz w:val="24"/>
        </w:rPr>
      </w:pPr>
      <w:r>
        <w:rPr>
          <w:rFonts w:hint="eastAsia"/>
          <w:sz w:val="24"/>
        </w:rPr>
        <w:t>法定代表人： 胡燕亮</w:t>
      </w:r>
    </w:p>
    <w:p>
      <w:pPr>
        <w:adjustRightInd w:val="0"/>
        <w:snapToGrid w:val="0"/>
        <w:spacing w:line="360" w:lineRule="auto"/>
        <w:ind w:firstLine="480" w:firstLineChars="200"/>
        <w:rPr>
          <w:sz w:val="24"/>
        </w:rPr>
      </w:pPr>
      <w:r>
        <w:rPr>
          <w:rFonts w:hint="eastAsia"/>
          <w:sz w:val="24"/>
        </w:rPr>
        <w:t>电话：（021）50810687</w:t>
      </w:r>
    </w:p>
    <w:p>
      <w:pPr>
        <w:adjustRightInd w:val="0"/>
        <w:snapToGrid w:val="0"/>
        <w:spacing w:line="360" w:lineRule="auto"/>
        <w:ind w:firstLine="480" w:firstLineChars="200"/>
        <w:rPr>
          <w:sz w:val="24"/>
        </w:rPr>
      </w:pPr>
      <w:r>
        <w:rPr>
          <w:rFonts w:hint="eastAsia"/>
          <w:sz w:val="24"/>
        </w:rPr>
        <w:t>传真：（021）58300279</w:t>
      </w:r>
    </w:p>
    <w:p>
      <w:pPr>
        <w:adjustRightInd w:val="0"/>
        <w:snapToGrid w:val="0"/>
        <w:spacing w:line="360" w:lineRule="auto"/>
        <w:ind w:firstLine="480" w:firstLineChars="200"/>
        <w:rPr>
          <w:sz w:val="24"/>
        </w:rPr>
      </w:pPr>
      <w:r>
        <w:rPr>
          <w:rFonts w:hint="eastAsia"/>
          <w:sz w:val="24"/>
        </w:rPr>
        <w:t>联系人： 李娟</w:t>
      </w:r>
    </w:p>
    <w:p>
      <w:pPr>
        <w:adjustRightInd w:val="0"/>
        <w:snapToGrid w:val="0"/>
        <w:spacing w:line="360" w:lineRule="auto"/>
        <w:ind w:firstLine="480" w:firstLineChars="200"/>
        <w:rPr>
          <w:sz w:val="24"/>
        </w:rPr>
      </w:pPr>
      <w:r>
        <w:rPr>
          <w:rFonts w:hint="eastAsia"/>
          <w:sz w:val="24"/>
        </w:rPr>
        <w:t>客户服务电话：（021）50810673</w:t>
      </w:r>
    </w:p>
    <w:p>
      <w:pPr>
        <w:adjustRightInd w:val="0"/>
        <w:snapToGrid w:val="0"/>
        <w:spacing w:line="360" w:lineRule="auto"/>
        <w:ind w:firstLine="480" w:firstLineChars="200"/>
        <w:rPr>
          <w:sz w:val="24"/>
        </w:rPr>
      </w:pPr>
      <w:r>
        <w:rPr>
          <w:rFonts w:hint="eastAsia"/>
          <w:sz w:val="24"/>
        </w:rPr>
        <w:t xml:space="preserve">网址：www.wacaijijin.com </w:t>
      </w:r>
    </w:p>
    <w:p>
      <w:pPr>
        <w:adjustRightInd w:val="0"/>
        <w:snapToGrid w:val="0"/>
        <w:spacing w:line="360" w:lineRule="auto"/>
        <w:ind w:firstLine="480" w:firstLineChars="200"/>
        <w:rPr>
          <w:sz w:val="24"/>
        </w:rPr>
      </w:pPr>
      <w:r>
        <w:rPr>
          <w:rFonts w:hint="eastAsia"/>
          <w:sz w:val="24"/>
        </w:rPr>
        <w:t>（66）嘉实财富管理有限公司</w:t>
      </w:r>
    </w:p>
    <w:p>
      <w:pPr>
        <w:adjustRightInd w:val="0"/>
        <w:snapToGrid w:val="0"/>
        <w:spacing w:line="360" w:lineRule="auto"/>
        <w:ind w:firstLine="480" w:firstLineChars="200"/>
        <w:rPr>
          <w:sz w:val="24"/>
        </w:rPr>
      </w:pPr>
      <w:r>
        <w:rPr>
          <w:rFonts w:hint="eastAsia"/>
          <w:sz w:val="24"/>
        </w:rPr>
        <w:t>住所：上海市浦东新区世纪大道8号上海国金中心办公楼二期53层5312-15单元</w:t>
      </w:r>
    </w:p>
    <w:p>
      <w:pPr>
        <w:adjustRightInd w:val="0"/>
        <w:snapToGrid w:val="0"/>
        <w:spacing w:line="360" w:lineRule="auto"/>
        <w:ind w:firstLine="480" w:firstLineChars="200"/>
        <w:rPr>
          <w:sz w:val="24"/>
        </w:rPr>
      </w:pPr>
      <w:r>
        <w:rPr>
          <w:rFonts w:hint="eastAsia"/>
          <w:sz w:val="24"/>
        </w:rPr>
        <w:t>办公地址：北京市朝阳区建国路91号金地中心A座6层</w:t>
      </w:r>
    </w:p>
    <w:p>
      <w:pPr>
        <w:adjustRightInd w:val="0"/>
        <w:snapToGrid w:val="0"/>
        <w:spacing w:line="360" w:lineRule="auto"/>
        <w:ind w:firstLine="480" w:firstLineChars="200"/>
        <w:rPr>
          <w:sz w:val="24"/>
        </w:rPr>
      </w:pPr>
      <w:r>
        <w:rPr>
          <w:rFonts w:hint="eastAsia"/>
          <w:sz w:val="24"/>
        </w:rPr>
        <w:t>法定代表人： 赵学军</w:t>
      </w:r>
    </w:p>
    <w:p>
      <w:pPr>
        <w:adjustRightInd w:val="0"/>
        <w:snapToGrid w:val="0"/>
        <w:spacing w:line="360" w:lineRule="auto"/>
        <w:ind w:firstLine="480" w:firstLineChars="200"/>
        <w:rPr>
          <w:sz w:val="24"/>
        </w:rPr>
      </w:pPr>
      <w:r>
        <w:rPr>
          <w:rFonts w:hint="eastAsia"/>
          <w:sz w:val="24"/>
        </w:rPr>
        <w:t>电话：（021）38789658</w:t>
      </w:r>
    </w:p>
    <w:p>
      <w:pPr>
        <w:adjustRightInd w:val="0"/>
        <w:snapToGrid w:val="0"/>
        <w:spacing w:line="360" w:lineRule="auto"/>
        <w:ind w:firstLine="480" w:firstLineChars="200"/>
        <w:rPr>
          <w:sz w:val="24"/>
        </w:rPr>
      </w:pPr>
      <w:r>
        <w:rPr>
          <w:rFonts w:hint="eastAsia"/>
          <w:sz w:val="24"/>
        </w:rPr>
        <w:t>传真：（021）68880023</w:t>
      </w:r>
    </w:p>
    <w:p>
      <w:pPr>
        <w:adjustRightInd w:val="0"/>
        <w:snapToGrid w:val="0"/>
        <w:spacing w:line="360" w:lineRule="auto"/>
        <w:ind w:firstLine="480" w:firstLineChars="200"/>
        <w:rPr>
          <w:sz w:val="24"/>
        </w:rPr>
      </w:pPr>
      <w:r>
        <w:rPr>
          <w:rFonts w:hint="eastAsia"/>
          <w:sz w:val="24"/>
        </w:rPr>
        <w:t>联系人： 王宫</w:t>
      </w:r>
    </w:p>
    <w:p>
      <w:pPr>
        <w:adjustRightInd w:val="0"/>
        <w:snapToGrid w:val="0"/>
        <w:spacing w:line="360" w:lineRule="auto"/>
        <w:ind w:firstLine="480" w:firstLineChars="200"/>
        <w:rPr>
          <w:sz w:val="24"/>
        </w:rPr>
      </w:pPr>
      <w:r>
        <w:rPr>
          <w:rFonts w:hint="eastAsia"/>
          <w:sz w:val="24"/>
        </w:rPr>
        <w:t>客户服务电话：400-021-8850</w:t>
      </w:r>
    </w:p>
    <w:p>
      <w:pPr>
        <w:adjustRightInd w:val="0"/>
        <w:snapToGrid w:val="0"/>
        <w:spacing w:line="360" w:lineRule="auto"/>
        <w:ind w:firstLine="480" w:firstLineChars="200"/>
        <w:rPr>
          <w:sz w:val="24"/>
        </w:rPr>
      </w:pPr>
      <w:r>
        <w:rPr>
          <w:rFonts w:hint="eastAsia"/>
          <w:sz w:val="24"/>
        </w:rPr>
        <w:t>网址： www.harvestwm.cn</w:t>
      </w:r>
    </w:p>
    <w:p>
      <w:pPr>
        <w:adjustRightInd w:val="0"/>
        <w:snapToGrid w:val="0"/>
        <w:spacing w:line="360" w:lineRule="auto"/>
        <w:ind w:firstLine="480" w:firstLineChars="200"/>
        <w:rPr>
          <w:sz w:val="24"/>
        </w:rPr>
      </w:pPr>
      <w:r>
        <w:rPr>
          <w:rFonts w:hint="eastAsia"/>
          <w:sz w:val="24"/>
        </w:rPr>
        <w:t>（67）南京苏宁基金销售有限公司</w:t>
      </w:r>
    </w:p>
    <w:p>
      <w:pPr>
        <w:adjustRightInd w:val="0"/>
        <w:snapToGrid w:val="0"/>
        <w:spacing w:line="360" w:lineRule="auto"/>
        <w:ind w:firstLine="480" w:firstLineChars="200"/>
        <w:rPr>
          <w:sz w:val="24"/>
        </w:rPr>
      </w:pPr>
      <w:r>
        <w:rPr>
          <w:rFonts w:hint="eastAsia"/>
          <w:sz w:val="24"/>
        </w:rPr>
        <w:t>住所：南京市玄武区苏宁大道1-5号</w:t>
      </w:r>
    </w:p>
    <w:p>
      <w:pPr>
        <w:adjustRightInd w:val="0"/>
        <w:snapToGrid w:val="0"/>
        <w:spacing w:line="360" w:lineRule="auto"/>
        <w:ind w:firstLine="480" w:firstLineChars="200"/>
        <w:rPr>
          <w:sz w:val="24"/>
        </w:rPr>
      </w:pPr>
      <w:r>
        <w:rPr>
          <w:rFonts w:hint="eastAsia"/>
          <w:sz w:val="24"/>
        </w:rPr>
        <w:t>办公地址：南京市玄武区苏宁大道1-5号</w:t>
      </w:r>
    </w:p>
    <w:p>
      <w:pPr>
        <w:adjustRightInd w:val="0"/>
        <w:snapToGrid w:val="0"/>
        <w:spacing w:line="360" w:lineRule="auto"/>
        <w:ind w:firstLine="480" w:firstLineChars="200"/>
        <w:rPr>
          <w:sz w:val="24"/>
        </w:rPr>
      </w:pPr>
      <w:r>
        <w:rPr>
          <w:rFonts w:hint="eastAsia"/>
          <w:sz w:val="24"/>
        </w:rPr>
        <w:t>法定代表人：王锋</w:t>
      </w:r>
    </w:p>
    <w:p>
      <w:pPr>
        <w:adjustRightInd w:val="0"/>
        <w:snapToGrid w:val="0"/>
        <w:spacing w:line="360" w:lineRule="auto"/>
        <w:ind w:firstLine="480" w:firstLineChars="200"/>
        <w:rPr>
          <w:sz w:val="24"/>
        </w:rPr>
      </w:pPr>
      <w:r>
        <w:rPr>
          <w:rFonts w:hint="eastAsia"/>
          <w:sz w:val="24"/>
        </w:rPr>
        <w:t>电话：025-66996699</w:t>
      </w:r>
    </w:p>
    <w:p>
      <w:pPr>
        <w:adjustRightInd w:val="0"/>
        <w:snapToGrid w:val="0"/>
        <w:spacing w:line="360" w:lineRule="auto"/>
        <w:ind w:firstLine="480" w:firstLineChars="200"/>
        <w:rPr>
          <w:sz w:val="24"/>
        </w:rPr>
      </w:pPr>
      <w:r>
        <w:rPr>
          <w:rFonts w:hint="eastAsia"/>
          <w:sz w:val="24"/>
        </w:rPr>
        <w:t>传真：025-66996699</w:t>
      </w:r>
    </w:p>
    <w:p>
      <w:pPr>
        <w:adjustRightInd w:val="0"/>
        <w:snapToGrid w:val="0"/>
        <w:spacing w:line="360" w:lineRule="auto"/>
        <w:ind w:firstLine="480" w:firstLineChars="200"/>
        <w:rPr>
          <w:sz w:val="24"/>
        </w:rPr>
      </w:pPr>
      <w:r>
        <w:rPr>
          <w:rFonts w:hint="eastAsia"/>
          <w:sz w:val="24"/>
        </w:rPr>
        <w:t>联系人： 冯鹏鹏</w:t>
      </w:r>
    </w:p>
    <w:p>
      <w:pPr>
        <w:adjustRightInd w:val="0"/>
        <w:snapToGrid w:val="0"/>
        <w:spacing w:line="360" w:lineRule="auto"/>
        <w:ind w:firstLine="480" w:firstLineChars="200"/>
        <w:rPr>
          <w:sz w:val="24"/>
        </w:rPr>
      </w:pPr>
      <w:r>
        <w:rPr>
          <w:rFonts w:hint="eastAsia"/>
          <w:sz w:val="24"/>
        </w:rPr>
        <w:t>客户服务电话：95177</w:t>
      </w:r>
    </w:p>
    <w:p>
      <w:pPr>
        <w:adjustRightInd w:val="0"/>
        <w:snapToGrid w:val="0"/>
        <w:spacing w:line="360" w:lineRule="auto"/>
        <w:ind w:firstLine="480" w:firstLineChars="200"/>
        <w:rPr>
          <w:sz w:val="24"/>
        </w:rPr>
      </w:pPr>
      <w:r>
        <w:rPr>
          <w:rFonts w:hint="eastAsia"/>
          <w:sz w:val="24"/>
        </w:rPr>
        <w:t>网址： www.snjijin.com</w:t>
      </w:r>
    </w:p>
    <w:p>
      <w:pPr>
        <w:adjustRightInd w:val="0"/>
        <w:snapToGrid w:val="0"/>
        <w:spacing w:line="360" w:lineRule="auto"/>
        <w:ind w:firstLine="480" w:firstLineChars="200"/>
        <w:rPr>
          <w:sz w:val="24"/>
        </w:rPr>
      </w:pPr>
      <w:r>
        <w:rPr>
          <w:rFonts w:hint="eastAsia"/>
          <w:sz w:val="24"/>
        </w:rPr>
        <w:t>（68）北京百度百盈基金销售有限公司</w:t>
      </w:r>
    </w:p>
    <w:p>
      <w:pPr>
        <w:adjustRightInd w:val="0"/>
        <w:snapToGrid w:val="0"/>
        <w:spacing w:line="360" w:lineRule="auto"/>
        <w:ind w:firstLine="480" w:firstLineChars="200"/>
        <w:rPr>
          <w:sz w:val="24"/>
        </w:rPr>
      </w:pPr>
      <w:r>
        <w:rPr>
          <w:rFonts w:hint="eastAsia"/>
          <w:sz w:val="24"/>
        </w:rPr>
        <w:t>住所：北京市海淀区上地十街10号1幢1层101</w:t>
      </w:r>
    </w:p>
    <w:p>
      <w:pPr>
        <w:adjustRightInd w:val="0"/>
        <w:snapToGrid w:val="0"/>
        <w:spacing w:line="360" w:lineRule="auto"/>
        <w:ind w:firstLine="480" w:firstLineChars="200"/>
        <w:rPr>
          <w:sz w:val="24"/>
        </w:rPr>
      </w:pPr>
      <w:r>
        <w:rPr>
          <w:rFonts w:hint="eastAsia"/>
          <w:sz w:val="24"/>
        </w:rPr>
        <w:t>办公地址： 北京市海淀区信息路甲9号奎科大厦</w:t>
      </w:r>
    </w:p>
    <w:p>
      <w:pPr>
        <w:adjustRightInd w:val="0"/>
        <w:snapToGrid w:val="0"/>
        <w:spacing w:line="360" w:lineRule="auto"/>
        <w:ind w:firstLine="480" w:firstLineChars="200"/>
        <w:rPr>
          <w:sz w:val="24"/>
        </w:rPr>
      </w:pPr>
      <w:r>
        <w:rPr>
          <w:rFonts w:hint="eastAsia"/>
          <w:sz w:val="24"/>
        </w:rPr>
        <w:t>法定代表人： 张旭阳</w:t>
      </w:r>
    </w:p>
    <w:p>
      <w:pPr>
        <w:adjustRightInd w:val="0"/>
        <w:snapToGrid w:val="0"/>
        <w:spacing w:line="360" w:lineRule="auto"/>
        <w:ind w:firstLine="480" w:firstLineChars="200"/>
        <w:rPr>
          <w:sz w:val="24"/>
        </w:rPr>
      </w:pPr>
      <w:r>
        <w:rPr>
          <w:rFonts w:hint="eastAsia"/>
          <w:sz w:val="24"/>
        </w:rPr>
        <w:t>电话：010-61952703</w:t>
      </w:r>
    </w:p>
    <w:p>
      <w:pPr>
        <w:adjustRightInd w:val="0"/>
        <w:snapToGrid w:val="0"/>
        <w:spacing w:line="360" w:lineRule="auto"/>
        <w:ind w:firstLine="480" w:firstLineChars="200"/>
        <w:rPr>
          <w:sz w:val="24"/>
        </w:rPr>
      </w:pPr>
      <w:r>
        <w:rPr>
          <w:rFonts w:hint="eastAsia"/>
          <w:sz w:val="24"/>
        </w:rPr>
        <w:t>传真：010-61951007</w:t>
      </w:r>
    </w:p>
    <w:p>
      <w:pPr>
        <w:adjustRightInd w:val="0"/>
        <w:snapToGrid w:val="0"/>
        <w:spacing w:line="360" w:lineRule="auto"/>
        <w:ind w:firstLine="480" w:firstLineChars="200"/>
        <w:rPr>
          <w:sz w:val="24"/>
        </w:rPr>
      </w:pPr>
      <w:r>
        <w:rPr>
          <w:rFonts w:hint="eastAsia"/>
          <w:sz w:val="24"/>
        </w:rPr>
        <w:t>联系人：霍博华</w:t>
      </w:r>
    </w:p>
    <w:p>
      <w:pPr>
        <w:adjustRightInd w:val="0"/>
        <w:snapToGrid w:val="0"/>
        <w:spacing w:line="360" w:lineRule="auto"/>
        <w:ind w:firstLine="480" w:firstLineChars="200"/>
        <w:rPr>
          <w:sz w:val="24"/>
        </w:rPr>
      </w:pPr>
      <w:r>
        <w:rPr>
          <w:rFonts w:hint="eastAsia"/>
          <w:sz w:val="24"/>
        </w:rPr>
        <w:t>客户服务电话：95599-9</w:t>
      </w:r>
    </w:p>
    <w:p>
      <w:pPr>
        <w:adjustRightInd w:val="0"/>
        <w:snapToGrid w:val="0"/>
        <w:spacing w:line="360" w:lineRule="auto"/>
        <w:ind w:firstLine="480" w:firstLineChars="200"/>
        <w:rPr>
          <w:sz w:val="24"/>
        </w:rPr>
      </w:pPr>
      <w:r>
        <w:rPr>
          <w:rFonts w:hint="eastAsia"/>
          <w:sz w:val="24"/>
        </w:rPr>
        <w:t>网址： www.baiyingfund.com</w:t>
      </w:r>
    </w:p>
    <w:p>
      <w:pPr>
        <w:adjustRightInd w:val="0"/>
        <w:snapToGrid w:val="0"/>
        <w:spacing w:line="360" w:lineRule="auto"/>
        <w:ind w:firstLine="480" w:firstLineChars="200"/>
        <w:rPr>
          <w:sz w:val="24"/>
        </w:rPr>
      </w:pPr>
      <w:r>
        <w:rPr>
          <w:rFonts w:hint="eastAsia"/>
          <w:sz w:val="24"/>
        </w:rPr>
        <w:t>（69）北京唐鼎耀华投资咨询有限公司</w:t>
      </w:r>
    </w:p>
    <w:p>
      <w:pPr>
        <w:adjustRightInd w:val="0"/>
        <w:snapToGrid w:val="0"/>
        <w:spacing w:line="360" w:lineRule="auto"/>
        <w:ind w:firstLine="480" w:firstLineChars="200"/>
        <w:rPr>
          <w:sz w:val="24"/>
        </w:rPr>
      </w:pPr>
      <w:r>
        <w:rPr>
          <w:rFonts w:hint="eastAsia"/>
          <w:sz w:val="24"/>
        </w:rPr>
        <w:t>住所：北京市延庆县延庆经济开发区百泉街10号2栋236室</w:t>
      </w:r>
    </w:p>
    <w:p>
      <w:pPr>
        <w:adjustRightInd w:val="0"/>
        <w:snapToGrid w:val="0"/>
        <w:spacing w:line="360" w:lineRule="auto"/>
        <w:ind w:firstLine="480" w:firstLineChars="200"/>
        <w:rPr>
          <w:sz w:val="24"/>
        </w:rPr>
      </w:pPr>
      <w:r>
        <w:rPr>
          <w:rFonts w:hint="eastAsia"/>
          <w:sz w:val="24"/>
        </w:rPr>
        <w:t>办公地址：北京市朝阳区东三环北路38号院1号泰康金融中心38层</w:t>
      </w:r>
    </w:p>
    <w:p>
      <w:pPr>
        <w:adjustRightInd w:val="0"/>
        <w:snapToGrid w:val="0"/>
        <w:spacing w:line="360" w:lineRule="auto"/>
        <w:ind w:firstLine="480" w:firstLineChars="200"/>
        <w:rPr>
          <w:sz w:val="24"/>
        </w:rPr>
      </w:pPr>
      <w:r>
        <w:rPr>
          <w:rFonts w:hint="eastAsia"/>
          <w:sz w:val="24"/>
        </w:rPr>
        <w:t>法定代表人：张冠宇</w:t>
      </w:r>
    </w:p>
    <w:p>
      <w:pPr>
        <w:adjustRightInd w:val="0"/>
        <w:snapToGrid w:val="0"/>
        <w:spacing w:line="360" w:lineRule="auto"/>
        <w:ind w:firstLine="480" w:firstLineChars="200"/>
        <w:rPr>
          <w:sz w:val="24"/>
        </w:rPr>
      </w:pPr>
      <w:r>
        <w:rPr>
          <w:rFonts w:hint="eastAsia"/>
          <w:sz w:val="24"/>
        </w:rPr>
        <w:t>电话：（010）85870662</w:t>
      </w:r>
    </w:p>
    <w:p>
      <w:pPr>
        <w:adjustRightInd w:val="0"/>
        <w:snapToGrid w:val="0"/>
        <w:spacing w:line="360" w:lineRule="auto"/>
        <w:ind w:firstLine="480" w:firstLineChars="200"/>
        <w:rPr>
          <w:sz w:val="24"/>
        </w:rPr>
      </w:pPr>
      <w:r>
        <w:rPr>
          <w:rFonts w:hint="eastAsia"/>
          <w:sz w:val="24"/>
        </w:rPr>
        <w:t>传真：（010）59200800</w:t>
      </w:r>
    </w:p>
    <w:p>
      <w:pPr>
        <w:adjustRightInd w:val="0"/>
        <w:snapToGrid w:val="0"/>
        <w:spacing w:line="360" w:lineRule="auto"/>
        <w:ind w:firstLine="480" w:firstLineChars="200"/>
        <w:rPr>
          <w:sz w:val="24"/>
        </w:rPr>
      </w:pPr>
      <w:r>
        <w:rPr>
          <w:rFonts w:hint="eastAsia"/>
          <w:sz w:val="24"/>
        </w:rPr>
        <w:t>联系人： 刘美薇</w:t>
      </w:r>
    </w:p>
    <w:p>
      <w:pPr>
        <w:adjustRightInd w:val="0"/>
        <w:snapToGrid w:val="0"/>
        <w:spacing w:line="360" w:lineRule="auto"/>
        <w:ind w:firstLine="480" w:firstLineChars="200"/>
        <w:rPr>
          <w:sz w:val="24"/>
        </w:rPr>
      </w:pPr>
      <w:r>
        <w:rPr>
          <w:rFonts w:hint="eastAsia"/>
          <w:sz w:val="24"/>
        </w:rPr>
        <w:t>客户服务电话：400-819-9868</w:t>
      </w:r>
    </w:p>
    <w:p>
      <w:pPr>
        <w:adjustRightInd w:val="0"/>
        <w:snapToGrid w:val="0"/>
        <w:spacing w:line="360" w:lineRule="auto"/>
        <w:ind w:firstLine="480" w:firstLineChars="200"/>
        <w:rPr>
          <w:sz w:val="24"/>
        </w:rPr>
      </w:pPr>
      <w:r>
        <w:rPr>
          <w:rFonts w:hint="eastAsia"/>
          <w:sz w:val="24"/>
        </w:rPr>
        <w:t>网址：www.tdyhfund.com</w:t>
      </w:r>
    </w:p>
    <w:p>
      <w:pPr>
        <w:adjustRightInd w:val="0"/>
        <w:snapToGrid w:val="0"/>
        <w:spacing w:line="360" w:lineRule="auto"/>
        <w:ind w:firstLine="480" w:firstLineChars="200"/>
        <w:rPr>
          <w:sz w:val="24"/>
        </w:rPr>
      </w:pPr>
      <w:r>
        <w:rPr>
          <w:rFonts w:hint="eastAsia"/>
          <w:sz w:val="24"/>
        </w:rPr>
        <w:t>（70）上海华夏财富投资管理有限公司</w:t>
      </w:r>
    </w:p>
    <w:p>
      <w:pPr>
        <w:adjustRightInd w:val="0"/>
        <w:snapToGrid w:val="0"/>
        <w:spacing w:line="360" w:lineRule="auto"/>
        <w:ind w:firstLine="480" w:firstLineChars="200"/>
        <w:rPr>
          <w:sz w:val="24"/>
        </w:rPr>
      </w:pPr>
      <w:r>
        <w:rPr>
          <w:rFonts w:hint="eastAsia"/>
          <w:sz w:val="24"/>
        </w:rPr>
        <w:t>住所：上海市虹口区东大名路687号1幢2楼268室</w:t>
      </w:r>
    </w:p>
    <w:p>
      <w:pPr>
        <w:adjustRightInd w:val="0"/>
        <w:snapToGrid w:val="0"/>
        <w:spacing w:line="360" w:lineRule="auto"/>
        <w:ind w:firstLine="480" w:firstLineChars="200"/>
        <w:rPr>
          <w:sz w:val="24"/>
        </w:rPr>
      </w:pPr>
      <w:r>
        <w:rPr>
          <w:rFonts w:hint="eastAsia"/>
          <w:sz w:val="24"/>
        </w:rPr>
        <w:t>办公地址： 北京市西城区金融大街33号通泰大厦B座8层</w:t>
      </w:r>
    </w:p>
    <w:p>
      <w:pPr>
        <w:adjustRightInd w:val="0"/>
        <w:snapToGrid w:val="0"/>
        <w:spacing w:line="360" w:lineRule="auto"/>
        <w:ind w:firstLine="480" w:firstLineChars="200"/>
        <w:rPr>
          <w:sz w:val="24"/>
        </w:rPr>
      </w:pPr>
      <w:r>
        <w:rPr>
          <w:rFonts w:hint="eastAsia"/>
          <w:sz w:val="24"/>
        </w:rPr>
        <w:t>法定代表人： 毛淮平</w:t>
      </w:r>
    </w:p>
    <w:p>
      <w:pPr>
        <w:adjustRightInd w:val="0"/>
        <w:snapToGrid w:val="0"/>
        <w:spacing w:line="360" w:lineRule="auto"/>
        <w:ind w:firstLine="480" w:firstLineChars="200"/>
        <w:rPr>
          <w:sz w:val="24"/>
        </w:rPr>
      </w:pPr>
      <w:r>
        <w:rPr>
          <w:rFonts w:hint="eastAsia"/>
          <w:sz w:val="24"/>
        </w:rPr>
        <w:t>电话：010-88066632</w:t>
      </w:r>
    </w:p>
    <w:p>
      <w:pPr>
        <w:adjustRightInd w:val="0"/>
        <w:snapToGrid w:val="0"/>
        <w:spacing w:line="360" w:lineRule="auto"/>
        <w:ind w:firstLine="480" w:firstLineChars="200"/>
        <w:rPr>
          <w:sz w:val="24"/>
        </w:rPr>
      </w:pPr>
      <w:r>
        <w:rPr>
          <w:rFonts w:hint="eastAsia"/>
          <w:sz w:val="24"/>
        </w:rPr>
        <w:t>传真：010-63136184</w:t>
      </w:r>
    </w:p>
    <w:p>
      <w:pPr>
        <w:adjustRightInd w:val="0"/>
        <w:snapToGrid w:val="0"/>
        <w:spacing w:line="360" w:lineRule="auto"/>
        <w:ind w:firstLine="480" w:firstLineChars="200"/>
        <w:rPr>
          <w:sz w:val="24"/>
        </w:rPr>
      </w:pPr>
      <w:r>
        <w:rPr>
          <w:rFonts w:hint="eastAsia"/>
          <w:sz w:val="24"/>
        </w:rPr>
        <w:t>联系人： 张静怡</w:t>
      </w:r>
    </w:p>
    <w:p>
      <w:pPr>
        <w:adjustRightInd w:val="0"/>
        <w:snapToGrid w:val="0"/>
        <w:spacing w:line="360" w:lineRule="auto"/>
        <w:ind w:firstLine="480" w:firstLineChars="200"/>
        <w:rPr>
          <w:sz w:val="24"/>
        </w:rPr>
      </w:pPr>
      <w:r>
        <w:rPr>
          <w:rFonts w:hint="eastAsia"/>
          <w:sz w:val="24"/>
        </w:rPr>
        <w:t>客户服务电话：400-817-5666</w:t>
      </w:r>
    </w:p>
    <w:p>
      <w:pPr>
        <w:adjustRightInd w:val="0"/>
        <w:snapToGrid w:val="0"/>
        <w:spacing w:line="360" w:lineRule="auto"/>
        <w:ind w:firstLine="480" w:firstLineChars="200"/>
        <w:rPr>
          <w:sz w:val="24"/>
        </w:rPr>
      </w:pPr>
      <w:r>
        <w:rPr>
          <w:rFonts w:hint="eastAsia"/>
          <w:sz w:val="24"/>
        </w:rPr>
        <w:t>网址： www.amcfortune.com</w:t>
      </w:r>
    </w:p>
    <w:p>
      <w:pPr>
        <w:adjustRightInd w:val="0"/>
        <w:snapToGrid w:val="0"/>
        <w:spacing w:line="360" w:lineRule="auto"/>
        <w:ind w:firstLine="480" w:firstLineChars="200"/>
        <w:rPr>
          <w:sz w:val="24"/>
        </w:rPr>
      </w:pPr>
      <w:r>
        <w:rPr>
          <w:rFonts w:hint="eastAsia"/>
          <w:sz w:val="24"/>
        </w:rPr>
        <w:t>（71）江苏汇林保大基金销售有限公司</w:t>
      </w:r>
    </w:p>
    <w:p>
      <w:pPr>
        <w:adjustRightInd w:val="0"/>
        <w:snapToGrid w:val="0"/>
        <w:spacing w:line="360" w:lineRule="auto"/>
        <w:ind w:firstLine="480" w:firstLineChars="200"/>
        <w:rPr>
          <w:sz w:val="24"/>
        </w:rPr>
      </w:pPr>
      <w:r>
        <w:rPr>
          <w:rFonts w:hint="eastAsia"/>
          <w:sz w:val="24"/>
        </w:rPr>
        <w:t>住所：南京市高淳区经济开发区古檀大道47号</w:t>
      </w:r>
    </w:p>
    <w:p>
      <w:pPr>
        <w:adjustRightInd w:val="0"/>
        <w:snapToGrid w:val="0"/>
        <w:spacing w:line="360" w:lineRule="auto"/>
        <w:ind w:firstLine="480" w:firstLineChars="200"/>
        <w:rPr>
          <w:sz w:val="24"/>
        </w:rPr>
      </w:pPr>
      <w:r>
        <w:rPr>
          <w:rFonts w:hint="eastAsia"/>
          <w:sz w:val="24"/>
        </w:rPr>
        <w:t>办公地址：江苏省南京市鼓楼区中山北路105号中环国际1413室</w:t>
      </w:r>
    </w:p>
    <w:p>
      <w:pPr>
        <w:adjustRightInd w:val="0"/>
        <w:snapToGrid w:val="0"/>
        <w:spacing w:line="360" w:lineRule="auto"/>
        <w:ind w:firstLine="480" w:firstLineChars="200"/>
        <w:rPr>
          <w:sz w:val="24"/>
        </w:rPr>
      </w:pPr>
      <w:r>
        <w:rPr>
          <w:rFonts w:hint="eastAsia"/>
          <w:sz w:val="24"/>
        </w:rPr>
        <w:t>法定代表人： 吴言林</w:t>
      </w:r>
    </w:p>
    <w:p>
      <w:pPr>
        <w:adjustRightInd w:val="0"/>
        <w:snapToGrid w:val="0"/>
        <w:spacing w:line="360" w:lineRule="auto"/>
        <w:ind w:firstLine="480" w:firstLineChars="200"/>
        <w:rPr>
          <w:sz w:val="24"/>
        </w:rPr>
      </w:pPr>
      <w:r>
        <w:rPr>
          <w:rFonts w:hint="eastAsia"/>
          <w:sz w:val="24"/>
        </w:rPr>
        <w:t>电话：025-66046166转837</w:t>
      </w:r>
    </w:p>
    <w:p>
      <w:pPr>
        <w:adjustRightInd w:val="0"/>
        <w:snapToGrid w:val="0"/>
        <w:spacing w:line="360" w:lineRule="auto"/>
        <w:ind w:firstLine="480" w:firstLineChars="200"/>
        <w:rPr>
          <w:sz w:val="24"/>
        </w:rPr>
      </w:pPr>
      <w:r>
        <w:rPr>
          <w:rFonts w:hint="eastAsia"/>
          <w:sz w:val="24"/>
        </w:rPr>
        <w:t>传真：025-56663409</w:t>
      </w:r>
    </w:p>
    <w:p>
      <w:pPr>
        <w:adjustRightInd w:val="0"/>
        <w:snapToGrid w:val="0"/>
        <w:spacing w:line="360" w:lineRule="auto"/>
        <w:ind w:firstLine="480" w:firstLineChars="200"/>
        <w:rPr>
          <w:sz w:val="24"/>
        </w:rPr>
      </w:pPr>
      <w:r>
        <w:rPr>
          <w:rFonts w:hint="eastAsia"/>
          <w:sz w:val="24"/>
        </w:rPr>
        <w:t>联系人： 孙平</w:t>
      </w:r>
    </w:p>
    <w:p>
      <w:pPr>
        <w:adjustRightInd w:val="0"/>
        <w:snapToGrid w:val="0"/>
        <w:spacing w:line="360" w:lineRule="auto"/>
        <w:ind w:firstLine="480" w:firstLineChars="200"/>
        <w:rPr>
          <w:sz w:val="24"/>
        </w:rPr>
      </w:pPr>
      <w:r>
        <w:rPr>
          <w:rFonts w:hint="eastAsia"/>
          <w:sz w:val="24"/>
        </w:rPr>
        <w:t>客户服务电话：025-66046166</w:t>
      </w:r>
    </w:p>
    <w:p>
      <w:pPr>
        <w:adjustRightInd w:val="0"/>
        <w:snapToGrid w:val="0"/>
        <w:spacing w:line="360" w:lineRule="auto"/>
        <w:ind w:firstLine="480" w:firstLineChars="200"/>
        <w:rPr>
          <w:sz w:val="24"/>
        </w:rPr>
      </w:pPr>
      <w:r>
        <w:rPr>
          <w:rFonts w:hint="eastAsia"/>
          <w:sz w:val="24"/>
        </w:rPr>
        <w:t>网址： www.huilinbd.com</w:t>
      </w:r>
    </w:p>
    <w:p>
      <w:pPr>
        <w:adjustRightInd w:val="0"/>
        <w:snapToGrid w:val="0"/>
        <w:spacing w:line="360" w:lineRule="auto"/>
        <w:ind w:firstLine="480" w:firstLineChars="200"/>
        <w:rPr>
          <w:sz w:val="24"/>
        </w:rPr>
      </w:pPr>
      <w:r>
        <w:rPr>
          <w:rFonts w:hint="eastAsia"/>
          <w:sz w:val="24"/>
        </w:rPr>
        <w:t>（72）玄元保险代理有限公司</w:t>
      </w:r>
    </w:p>
    <w:p>
      <w:pPr>
        <w:adjustRightInd w:val="0"/>
        <w:snapToGrid w:val="0"/>
        <w:spacing w:line="360" w:lineRule="auto"/>
        <w:ind w:firstLine="480" w:firstLineChars="200"/>
        <w:rPr>
          <w:sz w:val="24"/>
        </w:rPr>
      </w:pPr>
      <w:r>
        <w:rPr>
          <w:rFonts w:hint="eastAsia"/>
          <w:sz w:val="24"/>
        </w:rPr>
        <w:t>住所：中国(上海)自由贸易试验区张杨路707号1105室</w:t>
      </w:r>
    </w:p>
    <w:p>
      <w:pPr>
        <w:adjustRightInd w:val="0"/>
        <w:snapToGrid w:val="0"/>
        <w:spacing w:line="360" w:lineRule="auto"/>
        <w:ind w:firstLine="480" w:firstLineChars="200"/>
        <w:rPr>
          <w:sz w:val="24"/>
        </w:rPr>
      </w:pPr>
      <w:r>
        <w:rPr>
          <w:rFonts w:hint="eastAsia"/>
          <w:sz w:val="24"/>
        </w:rPr>
        <w:t>办公地址：中国(上海)自由贸易试验区张杨路707号1105室</w:t>
      </w:r>
    </w:p>
    <w:p>
      <w:pPr>
        <w:adjustRightInd w:val="0"/>
        <w:snapToGrid w:val="0"/>
        <w:spacing w:line="360" w:lineRule="auto"/>
        <w:ind w:firstLine="480" w:firstLineChars="200"/>
        <w:rPr>
          <w:sz w:val="24"/>
        </w:rPr>
      </w:pPr>
      <w:r>
        <w:rPr>
          <w:rFonts w:hint="eastAsia"/>
          <w:sz w:val="24"/>
        </w:rPr>
        <w:t>法定代表人：马永谙</w:t>
      </w:r>
    </w:p>
    <w:p>
      <w:pPr>
        <w:adjustRightInd w:val="0"/>
        <w:snapToGrid w:val="0"/>
        <w:spacing w:line="360" w:lineRule="auto"/>
        <w:ind w:firstLine="480" w:firstLineChars="200"/>
        <w:rPr>
          <w:sz w:val="24"/>
        </w:rPr>
      </w:pPr>
      <w:r>
        <w:rPr>
          <w:rFonts w:hint="eastAsia"/>
          <w:sz w:val="24"/>
        </w:rPr>
        <w:t>电话：（021）50701053</w:t>
      </w:r>
    </w:p>
    <w:p>
      <w:pPr>
        <w:adjustRightInd w:val="0"/>
        <w:snapToGrid w:val="0"/>
        <w:spacing w:line="360" w:lineRule="auto"/>
        <w:ind w:firstLine="480" w:firstLineChars="200"/>
        <w:rPr>
          <w:sz w:val="24"/>
        </w:rPr>
      </w:pPr>
      <w:r>
        <w:rPr>
          <w:rFonts w:hint="eastAsia"/>
          <w:sz w:val="24"/>
        </w:rPr>
        <w:t>传真：（021）50701053</w:t>
      </w:r>
    </w:p>
    <w:p>
      <w:pPr>
        <w:adjustRightInd w:val="0"/>
        <w:snapToGrid w:val="0"/>
        <w:spacing w:line="360" w:lineRule="auto"/>
        <w:ind w:firstLine="480" w:firstLineChars="200"/>
        <w:rPr>
          <w:sz w:val="24"/>
        </w:rPr>
      </w:pPr>
      <w:r>
        <w:rPr>
          <w:rFonts w:hint="eastAsia"/>
          <w:sz w:val="24"/>
        </w:rPr>
        <w:t>客户服务电话：400-080-8208</w:t>
      </w:r>
    </w:p>
    <w:p>
      <w:pPr>
        <w:adjustRightInd w:val="0"/>
        <w:snapToGrid w:val="0"/>
        <w:spacing w:line="360" w:lineRule="auto"/>
        <w:ind w:firstLine="480" w:firstLineChars="200"/>
        <w:rPr>
          <w:sz w:val="24"/>
        </w:rPr>
      </w:pPr>
      <w:r>
        <w:rPr>
          <w:rFonts w:hint="eastAsia"/>
          <w:sz w:val="24"/>
        </w:rPr>
        <w:t>网址：www.licaimofang.cn</w:t>
      </w:r>
    </w:p>
    <w:p>
      <w:pPr>
        <w:adjustRightInd w:val="0"/>
        <w:snapToGrid w:val="0"/>
        <w:spacing w:line="360" w:lineRule="auto"/>
        <w:ind w:firstLine="480" w:firstLineChars="200"/>
        <w:rPr>
          <w:sz w:val="24"/>
        </w:rPr>
      </w:pPr>
      <w:r>
        <w:rPr>
          <w:rFonts w:hint="eastAsia"/>
          <w:sz w:val="24"/>
        </w:rPr>
        <w:t>（73）上海大智慧基金销售有限公司</w:t>
      </w:r>
    </w:p>
    <w:p>
      <w:pPr>
        <w:adjustRightInd w:val="0"/>
        <w:snapToGrid w:val="0"/>
        <w:spacing w:line="360" w:lineRule="auto"/>
        <w:ind w:firstLine="480" w:firstLineChars="200"/>
        <w:rPr>
          <w:sz w:val="24"/>
        </w:rPr>
      </w:pPr>
      <w:r>
        <w:rPr>
          <w:rFonts w:hint="eastAsia"/>
          <w:sz w:val="24"/>
        </w:rPr>
        <w:t xml:space="preserve">住所：上海市浦东新区杨高南路428号1号楼10-11层 </w:t>
      </w:r>
    </w:p>
    <w:p>
      <w:pPr>
        <w:adjustRightInd w:val="0"/>
        <w:snapToGrid w:val="0"/>
        <w:spacing w:line="360" w:lineRule="auto"/>
        <w:ind w:firstLine="480" w:firstLineChars="200"/>
        <w:rPr>
          <w:sz w:val="24"/>
        </w:rPr>
      </w:pPr>
      <w:r>
        <w:rPr>
          <w:rFonts w:hint="eastAsia"/>
          <w:sz w:val="24"/>
        </w:rPr>
        <w:t xml:space="preserve">办公地址：上海市浦东新区杨高南路428号1号楼10-11层 </w:t>
      </w:r>
    </w:p>
    <w:p>
      <w:pPr>
        <w:adjustRightInd w:val="0"/>
        <w:snapToGrid w:val="0"/>
        <w:spacing w:line="360" w:lineRule="auto"/>
        <w:ind w:firstLine="480" w:firstLineChars="200"/>
        <w:rPr>
          <w:sz w:val="24"/>
        </w:rPr>
      </w:pPr>
      <w:r>
        <w:rPr>
          <w:rFonts w:hint="eastAsia"/>
          <w:sz w:val="24"/>
        </w:rPr>
        <w:t>法定代表人：申健</w:t>
      </w:r>
    </w:p>
    <w:p>
      <w:pPr>
        <w:adjustRightInd w:val="0"/>
        <w:snapToGrid w:val="0"/>
        <w:spacing w:line="360" w:lineRule="auto"/>
        <w:ind w:firstLine="480" w:firstLineChars="200"/>
        <w:rPr>
          <w:sz w:val="24"/>
        </w:rPr>
      </w:pPr>
      <w:r>
        <w:rPr>
          <w:rFonts w:hint="eastAsia"/>
          <w:sz w:val="24"/>
        </w:rPr>
        <w:t>电话：021-0219988-35374</w:t>
      </w:r>
    </w:p>
    <w:p>
      <w:pPr>
        <w:adjustRightInd w:val="0"/>
        <w:snapToGrid w:val="0"/>
        <w:spacing w:line="360" w:lineRule="auto"/>
        <w:ind w:firstLine="480" w:firstLineChars="200"/>
        <w:rPr>
          <w:sz w:val="24"/>
        </w:rPr>
      </w:pPr>
      <w:r>
        <w:rPr>
          <w:rFonts w:hint="eastAsia"/>
          <w:sz w:val="24"/>
        </w:rPr>
        <w:t>传真：021-20219923</w:t>
      </w:r>
    </w:p>
    <w:p>
      <w:pPr>
        <w:adjustRightInd w:val="0"/>
        <w:snapToGrid w:val="0"/>
        <w:spacing w:line="360" w:lineRule="auto"/>
        <w:ind w:firstLine="480" w:firstLineChars="200"/>
        <w:rPr>
          <w:sz w:val="24"/>
        </w:rPr>
      </w:pPr>
      <w:r>
        <w:rPr>
          <w:rFonts w:hint="eastAsia"/>
          <w:sz w:val="24"/>
        </w:rPr>
        <w:t xml:space="preserve">联系人：张蜓 </w:t>
      </w:r>
    </w:p>
    <w:p>
      <w:pPr>
        <w:adjustRightInd w:val="0"/>
        <w:snapToGrid w:val="0"/>
        <w:spacing w:line="360" w:lineRule="auto"/>
        <w:ind w:firstLine="480" w:firstLineChars="200"/>
        <w:rPr>
          <w:sz w:val="24"/>
        </w:rPr>
      </w:pPr>
      <w:r>
        <w:rPr>
          <w:rFonts w:hint="eastAsia"/>
          <w:sz w:val="24"/>
        </w:rPr>
        <w:t>客户服务电话：021-20292031</w:t>
      </w:r>
    </w:p>
    <w:p>
      <w:pPr>
        <w:adjustRightInd w:val="0"/>
        <w:snapToGrid w:val="0"/>
        <w:spacing w:line="360" w:lineRule="auto"/>
        <w:ind w:firstLine="480" w:firstLineChars="200"/>
        <w:rPr>
          <w:sz w:val="24"/>
        </w:rPr>
      </w:pPr>
      <w:r>
        <w:rPr>
          <w:rFonts w:hint="eastAsia"/>
          <w:sz w:val="24"/>
        </w:rPr>
        <w:t>网址：https://www.wg.com.cn</w:t>
      </w:r>
    </w:p>
    <w:p>
      <w:pPr>
        <w:adjustRightInd w:val="0"/>
        <w:snapToGrid w:val="0"/>
        <w:spacing w:line="360" w:lineRule="auto"/>
        <w:ind w:firstLine="480" w:firstLineChars="200"/>
        <w:rPr>
          <w:sz w:val="24"/>
        </w:rPr>
      </w:pPr>
      <w:r>
        <w:rPr>
          <w:rFonts w:hint="eastAsia"/>
          <w:sz w:val="24"/>
        </w:rPr>
        <w:t>（74） 阳光人寿保险股份有限公司</w:t>
      </w:r>
    </w:p>
    <w:p>
      <w:pPr>
        <w:adjustRightInd w:val="0"/>
        <w:snapToGrid w:val="0"/>
        <w:spacing w:line="360" w:lineRule="auto"/>
        <w:ind w:firstLine="480" w:firstLineChars="200"/>
        <w:rPr>
          <w:sz w:val="24"/>
        </w:rPr>
      </w:pPr>
      <w:r>
        <w:rPr>
          <w:rFonts w:hint="eastAsia"/>
          <w:sz w:val="24"/>
        </w:rPr>
        <w:t>住所：海南省三亚市迎宾路360-1号三亚阳光金融广场16层</w:t>
      </w:r>
    </w:p>
    <w:p>
      <w:pPr>
        <w:adjustRightInd w:val="0"/>
        <w:snapToGrid w:val="0"/>
        <w:spacing w:line="360" w:lineRule="auto"/>
        <w:ind w:firstLine="480" w:firstLineChars="200"/>
        <w:rPr>
          <w:sz w:val="24"/>
        </w:rPr>
      </w:pPr>
      <w:r>
        <w:rPr>
          <w:rFonts w:hint="eastAsia"/>
          <w:sz w:val="24"/>
        </w:rPr>
        <w:t>办公地址：北京市朝阳区朝阳门外大街乙12号院1号昆泰国际大厦12层</w:t>
      </w:r>
    </w:p>
    <w:p>
      <w:pPr>
        <w:adjustRightInd w:val="0"/>
        <w:snapToGrid w:val="0"/>
        <w:spacing w:line="360" w:lineRule="auto"/>
        <w:ind w:firstLine="480" w:firstLineChars="200"/>
        <w:rPr>
          <w:sz w:val="24"/>
        </w:rPr>
      </w:pPr>
      <w:r>
        <w:rPr>
          <w:rFonts w:hint="eastAsia"/>
          <w:sz w:val="24"/>
        </w:rPr>
        <w:t>法定代表人：李科</w:t>
      </w:r>
    </w:p>
    <w:p>
      <w:pPr>
        <w:adjustRightInd w:val="0"/>
        <w:snapToGrid w:val="0"/>
        <w:spacing w:line="360" w:lineRule="auto"/>
        <w:ind w:firstLine="480" w:firstLineChars="200"/>
        <w:rPr>
          <w:sz w:val="24"/>
        </w:rPr>
      </w:pPr>
      <w:r>
        <w:rPr>
          <w:rFonts w:hint="eastAsia"/>
          <w:sz w:val="24"/>
        </w:rPr>
        <w:t>电话：（010）85632771</w:t>
      </w:r>
    </w:p>
    <w:p>
      <w:pPr>
        <w:adjustRightInd w:val="0"/>
        <w:snapToGrid w:val="0"/>
        <w:spacing w:line="360" w:lineRule="auto"/>
        <w:ind w:firstLine="480" w:firstLineChars="200"/>
        <w:rPr>
          <w:sz w:val="24"/>
        </w:rPr>
      </w:pPr>
      <w:r>
        <w:rPr>
          <w:rFonts w:hint="eastAsia"/>
          <w:sz w:val="24"/>
        </w:rPr>
        <w:t>传真：（010）85632773</w:t>
      </w:r>
    </w:p>
    <w:p>
      <w:pPr>
        <w:adjustRightInd w:val="0"/>
        <w:snapToGrid w:val="0"/>
        <w:spacing w:line="360" w:lineRule="auto"/>
        <w:ind w:firstLine="480" w:firstLineChars="200"/>
        <w:rPr>
          <w:sz w:val="24"/>
        </w:rPr>
      </w:pPr>
      <w:r>
        <w:rPr>
          <w:rFonts w:hint="eastAsia"/>
          <w:sz w:val="24"/>
        </w:rPr>
        <w:t>联系人：王超</w:t>
      </w:r>
    </w:p>
    <w:p>
      <w:pPr>
        <w:adjustRightInd w:val="0"/>
        <w:snapToGrid w:val="0"/>
        <w:spacing w:line="360" w:lineRule="auto"/>
        <w:ind w:firstLine="480" w:firstLineChars="200"/>
        <w:rPr>
          <w:sz w:val="24"/>
        </w:rPr>
      </w:pPr>
      <w:r>
        <w:rPr>
          <w:rFonts w:hint="eastAsia"/>
          <w:sz w:val="24"/>
        </w:rPr>
        <w:t>客户服务电话：95510</w:t>
      </w:r>
    </w:p>
    <w:p>
      <w:pPr>
        <w:adjustRightInd w:val="0"/>
        <w:snapToGrid w:val="0"/>
        <w:spacing w:line="360" w:lineRule="auto"/>
        <w:ind w:firstLine="480" w:firstLineChars="200"/>
        <w:rPr>
          <w:sz w:val="24"/>
        </w:rPr>
      </w:pPr>
      <w:r>
        <w:rPr>
          <w:rFonts w:hint="eastAsia"/>
          <w:sz w:val="24"/>
        </w:rPr>
        <w:t>网址：http://fund.sinosig.com</w:t>
      </w:r>
    </w:p>
    <w:p>
      <w:pPr>
        <w:adjustRightInd w:val="0"/>
        <w:snapToGrid w:val="0"/>
        <w:spacing w:line="360" w:lineRule="auto"/>
        <w:ind w:firstLine="480" w:firstLineChars="200"/>
        <w:rPr>
          <w:sz w:val="24"/>
        </w:rPr>
      </w:pPr>
      <w:r>
        <w:rPr>
          <w:rFonts w:hint="eastAsia"/>
          <w:sz w:val="24"/>
        </w:rPr>
        <w:t>（75）大连网金基金销售有限公司</w:t>
      </w:r>
    </w:p>
    <w:p>
      <w:pPr>
        <w:adjustRightInd w:val="0"/>
        <w:snapToGrid w:val="0"/>
        <w:spacing w:line="360" w:lineRule="auto"/>
        <w:ind w:firstLine="480" w:firstLineChars="200"/>
        <w:rPr>
          <w:sz w:val="24"/>
        </w:rPr>
      </w:pPr>
      <w:r>
        <w:rPr>
          <w:rFonts w:hint="eastAsia"/>
          <w:sz w:val="24"/>
        </w:rPr>
        <w:t>住所： 辽宁省大连市沙河口区体坛路22号诺德大厦2层202室</w:t>
      </w:r>
    </w:p>
    <w:p>
      <w:pPr>
        <w:adjustRightInd w:val="0"/>
        <w:snapToGrid w:val="0"/>
        <w:spacing w:line="360" w:lineRule="auto"/>
        <w:ind w:firstLine="480" w:firstLineChars="200"/>
        <w:rPr>
          <w:sz w:val="24"/>
        </w:rPr>
      </w:pPr>
      <w:r>
        <w:rPr>
          <w:rFonts w:hint="eastAsia"/>
          <w:sz w:val="24"/>
        </w:rPr>
        <w:t>办公地址： 辽宁省大连市沙河口区体坛路22号诺德大厦2层202室</w:t>
      </w:r>
    </w:p>
    <w:p>
      <w:pPr>
        <w:adjustRightInd w:val="0"/>
        <w:snapToGrid w:val="0"/>
        <w:spacing w:line="360" w:lineRule="auto"/>
        <w:ind w:firstLine="480" w:firstLineChars="200"/>
        <w:rPr>
          <w:sz w:val="24"/>
        </w:rPr>
      </w:pPr>
      <w:r>
        <w:rPr>
          <w:rFonts w:hint="eastAsia"/>
          <w:sz w:val="24"/>
        </w:rPr>
        <w:t>法定代表人： 樊怀东</w:t>
      </w:r>
    </w:p>
    <w:p>
      <w:pPr>
        <w:adjustRightInd w:val="0"/>
        <w:snapToGrid w:val="0"/>
        <w:spacing w:line="360" w:lineRule="auto"/>
        <w:ind w:firstLine="480" w:firstLineChars="200"/>
        <w:rPr>
          <w:sz w:val="24"/>
        </w:rPr>
      </w:pPr>
      <w:r>
        <w:rPr>
          <w:rFonts w:hint="eastAsia"/>
          <w:sz w:val="24"/>
        </w:rPr>
        <w:t>电话：（0411-39027810）</w:t>
      </w:r>
    </w:p>
    <w:p>
      <w:pPr>
        <w:adjustRightInd w:val="0"/>
        <w:snapToGrid w:val="0"/>
        <w:spacing w:line="360" w:lineRule="auto"/>
        <w:ind w:firstLine="480" w:firstLineChars="200"/>
        <w:rPr>
          <w:sz w:val="24"/>
        </w:rPr>
      </w:pPr>
      <w:r>
        <w:rPr>
          <w:rFonts w:hint="eastAsia"/>
          <w:sz w:val="24"/>
        </w:rPr>
        <w:t>传真：（0411-39027835）</w:t>
      </w:r>
    </w:p>
    <w:p>
      <w:pPr>
        <w:adjustRightInd w:val="0"/>
        <w:snapToGrid w:val="0"/>
        <w:spacing w:line="360" w:lineRule="auto"/>
        <w:ind w:firstLine="480" w:firstLineChars="200"/>
        <w:rPr>
          <w:sz w:val="24"/>
        </w:rPr>
      </w:pPr>
      <w:r>
        <w:rPr>
          <w:rFonts w:hint="eastAsia"/>
          <w:sz w:val="24"/>
        </w:rPr>
        <w:t>联系人： 于秀</w:t>
      </w:r>
    </w:p>
    <w:p>
      <w:pPr>
        <w:adjustRightInd w:val="0"/>
        <w:snapToGrid w:val="0"/>
        <w:spacing w:line="360" w:lineRule="auto"/>
        <w:ind w:firstLine="480" w:firstLineChars="200"/>
        <w:rPr>
          <w:sz w:val="24"/>
        </w:rPr>
      </w:pPr>
      <w:r>
        <w:rPr>
          <w:rFonts w:hint="eastAsia"/>
          <w:sz w:val="24"/>
        </w:rPr>
        <w:t>客户服务电话： 4000-899-100</w:t>
      </w:r>
    </w:p>
    <w:p>
      <w:pPr>
        <w:adjustRightInd w:val="0"/>
        <w:snapToGrid w:val="0"/>
        <w:spacing w:line="360" w:lineRule="auto"/>
        <w:ind w:firstLine="480" w:firstLineChars="200"/>
        <w:rPr>
          <w:sz w:val="24"/>
        </w:rPr>
      </w:pPr>
      <w:r>
        <w:rPr>
          <w:rFonts w:hint="eastAsia"/>
          <w:sz w:val="24"/>
        </w:rPr>
        <w:t>网址：http://www.yibaijin.com</w:t>
      </w:r>
    </w:p>
    <w:p>
      <w:pPr>
        <w:adjustRightInd w:val="0"/>
        <w:snapToGrid w:val="0"/>
        <w:spacing w:line="360" w:lineRule="auto"/>
        <w:ind w:firstLine="480" w:firstLineChars="200"/>
        <w:rPr>
          <w:sz w:val="24"/>
        </w:rPr>
      </w:pPr>
      <w:r>
        <w:rPr>
          <w:sz w:val="24"/>
        </w:rPr>
        <w:t>基金管理人可根据有关法律法规的要求，选择其它符合要求的机构销售本基金，</w:t>
      </w:r>
      <w:r>
        <w:rPr>
          <w:sz w:val="24"/>
          <w:szCs w:val="24"/>
        </w:rPr>
        <w:t>并在管理人网站公示</w:t>
      </w:r>
      <w:r>
        <w:rPr>
          <w:sz w:val="24"/>
        </w:rPr>
        <w:t>。</w:t>
      </w:r>
    </w:p>
    <w:p>
      <w:pPr>
        <w:widowControl/>
        <w:adjustRightInd w:val="0"/>
        <w:snapToGrid w:val="0"/>
        <w:spacing w:line="360" w:lineRule="auto"/>
        <w:ind w:firstLine="482" w:firstLineChars="200"/>
        <w:rPr>
          <w:b/>
          <w:kern w:val="0"/>
          <w:sz w:val="24"/>
        </w:rPr>
      </w:pPr>
      <w:r>
        <w:rPr>
          <w:rFonts w:hAnsi="宋体"/>
          <w:b/>
          <w:kern w:val="0"/>
          <w:sz w:val="24"/>
        </w:rPr>
        <w:t>（二）登记机构</w:t>
      </w:r>
      <w:r>
        <w:rPr>
          <w:b/>
          <w:kern w:val="0"/>
          <w:sz w:val="24"/>
        </w:rPr>
        <w:t xml:space="preserve"> </w:t>
      </w:r>
    </w:p>
    <w:p>
      <w:pPr>
        <w:adjustRightInd w:val="0"/>
        <w:snapToGrid w:val="0"/>
        <w:spacing w:line="360" w:lineRule="auto"/>
        <w:ind w:firstLine="480" w:firstLineChars="200"/>
        <w:rPr>
          <w:kern w:val="0"/>
          <w:sz w:val="24"/>
        </w:rPr>
      </w:pPr>
      <w:r>
        <w:rPr>
          <w:rFonts w:hAnsi="宋体"/>
          <w:kern w:val="0"/>
          <w:sz w:val="24"/>
        </w:rPr>
        <w:t>名称：中国证券登记结算有限责任公司</w:t>
      </w:r>
      <w:r>
        <w:rPr>
          <w:kern w:val="0"/>
          <w:sz w:val="24"/>
        </w:rPr>
        <w:t xml:space="preserve"> </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法定代表人：周明</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rPr>
          <w:b/>
          <w:kern w:val="0"/>
          <w:sz w:val="24"/>
        </w:rPr>
      </w:pPr>
      <w:r>
        <w:rPr>
          <w:rFonts w:hAnsi="宋体"/>
          <w:b/>
          <w:kern w:val="0"/>
          <w:sz w:val="24"/>
        </w:rPr>
        <w:t>（三）出具法律意见书的律师事务所</w:t>
      </w:r>
      <w:r>
        <w:rPr>
          <w:b/>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名称：</w:t>
      </w:r>
      <w:r>
        <w:rPr>
          <w:rFonts w:hint="eastAsia" w:hAnsi="宋体"/>
          <w:kern w:val="0"/>
          <w:sz w:val="24"/>
        </w:rPr>
        <w:t>上海市</w:t>
      </w:r>
      <w:r>
        <w:rPr>
          <w:rFonts w:hAnsi="宋体"/>
          <w:kern w:val="0"/>
          <w:sz w:val="24"/>
        </w:rPr>
        <w:t>通力律师事务所</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俞卫</w:t>
      </w:r>
      <w:r>
        <w:rPr>
          <w:rFonts w:hAnsi="宋体"/>
          <w:kern w:val="0"/>
          <w:sz w:val="24"/>
        </w:rPr>
        <w:t>锋</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丁媛</w:t>
      </w:r>
    </w:p>
    <w:p>
      <w:pPr>
        <w:widowControl/>
        <w:adjustRightInd w:val="0"/>
        <w:snapToGrid w:val="0"/>
        <w:spacing w:line="360" w:lineRule="auto"/>
        <w:ind w:firstLine="480" w:firstLineChars="200"/>
        <w:rPr>
          <w:rFonts w:hAnsi="宋体"/>
          <w:color w:val="FF0000"/>
          <w:kern w:val="0"/>
          <w:sz w:val="24"/>
        </w:rPr>
      </w:pPr>
      <w:r>
        <w:rPr>
          <w:rFonts w:hAnsi="宋体"/>
          <w:kern w:val="0"/>
          <w:sz w:val="24"/>
        </w:rPr>
        <w:t>经办律师：</w:t>
      </w:r>
      <w:r>
        <w:rPr>
          <w:rFonts w:hint="eastAsia" w:hAnsi="宋体"/>
          <w:kern w:val="0"/>
          <w:sz w:val="24"/>
        </w:rPr>
        <w:t>黎明</w:t>
      </w:r>
      <w:r>
        <w:rPr>
          <w:rFonts w:hAnsi="宋体"/>
          <w:kern w:val="0"/>
          <w:sz w:val="24"/>
        </w:rPr>
        <w:t>、</w:t>
      </w:r>
      <w:r>
        <w:rPr>
          <w:rFonts w:hint="eastAsia" w:hAnsi="宋体"/>
          <w:kern w:val="0"/>
          <w:sz w:val="24"/>
        </w:rPr>
        <w:t>丁媛</w:t>
      </w:r>
    </w:p>
    <w:p>
      <w:pPr>
        <w:widowControl/>
        <w:adjustRightInd w:val="0"/>
        <w:snapToGrid w:val="0"/>
        <w:spacing w:line="360" w:lineRule="auto"/>
        <w:ind w:firstLine="482" w:firstLineChars="200"/>
        <w:rPr>
          <w:b/>
          <w:color w:val="FF0000"/>
          <w:kern w:val="0"/>
          <w:sz w:val="24"/>
        </w:rPr>
      </w:pPr>
      <w:r>
        <w:rPr>
          <w:rFonts w:hAnsi="宋体"/>
          <w:b/>
          <w:kern w:val="0"/>
          <w:sz w:val="24"/>
        </w:rPr>
        <w:t>（四）审计基金财产的会计师事务所</w:t>
      </w:r>
      <w:r>
        <w:rPr>
          <w:b/>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名称：</w:t>
      </w:r>
      <w:r>
        <w:rPr>
          <w:rFonts w:hint="eastAsia" w:hAnsi="宋体"/>
          <w:kern w:val="0"/>
          <w:sz w:val="24"/>
        </w:rPr>
        <w:t>普华永道中天会计师事务所（特殊普通合伙）</w:t>
      </w:r>
    </w:p>
    <w:p>
      <w:pPr>
        <w:widowControl/>
        <w:adjustRightInd w:val="0"/>
        <w:snapToGrid w:val="0"/>
        <w:spacing w:line="360" w:lineRule="auto"/>
        <w:ind w:firstLine="480" w:firstLineChars="200"/>
        <w:rPr>
          <w:kern w:val="0"/>
          <w:sz w:val="24"/>
        </w:rPr>
      </w:pPr>
      <w:r>
        <w:rPr>
          <w:rFonts w:hAnsi="宋体"/>
          <w:kern w:val="0"/>
          <w:sz w:val="24"/>
        </w:rPr>
        <w:t>住所：上海市浦东新区陆家嘴环路</w:t>
      </w:r>
      <w:r>
        <w:rPr>
          <w:kern w:val="0"/>
          <w:sz w:val="24"/>
        </w:rPr>
        <w:t>1318</w:t>
      </w:r>
      <w:r>
        <w:rPr>
          <w:rFonts w:hAnsi="宋体"/>
          <w:kern w:val="0"/>
          <w:sz w:val="24"/>
        </w:rPr>
        <w:t>号星展银行大厦</w:t>
      </w:r>
      <w:r>
        <w:rPr>
          <w:kern w:val="0"/>
          <w:sz w:val="24"/>
        </w:rPr>
        <w:t>6</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执行事务合伙人：李丹</w:t>
      </w:r>
    </w:p>
    <w:p>
      <w:pPr>
        <w:widowControl/>
        <w:adjustRightInd w:val="0"/>
        <w:snapToGrid w:val="0"/>
        <w:spacing w:line="360" w:lineRule="auto"/>
        <w:ind w:firstLine="480" w:firstLineChars="200"/>
        <w:rPr>
          <w:kern w:val="0"/>
          <w:sz w:val="24"/>
        </w:rPr>
      </w:pPr>
      <w:r>
        <w:rPr>
          <w:rFonts w:hint="eastAsia" w:hAnsi="宋体"/>
          <w:kern w:val="0"/>
          <w:sz w:val="24"/>
        </w:rPr>
        <w:t>联系</w:t>
      </w:r>
      <w:r>
        <w:rPr>
          <w:rFonts w:hAnsi="宋体"/>
          <w:kern w:val="0"/>
          <w:sz w:val="24"/>
        </w:rPr>
        <w:t>电话：（</w:t>
      </w:r>
      <w:r>
        <w:rPr>
          <w:kern w:val="0"/>
          <w:sz w:val="24"/>
        </w:rPr>
        <w:t>021</w:t>
      </w:r>
      <w:r>
        <w:rPr>
          <w:rFonts w:hAnsi="宋体"/>
          <w:kern w:val="0"/>
          <w:sz w:val="24"/>
        </w:rPr>
        <w:t>）</w:t>
      </w:r>
      <w:r>
        <w:rPr>
          <w:kern w:val="0"/>
          <w:sz w:val="24"/>
        </w:rPr>
        <w:t>23238888</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rFonts w:hint="eastAsia"/>
          <w:kern w:val="0"/>
          <w:sz w:val="24"/>
        </w:rPr>
        <w:t>23</w:t>
      </w:r>
      <w:r>
        <w:rPr>
          <w:kern w:val="0"/>
          <w:sz w:val="24"/>
        </w:rPr>
        <w:t>238800</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朱宏宇</w:t>
      </w:r>
    </w:p>
    <w:p>
      <w:pPr>
        <w:widowControl/>
        <w:adjustRightInd w:val="0"/>
        <w:snapToGrid w:val="0"/>
        <w:spacing w:line="360" w:lineRule="auto"/>
        <w:ind w:firstLine="480" w:firstLineChars="200"/>
        <w:rPr>
          <w:kern w:val="0"/>
          <w:sz w:val="24"/>
        </w:rPr>
      </w:pPr>
      <w:r>
        <w:rPr>
          <w:rFonts w:hAnsi="宋体"/>
          <w:kern w:val="0"/>
          <w:sz w:val="24"/>
        </w:rPr>
        <w:t>经办注册会计师：</w:t>
      </w:r>
      <w:r>
        <w:rPr>
          <w:rFonts w:hint="eastAsia" w:hAnsi="宋体"/>
          <w:kern w:val="0"/>
          <w:sz w:val="24"/>
        </w:rPr>
        <w:t>童咏静</w:t>
      </w:r>
      <w:r>
        <w:rPr>
          <w:rFonts w:hAnsi="宋体"/>
          <w:kern w:val="0"/>
          <w:sz w:val="24"/>
        </w:rPr>
        <w:t>、</w:t>
      </w:r>
      <w:r>
        <w:rPr>
          <w:rFonts w:hint="eastAsia" w:hAnsi="宋体"/>
          <w:kern w:val="0"/>
          <w:sz w:val="24"/>
        </w:rPr>
        <w:t>朱宏宇</w:t>
      </w:r>
    </w:p>
    <w:p>
      <w:pPr>
        <w:adjustRightInd w:val="0"/>
        <w:snapToGrid w:val="0"/>
        <w:spacing w:line="360" w:lineRule="auto"/>
        <w:ind w:firstLine="200"/>
        <w:rPr>
          <w:rFonts w:ascii="宋体" w:hAnsi="宋体"/>
          <w:kern w:val="0"/>
          <w:sz w:val="24"/>
        </w:rPr>
      </w:pPr>
    </w:p>
    <w:p>
      <w:pPr>
        <w:widowControl/>
        <w:jc w:val="left"/>
        <w:rPr>
          <w:rFonts w:ascii="宋体" w:hAnsi="宋体"/>
          <w:b/>
          <w:kern w:val="0"/>
          <w:sz w:val="30"/>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16" w:name="_Hlt90455312"/>
      <w:bookmarkEnd w:id="16"/>
      <w:bookmarkStart w:id="17" w:name="_Hlt91148053"/>
      <w:bookmarkEnd w:id="17"/>
      <w:bookmarkStart w:id="18" w:name="_Hlt91264042"/>
      <w:bookmarkEnd w:id="18"/>
      <w:bookmarkStart w:id="19" w:name="_Hlt91264078"/>
      <w:bookmarkEnd w:id="19"/>
      <w:bookmarkStart w:id="20" w:name="_Hlt90801570"/>
      <w:bookmarkEnd w:id="20"/>
      <w:bookmarkStart w:id="21" w:name="_Toc524440782"/>
      <w:bookmarkStart w:id="22" w:name="_Toc109537384"/>
      <w:r>
        <w:rPr>
          <w:rFonts w:hint="eastAsia" w:ascii="宋体" w:hAnsi="宋体"/>
          <w:b/>
          <w:kern w:val="0"/>
          <w:sz w:val="30"/>
        </w:rPr>
        <w:t>六、基金的历史沿革</w:t>
      </w:r>
      <w:bookmarkEnd w:id="21"/>
    </w:p>
    <w:bookmarkEnd w:id="22"/>
    <w:p>
      <w:pPr>
        <w:adjustRightInd w:val="0"/>
        <w:snapToGrid w:val="0"/>
        <w:spacing w:line="360" w:lineRule="auto"/>
        <w:ind w:firstLine="480" w:firstLineChars="200"/>
        <w:rPr>
          <w:bCs/>
          <w:sz w:val="24"/>
        </w:rPr>
      </w:pPr>
      <w:bookmarkStart w:id="23" w:name="_Hlt88901074"/>
      <w:bookmarkEnd w:id="23"/>
      <w:bookmarkStart w:id="24" w:name="_Toc79392603"/>
      <w:bookmarkStart w:id="25" w:name="_Toc57530272"/>
      <w:bookmarkStart w:id="26" w:name="_Toc15118260"/>
      <w:bookmarkStart w:id="27" w:name="_Toc109537386"/>
      <w:r>
        <w:rPr>
          <w:rFonts w:hint="eastAsia"/>
          <w:bCs/>
          <w:sz w:val="24"/>
        </w:rPr>
        <w:t>交银施罗德中证环境治理指数型证券投资基金（LOF）由交银施罗德中证环境治理指数分级证券投资基金转型而来。</w:t>
      </w:r>
    </w:p>
    <w:p>
      <w:pPr>
        <w:adjustRightInd w:val="0"/>
        <w:snapToGrid w:val="0"/>
        <w:spacing w:line="360" w:lineRule="auto"/>
        <w:ind w:firstLine="480" w:firstLineChars="200"/>
        <w:rPr>
          <w:bCs/>
          <w:sz w:val="24"/>
        </w:rPr>
      </w:pPr>
      <w:r>
        <w:rPr>
          <w:rFonts w:hint="eastAsia"/>
          <w:bCs/>
          <w:sz w:val="24"/>
        </w:rPr>
        <w:t>交银施罗德中证环境治理指数分级证券投资基金经2015 年5月20日中国证监会证监许可【2015】940号文准予募集注册，基金管理人为交银施罗德基金管理有限公司，基金托管人为中信银行股份有限公司。经中国证监会书面确认，《交银施罗德中证环境治理指数分级证券投资基金基金合同》于2015年8月13日生效。</w:t>
      </w:r>
    </w:p>
    <w:p>
      <w:pPr>
        <w:adjustRightInd w:val="0"/>
        <w:snapToGrid w:val="0"/>
        <w:spacing w:line="360" w:lineRule="auto"/>
        <w:ind w:firstLine="480" w:firstLineChars="200"/>
        <w:rPr>
          <w:bCs/>
          <w:sz w:val="24"/>
        </w:rPr>
      </w:pPr>
      <w:r>
        <w:rPr>
          <w:rFonts w:hint="eastAsia"/>
          <w:bCs/>
          <w:sz w:val="24"/>
        </w:rPr>
        <w:t>交银施罗德中证环境治理指数分级证券投资基金以通讯方式召开基金份额持有人大会，大会于</w:t>
      </w:r>
      <w:bookmarkStart w:id="28" w:name="OLE_LINK23"/>
      <w:bookmarkStart w:id="29" w:name="OLE_LINK26"/>
      <w:r>
        <w:rPr>
          <w:rFonts w:hint="eastAsia"/>
          <w:bCs/>
          <w:sz w:val="24"/>
        </w:rPr>
        <w:t>2016年6月30日</w:t>
      </w:r>
      <w:bookmarkEnd w:id="28"/>
      <w:bookmarkEnd w:id="29"/>
      <w:r>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LOF），基金名称相应变更为“交银施罗德中证环境治理指数型证券投资基金（LOF）”，交银施罗德中证环境治理指数分级证券投资基金之交银环境治理份额、交银环境治理A份额及交银环境治理B份额均转换为交银施罗德中证环境治理指数型证券投资基金（LOF）份额。转型后，基金的投资目标、投资范围不变。</w:t>
      </w:r>
    </w:p>
    <w:p>
      <w:pPr>
        <w:adjustRightInd w:val="0"/>
        <w:snapToGrid w:val="0"/>
        <w:spacing w:line="360" w:lineRule="auto"/>
        <w:ind w:firstLine="480" w:firstLineChars="200"/>
        <w:rPr>
          <w:bCs/>
          <w:sz w:val="24"/>
        </w:rPr>
      </w:pPr>
      <w:r>
        <w:rPr>
          <w:rFonts w:hint="eastAsia"/>
          <w:bCs/>
          <w:sz w:val="24"/>
        </w:rPr>
        <w:t>基金份额持有人大会决议自表决通过之日起生效，基金管理人根据基金份额持有人大会的授权，定于2016年7月19日正式实施基金转型，自基金转型实施日起，《交银施罗德中证环境治理指数分级证券投资基金基金合同》失效且《交银施罗德中证环境治理指数型证券投资基金（LOF）基金合同》同时生效，交银施罗德中证环境治理指数分级证券投资基金正式变更为交银施罗德中证环境治理指数型证券投资基金（LOF）。</w:t>
      </w: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30" w:name="_Toc524440783"/>
      <w:r>
        <w:rPr>
          <w:rFonts w:hint="eastAsia" w:ascii="宋体" w:hAnsi="宋体"/>
          <w:b/>
          <w:kern w:val="0"/>
          <w:sz w:val="30"/>
        </w:rPr>
        <w:t>七、</w:t>
      </w:r>
      <w:r>
        <w:rPr>
          <w:rFonts w:hint="eastAsia"/>
          <w:b/>
          <w:sz w:val="30"/>
        </w:rPr>
        <w:t>基金的存续</w:t>
      </w:r>
      <w:bookmarkEnd w:id="30"/>
    </w:p>
    <w:p>
      <w:pPr>
        <w:adjustRightInd w:val="0"/>
        <w:snapToGrid w:val="0"/>
        <w:spacing w:line="360" w:lineRule="auto"/>
        <w:ind w:firstLine="480" w:firstLineChars="200"/>
        <w:rPr>
          <w:bCs/>
          <w:sz w:val="24"/>
        </w:rPr>
      </w:pPr>
      <w:r>
        <w:rPr>
          <w:rFonts w:hint="eastAsia"/>
          <w:bCs/>
          <w:sz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pPr>
        <w:adjustRightInd w:val="0"/>
        <w:snapToGrid w:val="0"/>
        <w:spacing w:line="360" w:lineRule="auto"/>
        <w:ind w:firstLine="480" w:firstLineChars="200"/>
        <w:rPr>
          <w:b/>
          <w:sz w:val="24"/>
        </w:rPr>
      </w:pPr>
      <w:r>
        <w:rPr>
          <w:rFonts w:hint="eastAsia"/>
          <w:bCs/>
          <w:sz w:val="24"/>
        </w:rPr>
        <w:t>法律法规另有规定时，从其规定。</w:t>
      </w:r>
    </w:p>
    <w:bookmarkEnd w:id="24"/>
    <w:bookmarkEnd w:id="25"/>
    <w:bookmarkEnd w:id="26"/>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31" w:name="_Toc524440784"/>
      <w:r>
        <w:rPr>
          <w:rFonts w:hint="eastAsia" w:ascii="宋体" w:hAnsi="宋体"/>
          <w:b/>
          <w:kern w:val="0"/>
          <w:sz w:val="30"/>
        </w:rPr>
        <w:t>八、</w:t>
      </w:r>
      <w:r>
        <w:rPr>
          <w:rFonts w:hint="eastAsia"/>
          <w:b/>
          <w:sz w:val="30"/>
        </w:rPr>
        <w:t>基金的上市交易</w:t>
      </w:r>
      <w:bookmarkEnd w:id="31"/>
    </w:p>
    <w:p>
      <w:pPr>
        <w:adjustRightInd w:val="0"/>
        <w:snapToGrid w:val="0"/>
        <w:spacing w:line="360" w:lineRule="auto"/>
        <w:ind w:firstLine="480" w:firstLineChars="200"/>
        <w:rPr>
          <w:bCs/>
          <w:sz w:val="24"/>
        </w:rPr>
      </w:pPr>
      <w:r>
        <w:rPr>
          <w:rFonts w:hint="eastAsia"/>
          <w:bCs/>
          <w:sz w:val="24"/>
        </w:rPr>
        <w:t>基金合同生效后，基金管理人将根据有关规定，申请本基金上市交易。</w:t>
      </w:r>
    </w:p>
    <w:p>
      <w:pPr>
        <w:adjustRightInd w:val="0"/>
        <w:snapToGrid w:val="0"/>
        <w:spacing w:line="360" w:lineRule="auto"/>
        <w:ind w:firstLine="482" w:firstLineChars="200"/>
        <w:rPr>
          <w:b/>
          <w:bCs/>
          <w:sz w:val="24"/>
        </w:rPr>
      </w:pPr>
      <w:r>
        <w:rPr>
          <w:rFonts w:hint="eastAsia"/>
          <w:b/>
          <w:bCs/>
          <w:sz w:val="24"/>
        </w:rPr>
        <w:t>（一）上市交易的地点</w:t>
      </w:r>
    </w:p>
    <w:p>
      <w:pPr>
        <w:adjustRightInd w:val="0"/>
        <w:snapToGrid w:val="0"/>
        <w:spacing w:line="360" w:lineRule="auto"/>
        <w:ind w:firstLine="480" w:firstLineChars="200"/>
        <w:rPr>
          <w:bCs/>
          <w:sz w:val="24"/>
        </w:rPr>
      </w:pPr>
      <w:r>
        <w:rPr>
          <w:rFonts w:hint="eastAsia"/>
          <w:bCs/>
          <w:sz w:val="24"/>
        </w:rPr>
        <w:t>本基金上市交易的地点为深圳证券交易所。</w:t>
      </w:r>
    </w:p>
    <w:p>
      <w:pPr>
        <w:adjustRightInd w:val="0"/>
        <w:snapToGrid w:val="0"/>
        <w:spacing w:line="360" w:lineRule="auto"/>
        <w:ind w:firstLine="482" w:firstLineChars="200"/>
        <w:rPr>
          <w:b/>
          <w:bCs/>
          <w:sz w:val="24"/>
        </w:rPr>
      </w:pPr>
      <w:r>
        <w:rPr>
          <w:rFonts w:hint="eastAsia"/>
          <w:b/>
          <w:bCs/>
          <w:sz w:val="24"/>
        </w:rPr>
        <w:t>（二）上市交易的时间</w:t>
      </w:r>
    </w:p>
    <w:p>
      <w:pPr>
        <w:adjustRightInd w:val="0"/>
        <w:snapToGrid w:val="0"/>
        <w:spacing w:line="360" w:lineRule="auto"/>
        <w:ind w:firstLine="480" w:firstLineChars="200"/>
        <w:rPr>
          <w:bCs/>
          <w:sz w:val="24"/>
        </w:rPr>
      </w:pPr>
      <w:r>
        <w:rPr>
          <w:rFonts w:hint="eastAsia"/>
          <w:bCs/>
          <w:sz w:val="24"/>
        </w:rPr>
        <w:t>基金合同生效后，本基金将申请在深圳证券交易所上市交易。</w:t>
      </w:r>
    </w:p>
    <w:p>
      <w:pPr>
        <w:adjustRightInd w:val="0"/>
        <w:snapToGrid w:val="0"/>
        <w:spacing w:line="360" w:lineRule="auto"/>
        <w:ind w:firstLine="480" w:firstLineChars="200"/>
        <w:rPr>
          <w:bCs/>
          <w:sz w:val="24"/>
        </w:rPr>
      </w:pPr>
      <w:r>
        <w:rPr>
          <w:rFonts w:hint="eastAsia"/>
          <w:bCs/>
          <w:sz w:val="24"/>
        </w:rPr>
        <w:t>在确定上市交易的时间后，基金管理人应依照《信息披露办法》的有关规定在指定媒介上刊登上市交易公告书。</w:t>
      </w:r>
    </w:p>
    <w:p>
      <w:pPr>
        <w:adjustRightInd w:val="0"/>
        <w:snapToGrid w:val="0"/>
        <w:spacing w:line="360" w:lineRule="auto"/>
        <w:ind w:firstLine="482" w:firstLineChars="200"/>
        <w:rPr>
          <w:b/>
          <w:bCs/>
          <w:sz w:val="24"/>
        </w:rPr>
      </w:pPr>
      <w:r>
        <w:rPr>
          <w:rFonts w:hint="eastAsia"/>
          <w:b/>
          <w:bCs/>
          <w:sz w:val="24"/>
        </w:rPr>
        <w:t>（三）上市交易的规则</w:t>
      </w:r>
    </w:p>
    <w:p>
      <w:pPr>
        <w:adjustRightInd w:val="0"/>
        <w:snapToGrid w:val="0"/>
        <w:spacing w:line="360" w:lineRule="auto"/>
        <w:ind w:firstLine="480" w:firstLineChars="200"/>
        <w:rPr>
          <w:bCs/>
          <w:sz w:val="24"/>
        </w:rPr>
      </w:pPr>
      <w:r>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pPr>
        <w:adjustRightInd w:val="0"/>
        <w:snapToGrid w:val="0"/>
        <w:spacing w:line="360" w:lineRule="auto"/>
        <w:ind w:firstLine="482" w:firstLineChars="200"/>
        <w:rPr>
          <w:b/>
          <w:bCs/>
          <w:sz w:val="24"/>
        </w:rPr>
      </w:pPr>
      <w:r>
        <w:rPr>
          <w:rFonts w:hint="eastAsia"/>
          <w:b/>
          <w:bCs/>
          <w:sz w:val="24"/>
        </w:rPr>
        <w:t>（四）上市交易的费用</w:t>
      </w:r>
    </w:p>
    <w:p>
      <w:pPr>
        <w:adjustRightInd w:val="0"/>
        <w:snapToGrid w:val="0"/>
        <w:spacing w:line="360" w:lineRule="auto"/>
        <w:ind w:firstLine="480" w:firstLineChars="200"/>
        <w:rPr>
          <w:bCs/>
          <w:sz w:val="24"/>
        </w:rPr>
      </w:pPr>
      <w:r>
        <w:rPr>
          <w:rFonts w:hint="eastAsia"/>
          <w:bCs/>
          <w:sz w:val="24"/>
        </w:rPr>
        <w:t>本基金上市交易的费用按照深圳证券交易所有关规定执行。</w:t>
      </w:r>
    </w:p>
    <w:p>
      <w:pPr>
        <w:adjustRightInd w:val="0"/>
        <w:snapToGrid w:val="0"/>
        <w:spacing w:line="360" w:lineRule="auto"/>
        <w:ind w:firstLine="482" w:firstLineChars="200"/>
        <w:rPr>
          <w:b/>
          <w:bCs/>
          <w:sz w:val="24"/>
        </w:rPr>
      </w:pPr>
      <w:r>
        <w:rPr>
          <w:rFonts w:hint="eastAsia"/>
          <w:b/>
          <w:bCs/>
          <w:sz w:val="24"/>
        </w:rPr>
        <w:t>（五）上市交易的行情揭示</w:t>
      </w:r>
    </w:p>
    <w:p>
      <w:pPr>
        <w:adjustRightInd w:val="0"/>
        <w:snapToGrid w:val="0"/>
        <w:spacing w:line="360" w:lineRule="auto"/>
        <w:ind w:firstLine="480" w:firstLineChars="200"/>
        <w:rPr>
          <w:bCs/>
          <w:sz w:val="24"/>
        </w:rPr>
      </w:pPr>
      <w:r>
        <w:rPr>
          <w:rFonts w:hint="eastAsia"/>
          <w:bCs/>
          <w:sz w:val="24"/>
        </w:rPr>
        <w:t>本基金在深圳证券交易所挂牌交易，交易行情通过行情发布系统揭示。行情发布系统同时揭示基金前一交易日的基金份额净值。</w:t>
      </w:r>
    </w:p>
    <w:p>
      <w:pPr>
        <w:adjustRightInd w:val="0"/>
        <w:snapToGrid w:val="0"/>
        <w:spacing w:line="360" w:lineRule="auto"/>
        <w:ind w:firstLine="482" w:firstLineChars="200"/>
        <w:rPr>
          <w:b/>
          <w:bCs/>
          <w:sz w:val="24"/>
        </w:rPr>
      </w:pPr>
      <w:r>
        <w:rPr>
          <w:rFonts w:hint="eastAsia"/>
          <w:b/>
          <w:bCs/>
          <w:sz w:val="24"/>
        </w:rPr>
        <w:t>（六）上市交易的停复牌、暂停上市、恢复上市和终止上市</w:t>
      </w:r>
    </w:p>
    <w:p>
      <w:pPr>
        <w:adjustRightInd w:val="0"/>
        <w:snapToGrid w:val="0"/>
        <w:spacing w:line="360" w:lineRule="auto"/>
        <w:ind w:firstLine="480" w:firstLineChars="200"/>
        <w:rPr>
          <w:bCs/>
          <w:sz w:val="24"/>
        </w:rPr>
      </w:pPr>
      <w:r>
        <w:rPr>
          <w:rFonts w:hint="eastAsia"/>
          <w:bCs/>
          <w:sz w:val="24"/>
        </w:rPr>
        <w:t>本基金的停复牌、暂停上市、恢复上市和终止上市按照相关法律法规和深圳证券交易所的相关规定执行。</w:t>
      </w:r>
    </w:p>
    <w:p>
      <w:pPr>
        <w:adjustRightInd w:val="0"/>
        <w:snapToGrid w:val="0"/>
        <w:spacing w:line="360" w:lineRule="auto"/>
        <w:ind w:firstLine="482" w:firstLineChars="200"/>
        <w:rPr>
          <w:bCs/>
          <w:sz w:val="24"/>
        </w:rPr>
      </w:pPr>
      <w:r>
        <w:rPr>
          <w:rFonts w:hint="eastAsia"/>
          <w:b/>
          <w:bCs/>
          <w:sz w:val="24"/>
        </w:rPr>
        <w:t>（七）</w:t>
      </w:r>
      <w:r>
        <w:rPr>
          <w:rFonts w:hint="eastAsia"/>
          <w:bCs/>
          <w:sz w:val="24"/>
        </w:rPr>
        <w:t>相关法律法规、中国证监会及深圳证券交易所对基金上市交易的规则等相关规定内容进行调整的，基金合同相应予以修改，且此项修改无须召开基金份额持有人大会。</w:t>
      </w:r>
    </w:p>
    <w:p>
      <w:pPr>
        <w:widowControl/>
        <w:adjustRightInd w:val="0"/>
        <w:snapToGrid w:val="0"/>
        <w:spacing w:line="360" w:lineRule="auto"/>
        <w:ind w:firstLine="482" w:firstLineChars="200"/>
        <w:rPr>
          <w:rFonts w:ascii="宋体" w:hAnsi="宋体"/>
          <w:b/>
          <w:kern w:val="0"/>
          <w:sz w:val="30"/>
        </w:rPr>
      </w:pPr>
      <w:r>
        <w:rPr>
          <w:rFonts w:hint="eastAsia"/>
          <w:b/>
          <w:bCs/>
          <w:sz w:val="24"/>
        </w:rPr>
        <w:t>（八）</w:t>
      </w:r>
      <w:r>
        <w:rPr>
          <w:rFonts w:hint="eastAsia"/>
          <w:bCs/>
          <w:sz w:val="24"/>
        </w:rPr>
        <w:t>若深圳证券交易所、中国证券登记结算有限责任公司增加了基金场内交易的新业务，基金管理人可以在履行适当的程序后为本基金增加办理相应的新业务。</w:t>
      </w:r>
    </w:p>
    <w:p>
      <w:pPr>
        <w:widowControl/>
        <w:adjustRightInd w:val="0"/>
        <w:snapToGrid w:val="0"/>
        <w:spacing w:line="360" w:lineRule="auto"/>
        <w:ind w:firstLine="482"/>
        <w:rPr>
          <w:rFonts w:ascii="宋体" w:hAnsi="宋体"/>
          <w:b/>
          <w:kern w:val="0"/>
          <w:sz w:val="30"/>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32" w:name="_Toc524440785"/>
      <w:r>
        <w:rPr>
          <w:rFonts w:hint="eastAsia" w:ascii="宋体" w:hAnsi="宋体"/>
          <w:b/>
          <w:kern w:val="0"/>
          <w:sz w:val="30"/>
        </w:rPr>
        <w:t>九、</w:t>
      </w:r>
      <w:r>
        <w:rPr>
          <w:rFonts w:hint="eastAsia"/>
          <w:b/>
          <w:sz w:val="30"/>
        </w:rPr>
        <w:t>基金份额</w:t>
      </w:r>
      <w:r>
        <w:rPr>
          <w:rFonts w:hint="eastAsia" w:ascii="宋体" w:hAnsi="宋体"/>
          <w:b/>
          <w:kern w:val="0"/>
          <w:sz w:val="30"/>
        </w:rPr>
        <w:t>的申购与赎回</w:t>
      </w:r>
      <w:bookmarkEnd w:id="27"/>
      <w:bookmarkEnd w:id="32"/>
    </w:p>
    <w:p>
      <w:pPr>
        <w:widowControl/>
        <w:adjustRightInd w:val="0"/>
        <w:snapToGrid w:val="0"/>
        <w:spacing w:line="360" w:lineRule="auto"/>
        <w:ind w:firstLine="482" w:firstLineChars="200"/>
        <w:rPr>
          <w:b/>
          <w:kern w:val="0"/>
          <w:sz w:val="24"/>
          <w:szCs w:val="24"/>
        </w:rPr>
      </w:pPr>
      <w:r>
        <w:rPr>
          <w:rFonts w:hAnsi="宋体"/>
          <w:b/>
          <w:kern w:val="0"/>
          <w:sz w:val="24"/>
          <w:szCs w:val="24"/>
        </w:rPr>
        <w:t>（一）申购和赎回的场所</w:t>
      </w:r>
      <w:r>
        <w:rPr>
          <w:b/>
          <w:kern w:val="0"/>
          <w:sz w:val="24"/>
          <w:szCs w:val="24"/>
        </w:rPr>
        <w:t xml:space="preserve"> </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基金管理人以及基金管理人</w:t>
      </w:r>
      <w:r>
        <w:rPr>
          <w:rFonts w:hAnsi="宋体"/>
          <w:kern w:val="0"/>
          <w:sz w:val="24"/>
          <w:szCs w:val="24"/>
        </w:rPr>
        <w:t>的网上直销交易平台。</w:t>
      </w:r>
    </w:p>
    <w:p>
      <w:pPr>
        <w:widowControl/>
        <w:adjustRightInd w:val="0"/>
        <w:snapToGrid w:val="0"/>
        <w:spacing w:line="360" w:lineRule="auto"/>
        <w:ind w:firstLine="480" w:firstLineChars="200"/>
        <w:rPr>
          <w:rFonts w:hAnsi="宋体"/>
          <w:sz w:val="24"/>
          <w:szCs w:val="24"/>
        </w:rPr>
      </w:pPr>
      <w:r>
        <w:rPr>
          <w:rFonts w:hint="eastAsia" w:hAnsi="宋体"/>
          <w:sz w:val="24"/>
          <w:szCs w:val="24"/>
        </w:rPr>
        <w:t>名称：交银施罗德基金管理有限公司</w:t>
      </w:r>
    </w:p>
    <w:p>
      <w:pPr>
        <w:widowControl/>
        <w:adjustRightInd w:val="0"/>
        <w:snapToGrid w:val="0"/>
        <w:spacing w:line="360" w:lineRule="auto"/>
        <w:ind w:firstLine="480" w:firstLineChars="200"/>
        <w:rPr>
          <w:rFonts w:hAnsi="宋体"/>
          <w:sz w:val="24"/>
          <w:szCs w:val="24"/>
        </w:rPr>
      </w:pPr>
      <w:r>
        <w:rPr>
          <w:rFonts w:hint="eastAsia" w:hAnsi="宋体"/>
          <w:sz w:val="24"/>
          <w:szCs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szCs w:val="24"/>
        </w:rPr>
        <w:t>银城中路188号交通银行大楼二层（裙）</w:t>
      </w:r>
    </w:p>
    <w:p>
      <w:pPr>
        <w:widowControl/>
        <w:adjustRightInd w:val="0"/>
        <w:snapToGrid w:val="0"/>
        <w:spacing w:line="360" w:lineRule="auto"/>
        <w:ind w:firstLine="480" w:firstLineChars="200"/>
        <w:rPr>
          <w:rFonts w:hAnsi="宋体"/>
          <w:sz w:val="24"/>
          <w:szCs w:val="24"/>
        </w:rPr>
      </w:pPr>
      <w:r>
        <w:rPr>
          <w:rFonts w:hint="eastAsia" w:hAnsi="宋体"/>
          <w:sz w:val="24"/>
          <w:szCs w:val="24"/>
        </w:rPr>
        <w:t>办公地址：上海市浦东新区世纪大道8号国金中心二期21-22楼</w:t>
      </w:r>
    </w:p>
    <w:p>
      <w:pPr>
        <w:widowControl/>
        <w:adjustRightInd w:val="0"/>
        <w:snapToGrid w:val="0"/>
        <w:spacing w:line="360" w:lineRule="auto"/>
        <w:ind w:firstLine="480" w:firstLineChars="200"/>
        <w:rPr>
          <w:rFonts w:hAnsi="宋体"/>
          <w:sz w:val="24"/>
          <w:szCs w:val="24"/>
        </w:rPr>
      </w:pPr>
      <w:r>
        <w:rPr>
          <w:rFonts w:hint="eastAsia" w:hAnsi="宋体"/>
          <w:sz w:val="24"/>
          <w:szCs w:val="24"/>
        </w:rPr>
        <w:t>电话：（021）61055724</w:t>
      </w:r>
    </w:p>
    <w:p>
      <w:pPr>
        <w:widowControl/>
        <w:adjustRightInd w:val="0"/>
        <w:snapToGrid w:val="0"/>
        <w:spacing w:line="360" w:lineRule="auto"/>
        <w:ind w:firstLine="480" w:firstLineChars="200"/>
        <w:rPr>
          <w:rFonts w:hAnsi="宋体"/>
          <w:sz w:val="24"/>
          <w:szCs w:val="24"/>
        </w:rPr>
      </w:pPr>
      <w:r>
        <w:rPr>
          <w:rFonts w:hint="eastAsia" w:hAnsi="宋体"/>
          <w:sz w:val="24"/>
          <w:szCs w:val="24"/>
        </w:rPr>
        <w:t>传真：（021）61055054</w:t>
      </w:r>
    </w:p>
    <w:p>
      <w:pPr>
        <w:widowControl/>
        <w:adjustRightInd w:val="0"/>
        <w:snapToGrid w:val="0"/>
        <w:spacing w:line="360" w:lineRule="auto"/>
        <w:ind w:firstLine="480" w:firstLineChars="200"/>
        <w:rPr>
          <w:rFonts w:hAnsi="宋体"/>
          <w:sz w:val="24"/>
          <w:szCs w:val="24"/>
        </w:rPr>
      </w:pPr>
      <w:r>
        <w:rPr>
          <w:rFonts w:hint="eastAsia" w:hAnsi="宋体"/>
          <w:sz w:val="24"/>
          <w:szCs w:val="24"/>
        </w:rPr>
        <w:t>联系人：傅鲸</w:t>
      </w:r>
    </w:p>
    <w:p>
      <w:pPr>
        <w:widowControl/>
        <w:adjustRightInd w:val="0"/>
        <w:snapToGrid w:val="0"/>
        <w:spacing w:line="360" w:lineRule="auto"/>
        <w:ind w:firstLine="480" w:firstLineChars="200"/>
        <w:rPr>
          <w:rFonts w:hAnsi="宋体"/>
          <w:sz w:val="24"/>
          <w:szCs w:val="24"/>
        </w:rPr>
      </w:pPr>
      <w:r>
        <w:rPr>
          <w:rFonts w:hint="eastAsia" w:hAnsi="宋体"/>
          <w:sz w:val="24"/>
          <w:szCs w:val="24"/>
        </w:rPr>
        <w:t>客户服务电话：400-700-5000（免长途话费），（021）61055000</w:t>
      </w:r>
    </w:p>
    <w:p>
      <w:pPr>
        <w:pStyle w:val="4"/>
        <w:autoSpaceDE w:val="0"/>
        <w:autoSpaceDN w:val="0"/>
        <w:adjustRightInd w:val="0"/>
        <w:snapToGrid w:val="0"/>
        <w:spacing w:line="360" w:lineRule="auto"/>
        <w:ind w:firstLine="480"/>
        <w:rPr>
          <w:sz w:val="24"/>
          <w:szCs w:val="24"/>
        </w:rPr>
      </w:pPr>
      <w:r>
        <w:rPr>
          <w:rFonts w:hint="eastAsia" w:hAnsi="宋体"/>
          <w:sz w:val="24"/>
          <w:szCs w:val="24"/>
        </w:rPr>
        <w:t>网址：</w:t>
      </w:r>
      <w:r>
        <w:fldChar w:fldCharType="begin"/>
      </w:r>
      <w:r>
        <w:instrText xml:space="preserve"> HYPERLINK "http://www.fund001.com，www.bocomschroder.com" </w:instrText>
      </w:r>
      <w:r>
        <w:fldChar w:fldCharType="separate"/>
      </w:r>
      <w:r>
        <w:rPr>
          <w:rStyle w:val="32"/>
          <w:color w:val="auto"/>
          <w:sz w:val="24"/>
          <w:szCs w:val="24"/>
          <w:u w:val="none"/>
        </w:rPr>
        <w:t>www.fund001.com</w:t>
      </w:r>
      <w:r>
        <w:rPr>
          <w:rStyle w:val="32"/>
          <w:color w:val="auto"/>
          <w:sz w:val="24"/>
          <w:szCs w:val="24"/>
          <w:u w:val="none"/>
        </w:rPr>
        <w:fldChar w:fldCharType="end"/>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w:t>
      </w:r>
      <w:r>
        <w:rPr>
          <w:rFonts w:hint="eastAsia" w:hAnsi="宋体"/>
          <w:kern w:val="0"/>
          <w:sz w:val="24"/>
          <w:szCs w:val="24"/>
        </w:rPr>
        <w:t>场外</w:t>
      </w:r>
      <w:r>
        <w:rPr>
          <w:rFonts w:hAnsi="宋体"/>
          <w:kern w:val="0"/>
          <w:sz w:val="24"/>
          <w:szCs w:val="24"/>
        </w:rPr>
        <w:t>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2"/>
          <w:color w:val="auto"/>
          <w:sz w:val="24"/>
          <w:szCs w:val="24"/>
          <w:u w:val="none"/>
        </w:rPr>
        <w:t xml:space="preserve">www.fund001.com </w:t>
      </w:r>
    </w:p>
    <w:p>
      <w:pPr>
        <w:pStyle w:val="4"/>
        <w:autoSpaceDE w:val="0"/>
        <w:autoSpaceDN w:val="0"/>
        <w:adjustRightInd w:val="0"/>
        <w:snapToGrid w:val="0"/>
        <w:spacing w:line="360" w:lineRule="auto"/>
        <w:ind w:firstLine="480"/>
        <w:rPr>
          <w:rStyle w:val="32"/>
          <w:color w:val="auto"/>
          <w:sz w:val="24"/>
          <w:szCs w:val="24"/>
          <w:u w:val="none"/>
        </w:rPr>
      </w:pPr>
      <w:r>
        <w:rPr>
          <w:kern w:val="0"/>
          <w:sz w:val="24"/>
        </w:rPr>
        <w:t>2、</w:t>
      </w:r>
      <w:r>
        <w:rPr>
          <w:rFonts w:hint="eastAsia"/>
          <w:bCs/>
          <w:kern w:val="0"/>
          <w:sz w:val="24"/>
        </w:rPr>
        <w:t>具有基金销售业务资格、经深圳证券交易所和中国证券登记结算有限责任公司认可的</w:t>
      </w:r>
      <w:r>
        <w:rPr>
          <w:rFonts w:hint="eastAsia"/>
          <w:kern w:val="0"/>
          <w:sz w:val="24"/>
        </w:rPr>
        <w:t>通过深圳证券交易所交易系统办理相关业务的深圳证券交易所会员单位，具体名单详见深圳证券交易所网站。</w:t>
      </w:r>
    </w:p>
    <w:p>
      <w:pPr>
        <w:pStyle w:val="4"/>
        <w:autoSpaceDE w:val="0"/>
        <w:autoSpaceDN w:val="0"/>
        <w:adjustRightInd w:val="0"/>
        <w:snapToGrid w:val="0"/>
        <w:spacing w:line="360" w:lineRule="auto"/>
        <w:ind w:firstLine="480"/>
        <w:rPr>
          <w:kern w:val="0"/>
          <w:sz w:val="24"/>
          <w:szCs w:val="24"/>
        </w:rPr>
      </w:pPr>
      <w:r>
        <w:rPr>
          <w:rFonts w:hint="eastAsia"/>
          <w:kern w:val="0"/>
          <w:sz w:val="24"/>
          <w:szCs w:val="24"/>
        </w:rPr>
        <w:t>3</w:t>
      </w:r>
      <w:r>
        <w:rPr>
          <w:kern w:val="0"/>
          <w:sz w:val="24"/>
          <w:szCs w:val="24"/>
        </w:rPr>
        <w:t>、</w:t>
      </w:r>
      <w:r>
        <w:rPr>
          <w:kern w:val="0"/>
          <w:sz w:val="24"/>
        </w:rPr>
        <w:t>不通过</w:t>
      </w:r>
      <w:r>
        <w:rPr>
          <w:rFonts w:hint="eastAsia"/>
          <w:kern w:val="0"/>
          <w:sz w:val="24"/>
        </w:rPr>
        <w:t>深圳</w:t>
      </w:r>
      <w:r>
        <w:rPr>
          <w:kern w:val="0"/>
          <w:sz w:val="24"/>
        </w:rPr>
        <w:t>证券交易所</w:t>
      </w:r>
      <w:r>
        <w:rPr>
          <w:rFonts w:hint="eastAsia"/>
          <w:sz w:val="24"/>
        </w:rPr>
        <w:t>交易</w:t>
      </w:r>
      <w:r>
        <w:rPr>
          <w:kern w:val="0"/>
          <w:sz w:val="24"/>
        </w:rPr>
        <w:t>系统办理相关业务的场外</w:t>
      </w:r>
      <w:r>
        <w:rPr>
          <w:rFonts w:hint="eastAsia"/>
          <w:kern w:val="0"/>
          <w:sz w:val="24"/>
          <w:szCs w:val="24"/>
        </w:rPr>
        <w:t>销售</w:t>
      </w:r>
      <w:r>
        <w:rPr>
          <w:kern w:val="0"/>
          <w:sz w:val="24"/>
          <w:szCs w:val="24"/>
        </w:rPr>
        <w:t>机构</w:t>
      </w:r>
      <w:r>
        <w:rPr>
          <w:rFonts w:hint="eastAsia"/>
          <w:kern w:val="0"/>
          <w:sz w:val="24"/>
          <w:szCs w:val="24"/>
        </w:rPr>
        <w:t>（除</w:t>
      </w:r>
      <w:r>
        <w:rPr>
          <w:rFonts w:hAnsi="宋体"/>
          <w:sz w:val="24"/>
          <w:szCs w:val="24"/>
        </w:rPr>
        <w:t>本基金管理人</w:t>
      </w:r>
      <w:r>
        <w:rPr>
          <w:rFonts w:hint="eastAsia" w:hAnsi="宋体"/>
          <w:sz w:val="24"/>
          <w:szCs w:val="24"/>
        </w:rPr>
        <w:t>）</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w:t>
      </w:r>
      <w:r>
        <w:rPr>
          <w:kern w:val="0"/>
          <w:sz w:val="24"/>
          <w:szCs w:val="24"/>
        </w:rPr>
        <w:t>的</w:t>
      </w:r>
      <w:r>
        <w:rPr>
          <w:rFonts w:hint="eastAsia"/>
          <w:kern w:val="0"/>
          <w:sz w:val="24"/>
          <w:szCs w:val="24"/>
        </w:rPr>
        <w:t>其他</w:t>
      </w:r>
      <w:r>
        <w:rPr>
          <w:rFonts w:hint="eastAsia"/>
          <w:kern w:val="0"/>
          <w:sz w:val="24"/>
        </w:rPr>
        <w:t>场外</w:t>
      </w:r>
      <w:r>
        <w:rPr>
          <w:rFonts w:hint="eastAsia"/>
          <w:kern w:val="0"/>
          <w:sz w:val="24"/>
          <w:szCs w:val="24"/>
        </w:rPr>
        <w:t>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场外</w:t>
      </w:r>
      <w:r>
        <w:rPr>
          <w:rFonts w:hint="eastAsia"/>
          <w:sz w:val="24"/>
          <w:szCs w:val="24"/>
        </w:rPr>
        <w:t>销售</w:t>
      </w:r>
      <w:r>
        <w:rPr>
          <w:sz w:val="24"/>
          <w:szCs w:val="24"/>
        </w:rPr>
        <w:t>机构，并在管理人网站公示。</w:t>
      </w:r>
    </w:p>
    <w:p>
      <w:pPr>
        <w:adjustRightInd w:val="0"/>
        <w:snapToGrid w:val="0"/>
        <w:spacing w:line="360" w:lineRule="auto"/>
        <w:ind w:firstLine="480" w:firstLineChars="200"/>
        <w:rPr>
          <w:kern w:val="0"/>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rPr>
          <w:sz w:val="24"/>
          <w:szCs w:val="24"/>
        </w:rPr>
      </w:pPr>
      <w:r>
        <w:rPr>
          <w:rFonts w:hAnsi="宋体"/>
          <w:b/>
          <w:kern w:val="0"/>
          <w:sz w:val="24"/>
          <w:szCs w:val="24"/>
        </w:rPr>
        <w:t>（二）申购和赎回的开放日及时间</w:t>
      </w:r>
      <w:r>
        <w:rPr>
          <w:b/>
          <w:kern w:val="0"/>
          <w:sz w:val="24"/>
          <w:szCs w:val="24"/>
        </w:rPr>
        <w:t xml:space="preserve"> </w:t>
      </w:r>
    </w:p>
    <w:p>
      <w:pPr>
        <w:adjustRightInd w:val="0"/>
        <w:snapToGrid w:val="0"/>
        <w:spacing w:line="360" w:lineRule="auto"/>
        <w:ind w:firstLine="480" w:firstLineChars="200"/>
        <w:rPr>
          <w:bCs/>
          <w:sz w:val="24"/>
          <w:szCs w:val="24"/>
        </w:rPr>
      </w:pPr>
      <w:r>
        <w:rPr>
          <w:bCs/>
          <w:sz w:val="24"/>
          <w:szCs w:val="24"/>
        </w:rPr>
        <w:t>1、开放日及开放时间</w:t>
      </w:r>
    </w:p>
    <w:p>
      <w:pPr>
        <w:adjustRightInd w:val="0"/>
        <w:snapToGrid w:val="0"/>
        <w:spacing w:line="360" w:lineRule="auto"/>
        <w:ind w:firstLine="480" w:firstLineChars="200"/>
        <w:rPr>
          <w:bCs/>
          <w:sz w:val="24"/>
        </w:rPr>
      </w:pPr>
      <w:r>
        <w:rPr>
          <w:bCs/>
          <w:sz w:val="24"/>
        </w:rPr>
        <w:t>投资人在开放日办理</w:t>
      </w:r>
      <w:r>
        <w:rPr>
          <w:rFonts w:hint="eastAsia"/>
          <w:bCs/>
          <w:sz w:val="24"/>
        </w:rPr>
        <w:t>基金份额</w:t>
      </w:r>
      <w:r>
        <w:rPr>
          <w:bCs/>
          <w:sz w:val="24"/>
        </w:rPr>
        <w:t>的申购和赎回，具体办理时间为上海证券交易所、深圳证券交易所的正常交易日的交易时间，但基金管理人根据法律法规、中国证监会的要求或基金合同的规定公告暂停申购、赎回时除外。</w:t>
      </w:r>
    </w:p>
    <w:p>
      <w:pPr>
        <w:adjustRightInd w:val="0"/>
        <w:snapToGrid w:val="0"/>
        <w:spacing w:line="360" w:lineRule="auto"/>
        <w:ind w:firstLine="480" w:firstLineChars="200"/>
        <w:rPr>
          <w:sz w:val="24"/>
          <w:szCs w:val="24"/>
        </w:rPr>
      </w:pPr>
      <w:r>
        <w:rPr>
          <w:bCs/>
          <w:sz w:val="24"/>
        </w:rPr>
        <w:t>若出现新的证券</w:t>
      </w:r>
      <w:r>
        <w:rPr>
          <w:rFonts w:hint="eastAsia"/>
          <w:bCs/>
          <w:sz w:val="24"/>
        </w:rPr>
        <w:t>/期货</w:t>
      </w:r>
      <w:r>
        <w:rPr>
          <w:bCs/>
          <w:sz w:val="24"/>
        </w:rPr>
        <w:t>交易市场、证券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pPr>
        <w:adjustRightInd w:val="0"/>
        <w:snapToGrid w:val="0"/>
        <w:spacing w:line="360" w:lineRule="auto"/>
        <w:ind w:firstLine="480" w:firstLineChars="200"/>
        <w:rPr>
          <w:bCs/>
          <w:sz w:val="24"/>
          <w:szCs w:val="24"/>
        </w:rPr>
      </w:pPr>
      <w:r>
        <w:rPr>
          <w:bCs/>
          <w:sz w:val="24"/>
          <w:szCs w:val="24"/>
        </w:rPr>
        <w:t>2、申购、赎回开始日及业务办理时间</w:t>
      </w:r>
    </w:p>
    <w:p>
      <w:pPr>
        <w:adjustRightInd w:val="0"/>
        <w:snapToGrid w:val="0"/>
        <w:spacing w:line="360" w:lineRule="auto"/>
        <w:ind w:firstLine="480" w:firstLineChars="200"/>
        <w:rPr>
          <w:bCs/>
          <w:sz w:val="24"/>
        </w:rPr>
      </w:pPr>
      <w:r>
        <w:rPr>
          <w:rFonts w:hint="eastAsia"/>
          <w:bCs/>
          <w:sz w:val="24"/>
        </w:rPr>
        <w:t>交银施罗德中证环境治理指数型证券投资基金（LOF）已于2016年7月20日起开放申购业务。</w:t>
      </w:r>
    </w:p>
    <w:p>
      <w:pPr>
        <w:adjustRightInd w:val="0"/>
        <w:snapToGrid w:val="0"/>
        <w:spacing w:line="360" w:lineRule="auto"/>
        <w:ind w:firstLine="480" w:firstLineChars="200"/>
        <w:rPr>
          <w:bCs/>
          <w:sz w:val="24"/>
        </w:rPr>
      </w:pPr>
      <w:r>
        <w:rPr>
          <w:rFonts w:hint="eastAsia"/>
          <w:bCs/>
          <w:sz w:val="24"/>
        </w:rPr>
        <w:t>交银施罗德中证环境治理指数型证券投资基金（LOF）已于2016年7月20日起开放赎回业务。</w:t>
      </w:r>
    </w:p>
    <w:p>
      <w:pPr>
        <w:adjustRightInd w:val="0"/>
        <w:snapToGrid w:val="0"/>
        <w:spacing w:line="360" w:lineRule="auto"/>
        <w:ind w:firstLine="480" w:firstLineChars="200"/>
        <w:rPr>
          <w:sz w:val="24"/>
          <w:szCs w:val="24"/>
        </w:rPr>
      </w:pPr>
      <w:r>
        <w:rPr>
          <w:bCs/>
          <w:sz w:val="24"/>
        </w:rPr>
        <w:t>基金管理人不得在基金合同约定之外的日期或者时间办理</w:t>
      </w:r>
      <w:r>
        <w:rPr>
          <w:rFonts w:hint="eastAsia"/>
          <w:bCs/>
          <w:sz w:val="24"/>
        </w:rPr>
        <w:t>基金份额</w:t>
      </w:r>
      <w:r>
        <w:rPr>
          <w:bCs/>
          <w:sz w:val="24"/>
        </w:rPr>
        <w:t>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w:t>
      </w:r>
      <w:r>
        <w:rPr>
          <w:rFonts w:hint="eastAsia"/>
          <w:bCs/>
          <w:sz w:val="24"/>
        </w:rPr>
        <w:t>基金份额</w:t>
      </w:r>
      <w:r>
        <w:rPr>
          <w:bCs/>
          <w:sz w:val="24"/>
        </w:rPr>
        <w:t>申购、赎回价格为下一开放日</w:t>
      </w:r>
      <w:r>
        <w:rPr>
          <w:rFonts w:hint="eastAsia"/>
          <w:bCs/>
          <w:sz w:val="24"/>
        </w:rPr>
        <w:t>基金份额</w:t>
      </w:r>
      <w:r>
        <w:rPr>
          <w:bCs/>
          <w:sz w:val="24"/>
        </w:rPr>
        <w:t>申购、赎回的价格。</w:t>
      </w:r>
    </w:p>
    <w:p>
      <w:pPr>
        <w:adjustRightInd w:val="0"/>
        <w:snapToGrid w:val="0"/>
        <w:spacing w:line="360" w:lineRule="auto"/>
        <w:ind w:firstLine="482" w:firstLineChars="200"/>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rFonts w:ascii="宋体" w:hAnsi="宋体"/>
          <w:sz w:val="24"/>
          <w:szCs w:val="24"/>
        </w:rPr>
      </w:pPr>
      <w:r>
        <w:rPr>
          <w:rFonts w:ascii="宋体" w:hAnsi="宋体"/>
          <w:sz w:val="24"/>
          <w:szCs w:val="24"/>
        </w:rPr>
        <w:t>1、“未知价”原则，即申购、赎回价格以申请当日收市后计算的</w:t>
      </w:r>
      <w:r>
        <w:rPr>
          <w:rFonts w:hint="eastAsia" w:ascii="宋体" w:hAnsi="宋体"/>
          <w:sz w:val="24"/>
          <w:szCs w:val="24"/>
        </w:rPr>
        <w:t>基金份额</w:t>
      </w:r>
      <w:r>
        <w:rPr>
          <w:rFonts w:ascii="宋体" w:hAnsi="宋体"/>
          <w:sz w:val="24"/>
          <w:szCs w:val="24"/>
        </w:rPr>
        <w:t>净值为基准进行计算；</w:t>
      </w:r>
    </w:p>
    <w:p>
      <w:pPr>
        <w:adjustRightInd w:val="0"/>
        <w:snapToGrid w:val="0"/>
        <w:spacing w:line="360" w:lineRule="auto"/>
        <w:ind w:firstLine="480" w:firstLineChars="200"/>
        <w:rPr>
          <w:rFonts w:ascii="宋体" w:hAnsi="宋体"/>
          <w:sz w:val="24"/>
          <w:szCs w:val="24"/>
        </w:rPr>
      </w:pPr>
      <w:r>
        <w:rPr>
          <w:rFonts w:ascii="宋体" w:hAnsi="宋体"/>
          <w:sz w:val="24"/>
          <w:szCs w:val="24"/>
        </w:rPr>
        <w:t>2、“金额申购、份额赎回”原则，即申购以金额申请，赎回以份额申请；</w:t>
      </w:r>
    </w:p>
    <w:p>
      <w:pPr>
        <w:adjustRightInd w:val="0"/>
        <w:snapToGrid w:val="0"/>
        <w:spacing w:line="360" w:lineRule="auto"/>
        <w:ind w:firstLine="480" w:firstLineChars="200"/>
        <w:rPr>
          <w:rFonts w:ascii="宋体" w:hAnsi="宋体"/>
          <w:sz w:val="24"/>
          <w:szCs w:val="24"/>
        </w:rPr>
      </w:pPr>
      <w:r>
        <w:rPr>
          <w:rFonts w:ascii="宋体" w:hAnsi="宋体"/>
          <w:sz w:val="24"/>
          <w:szCs w:val="24"/>
        </w:rPr>
        <w:t>3、当日的场外申购与赎回申请可以在基金管理人规定的时间以内撤销，但申请经登记机构受理的不得撤销；</w:t>
      </w:r>
    </w:p>
    <w:p>
      <w:pPr>
        <w:adjustRightInd w:val="0"/>
        <w:snapToGrid w:val="0"/>
        <w:spacing w:line="360" w:lineRule="auto"/>
        <w:ind w:firstLine="480" w:firstLineChars="200"/>
        <w:rPr>
          <w:rFonts w:ascii="宋体" w:hAnsi="宋体"/>
          <w:sz w:val="24"/>
          <w:szCs w:val="24"/>
        </w:rPr>
      </w:pPr>
      <w:r>
        <w:rPr>
          <w:rFonts w:ascii="宋体" w:hAnsi="宋体"/>
          <w:sz w:val="24"/>
          <w:szCs w:val="24"/>
        </w:rPr>
        <w:t>4、投资者办理</w:t>
      </w:r>
      <w:r>
        <w:rPr>
          <w:rFonts w:hint="eastAsia" w:ascii="宋体" w:hAnsi="宋体"/>
          <w:sz w:val="24"/>
          <w:szCs w:val="24"/>
        </w:rPr>
        <w:t>基金</w:t>
      </w:r>
      <w:r>
        <w:rPr>
          <w:rFonts w:ascii="宋体" w:hAnsi="宋体"/>
          <w:sz w:val="24"/>
          <w:szCs w:val="24"/>
        </w:rPr>
        <w:t>份额场外申购、赎回应使用开放式基金账户，办理</w:t>
      </w:r>
      <w:r>
        <w:rPr>
          <w:rFonts w:hint="eastAsia" w:ascii="宋体" w:hAnsi="宋体"/>
          <w:sz w:val="24"/>
          <w:szCs w:val="24"/>
        </w:rPr>
        <w:t>基金</w:t>
      </w:r>
      <w:r>
        <w:rPr>
          <w:rFonts w:ascii="宋体" w:hAnsi="宋体"/>
          <w:sz w:val="24"/>
          <w:szCs w:val="24"/>
        </w:rPr>
        <w:t>份额场内申购、赎回应使用深圳证券账户；</w:t>
      </w:r>
    </w:p>
    <w:p>
      <w:pPr>
        <w:adjustRightInd w:val="0"/>
        <w:snapToGrid w:val="0"/>
        <w:spacing w:line="360" w:lineRule="auto"/>
        <w:ind w:firstLine="480" w:firstLineChars="200"/>
        <w:rPr>
          <w:rFonts w:ascii="宋体" w:hAnsi="宋体"/>
          <w:sz w:val="24"/>
          <w:szCs w:val="24"/>
        </w:rPr>
      </w:pPr>
      <w:r>
        <w:rPr>
          <w:rFonts w:ascii="宋体" w:hAnsi="宋体"/>
          <w:sz w:val="24"/>
          <w:szCs w:val="24"/>
        </w:rPr>
        <w:t>5、基金份额持有人在场外赎回</w:t>
      </w:r>
      <w:r>
        <w:rPr>
          <w:rFonts w:hint="eastAsia" w:ascii="宋体" w:hAnsi="宋体"/>
          <w:sz w:val="24"/>
          <w:szCs w:val="24"/>
        </w:rPr>
        <w:t>基金</w:t>
      </w:r>
      <w:r>
        <w:rPr>
          <w:rFonts w:ascii="宋体" w:hAnsi="宋体"/>
          <w:sz w:val="24"/>
          <w:szCs w:val="24"/>
        </w:rPr>
        <w:t>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rFonts w:ascii="宋体" w:hAnsi="宋体"/>
          <w:sz w:val="24"/>
          <w:szCs w:val="24"/>
        </w:rPr>
      </w:pPr>
      <w:r>
        <w:rPr>
          <w:rFonts w:ascii="宋体" w:hAnsi="宋体"/>
          <w:sz w:val="24"/>
          <w:szCs w:val="24"/>
        </w:rPr>
        <w:t>6、投资人通过深圳证券交易所交易系统办理</w:t>
      </w:r>
      <w:r>
        <w:rPr>
          <w:rFonts w:hint="eastAsia" w:ascii="宋体" w:hAnsi="宋体"/>
          <w:sz w:val="24"/>
          <w:szCs w:val="24"/>
        </w:rPr>
        <w:t>基金</w:t>
      </w:r>
      <w:r>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pPr>
        <w:adjustRightInd w:val="0"/>
        <w:snapToGrid w:val="0"/>
        <w:spacing w:line="360" w:lineRule="auto"/>
        <w:ind w:firstLine="480" w:firstLineChars="200"/>
        <w:rPr>
          <w:sz w:val="24"/>
          <w:szCs w:val="24"/>
        </w:rPr>
      </w:pPr>
      <w:r>
        <w:rPr>
          <w:rFonts w:ascii="宋体" w:hAnsi="宋体"/>
          <w:sz w:val="24"/>
          <w:szCs w:val="24"/>
        </w:rPr>
        <w:t>基金管理人可在法律法规允许的情况下，对上述原则进行调整。基金管理人必须在新规则开始实施前依照《信息披露办法》的有关规定在指定媒介上公告。</w:t>
      </w:r>
    </w:p>
    <w:p>
      <w:pPr>
        <w:widowControl/>
        <w:adjustRightInd w:val="0"/>
        <w:snapToGrid w:val="0"/>
        <w:spacing w:line="360" w:lineRule="auto"/>
        <w:ind w:firstLine="482" w:firstLineChars="200"/>
        <w:rPr>
          <w:b/>
          <w:kern w:val="0"/>
          <w:sz w:val="24"/>
          <w:szCs w:val="24"/>
        </w:rPr>
      </w:pPr>
      <w:r>
        <w:rPr>
          <w:rFonts w:hAnsi="宋体"/>
          <w:b/>
          <w:kern w:val="0"/>
          <w:sz w:val="24"/>
          <w:szCs w:val="24"/>
        </w:rPr>
        <w:t>（四）申购和赎回的数额限定</w:t>
      </w:r>
      <w:r>
        <w:rPr>
          <w:b/>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kern w:val="0"/>
          <w:sz w:val="24"/>
        </w:rPr>
      </w:pPr>
      <w:r>
        <w:rPr>
          <w:rFonts w:hAnsi="宋体"/>
          <w:kern w:val="0"/>
          <w:sz w:val="24"/>
        </w:rPr>
        <w:t>场外申购时</w:t>
      </w:r>
      <w:r>
        <w:rPr>
          <w:rFonts w:hint="eastAsia" w:hAnsi="宋体"/>
          <w:kern w:val="0"/>
          <w:sz w:val="24"/>
        </w:rPr>
        <w:t>，除基金管理人之外的</w:t>
      </w:r>
      <w:r>
        <w:rPr>
          <w:rFonts w:hAnsi="宋体"/>
          <w:kern w:val="0"/>
          <w:sz w:val="24"/>
        </w:rPr>
        <w:t>场外销售机构每个账户单笔申购的最低金额为单笔</w:t>
      </w:r>
      <w:r>
        <w:rPr>
          <w:kern w:val="0"/>
          <w:sz w:val="24"/>
        </w:rPr>
        <w:t>1</w:t>
      </w:r>
      <w:r>
        <w:rPr>
          <w:rFonts w:hAnsi="宋体"/>
          <w:kern w:val="0"/>
          <w:sz w:val="24"/>
        </w:rPr>
        <w:t>元（含申购费），如果销售机构业务规则规定的最低单笔申购金额高于</w:t>
      </w:r>
      <w:r>
        <w:rPr>
          <w:kern w:val="0"/>
          <w:sz w:val="24"/>
        </w:rPr>
        <w:t>1</w:t>
      </w:r>
      <w:r>
        <w:rPr>
          <w:rFonts w:hAnsi="宋体"/>
          <w:kern w:val="0"/>
          <w:sz w:val="24"/>
        </w:rPr>
        <w:t>元，以销售机构的规定为准。</w:t>
      </w:r>
    </w:p>
    <w:p>
      <w:pPr>
        <w:widowControl/>
        <w:adjustRightInd w:val="0"/>
        <w:snapToGrid w:val="0"/>
        <w:spacing w:line="360" w:lineRule="auto"/>
        <w:ind w:firstLine="480" w:firstLineChars="200"/>
        <w:rPr>
          <w:kern w:val="0"/>
          <w:sz w:val="24"/>
          <w:szCs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p>
    <w:p>
      <w:pPr>
        <w:widowControl/>
        <w:adjustRightInd w:val="0"/>
        <w:snapToGrid w:val="0"/>
        <w:spacing w:line="360" w:lineRule="auto"/>
        <w:ind w:firstLine="480" w:firstLineChars="200"/>
        <w:rPr>
          <w:color w:val="FF0000"/>
          <w:sz w:val="24"/>
          <w:szCs w:val="24"/>
        </w:rPr>
      </w:pPr>
      <w:r>
        <w:rPr>
          <w:rFonts w:hAnsi="宋体"/>
          <w:kern w:val="0"/>
          <w:sz w:val="24"/>
        </w:rPr>
        <w:t>场内申购时，每笔申购金额最低为</w:t>
      </w:r>
      <w:r>
        <w:rPr>
          <w:kern w:val="0"/>
          <w:sz w:val="24"/>
        </w:rPr>
        <w:t>50,000</w:t>
      </w:r>
      <w:r>
        <w:rPr>
          <w:rFonts w:hAnsi="宋体"/>
          <w:kern w:val="0"/>
          <w:sz w:val="24"/>
        </w:rPr>
        <w:t>元（含申购费）。</w:t>
      </w:r>
    </w:p>
    <w:p>
      <w:pPr>
        <w:widowControl/>
        <w:adjustRightInd w:val="0"/>
        <w:snapToGrid w:val="0"/>
        <w:spacing w:line="360" w:lineRule="auto"/>
        <w:ind w:firstLine="480" w:firstLineChars="200"/>
        <w:rPr>
          <w:sz w:val="24"/>
          <w:szCs w:val="24"/>
        </w:rPr>
      </w:pPr>
      <w:r>
        <w:rPr>
          <w:rFonts w:hint="eastAsia" w:hAnsi="宋体"/>
          <w:bCs/>
          <w:kern w:val="0"/>
          <w:sz w:val="24"/>
        </w:rPr>
        <w:t>本基金对单个投资人累计持有的基金份额不设上限。</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rFonts w:hAnsi="宋体"/>
          <w:kern w:val="0"/>
          <w:sz w:val="24"/>
          <w:szCs w:val="24"/>
        </w:rPr>
      </w:pPr>
      <w:bookmarkStart w:id="33" w:name="OLE_LINK6"/>
      <w:r>
        <w:rPr>
          <w:rFonts w:hint="eastAsia" w:hAnsi="宋体"/>
          <w:kern w:val="0"/>
          <w:sz w:val="24"/>
          <w:szCs w:val="24"/>
        </w:rPr>
        <w:t>场外赎回的最低份额为1份基金份额，如果销售机构业务规则规定的最低单笔赎回份额高于1份，以该销售机构的规定为准。场内赎回时，赎回的最低份额为50份基金份额，同时赎回份额必须是整数份额。如果销售机构业务规则规定的最低单笔赎回份额高于上述限制，以该销售机构的规定为准。</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、最低保留余额的限制</w:t>
      </w:r>
    </w:p>
    <w:p>
      <w:pPr>
        <w:widowControl/>
        <w:adjustRightInd w:val="0"/>
        <w:snapToGrid w:val="0"/>
        <w:spacing w:line="360" w:lineRule="auto"/>
        <w:ind w:firstLine="480" w:firstLineChars="200"/>
        <w:rPr>
          <w:rFonts w:hAnsi="宋体"/>
          <w:color w:val="000000"/>
          <w:sz w:val="24"/>
          <w:szCs w:val="24"/>
        </w:rPr>
      </w:pPr>
      <w:r>
        <w:rPr>
          <w:rFonts w:hAnsi="宋体"/>
          <w:color w:val="000000"/>
          <w:sz w:val="24"/>
          <w:szCs w:val="24"/>
        </w:rPr>
        <w:t>每个工作日投资人在单个交易账户保留的</w:t>
      </w:r>
      <w:r>
        <w:rPr>
          <w:rFonts w:hint="eastAsia" w:hAnsi="宋体"/>
          <w:kern w:val="0"/>
          <w:sz w:val="24"/>
          <w:szCs w:val="24"/>
        </w:rPr>
        <w:t>本基金</w:t>
      </w:r>
      <w:r>
        <w:rPr>
          <w:rFonts w:hAnsi="宋体"/>
          <w:color w:val="000000"/>
          <w:sz w:val="24"/>
          <w:szCs w:val="24"/>
        </w:rPr>
        <w:t>份额余额少于1份时，若当日该账户同时有</w:t>
      </w:r>
      <w:r>
        <w:rPr>
          <w:rFonts w:hint="eastAsia" w:hAnsi="宋体"/>
          <w:color w:val="000000"/>
          <w:sz w:val="24"/>
          <w:szCs w:val="24"/>
        </w:rPr>
        <w:t>基金</w:t>
      </w:r>
      <w:r>
        <w:rPr>
          <w:rFonts w:hAnsi="宋体"/>
          <w:color w:val="000000"/>
          <w:sz w:val="24"/>
          <w:szCs w:val="24"/>
        </w:rPr>
        <w:t>份额减少类业务（如赎回、转换出等）被确认，则基金管理人有权将投资人在该账户保留的</w:t>
      </w:r>
      <w:r>
        <w:rPr>
          <w:rFonts w:hint="eastAsia" w:hAnsi="宋体"/>
          <w:color w:val="000000"/>
          <w:sz w:val="24"/>
          <w:szCs w:val="24"/>
        </w:rPr>
        <w:t>本</w:t>
      </w:r>
      <w:r>
        <w:rPr>
          <w:rFonts w:hint="eastAsia" w:hAnsi="宋体"/>
          <w:kern w:val="0"/>
          <w:sz w:val="24"/>
          <w:szCs w:val="24"/>
        </w:rPr>
        <w:t>基金</w:t>
      </w:r>
      <w:r>
        <w:rPr>
          <w:rFonts w:hAnsi="宋体"/>
          <w:color w:val="000000"/>
          <w:sz w:val="24"/>
          <w:szCs w:val="24"/>
        </w:rPr>
        <w:t>份额一次性全部赎回。</w:t>
      </w:r>
      <w:bookmarkEnd w:id="33"/>
      <w:r>
        <w:rPr>
          <w:rFonts w:hint="eastAsia" w:hAnsi="宋体"/>
          <w:color w:val="000000"/>
          <w:sz w:val="24"/>
          <w:szCs w:val="24"/>
        </w:rPr>
        <w:t>场内赎回发生上述情形时，需遵守深圳证券交易所及中国证券登记结算有限责任公司的相关业务规则。</w:t>
      </w:r>
    </w:p>
    <w:p>
      <w:pPr>
        <w:widowControl/>
        <w:adjustRightInd w:val="0"/>
        <w:snapToGrid w:val="0"/>
        <w:spacing w:line="360" w:lineRule="auto"/>
        <w:ind w:firstLine="480" w:firstLineChars="200"/>
        <w:rPr>
          <w:kern w:val="0"/>
          <w:sz w:val="24"/>
          <w:szCs w:val="24"/>
        </w:rPr>
      </w:pPr>
      <w:r>
        <w:rPr>
          <w:rFonts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widowControl/>
        <w:adjustRightInd w:val="0"/>
        <w:snapToGrid w:val="0"/>
        <w:spacing w:line="360" w:lineRule="auto"/>
        <w:ind w:firstLine="480" w:firstLineChars="200"/>
        <w:rPr>
          <w:rFonts w:hAnsi="宋体"/>
          <w:kern w:val="0"/>
          <w:sz w:val="24"/>
          <w:szCs w:val="24"/>
        </w:rPr>
      </w:pPr>
      <w:r>
        <w:rPr>
          <w:kern w:val="0"/>
          <w:sz w:val="24"/>
          <w:szCs w:val="24"/>
        </w:rPr>
        <w:t>5</w:t>
      </w:r>
      <w:r>
        <w:rPr>
          <w:rFonts w:hAnsi="宋体"/>
          <w:kern w:val="0"/>
          <w:sz w:val="24"/>
          <w:szCs w:val="24"/>
        </w:rPr>
        <w:t>、基金管理人可根据市场情况，在法律法规允许的情况下，调整申购的金额和赎回的份额以及最低</w:t>
      </w:r>
      <w:r>
        <w:rPr>
          <w:rFonts w:hint="eastAsia" w:hAnsi="宋体"/>
          <w:kern w:val="0"/>
          <w:sz w:val="24"/>
          <w:szCs w:val="24"/>
        </w:rPr>
        <w:t>基金份额</w:t>
      </w:r>
      <w:r>
        <w:rPr>
          <w:rFonts w:hAnsi="宋体"/>
          <w:kern w:val="0"/>
          <w:sz w:val="24"/>
          <w:szCs w:val="24"/>
        </w:rPr>
        <w:t>保留余额的数量限制，基金管理人必须在调整</w:t>
      </w:r>
      <w:r>
        <w:rPr>
          <w:rFonts w:hint="eastAsia" w:hAnsi="宋体"/>
          <w:kern w:val="0"/>
          <w:sz w:val="24"/>
          <w:szCs w:val="24"/>
        </w:rPr>
        <w:t>实施</w:t>
      </w:r>
      <w:r>
        <w:rPr>
          <w:rFonts w:hAnsi="宋体"/>
          <w:kern w:val="0"/>
          <w:sz w:val="24"/>
          <w:szCs w:val="24"/>
        </w:rPr>
        <w:t>前依照《信息披露办法》的有关规定在指定媒介上刊登公告</w:t>
      </w:r>
      <w:r>
        <w:rPr>
          <w:bCs/>
          <w:sz w:val="24"/>
          <w:szCs w:val="24"/>
        </w:rPr>
        <w:t>并报中国证监会备案</w:t>
      </w:r>
      <w:r>
        <w:rPr>
          <w:rFonts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、投资人通过深圳证券交易所交易系统办理场内申购、赎回业务时，需遵守深圳证券交易所及中国证券登记结算有限责任公司对场内申购、赎回数额限定的相关业务规则。</w:t>
      </w:r>
    </w:p>
    <w:p>
      <w:pPr>
        <w:adjustRightInd w:val="0"/>
        <w:snapToGrid w:val="0"/>
        <w:spacing w:line="360" w:lineRule="auto"/>
        <w:ind w:firstLine="482" w:firstLineChars="200"/>
        <w:rPr>
          <w:sz w:val="24"/>
          <w:szCs w:val="24"/>
        </w:rPr>
      </w:pPr>
      <w:r>
        <w:rPr>
          <w:rFonts w:hAnsi="宋体"/>
          <w:b/>
          <w:kern w:val="0"/>
          <w:sz w:val="24"/>
          <w:szCs w:val="24"/>
        </w:rPr>
        <w:t>（五）申购和赎回的程序</w:t>
      </w:r>
    </w:p>
    <w:p>
      <w:pPr>
        <w:adjustRightInd w:val="0"/>
        <w:snapToGrid w:val="0"/>
        <w:spacing w:line="360" w:lineRule="auto"/>
        <w:ind w:firstLine="480" w:firstLineChars="200"/>
        <w:rPr>
          <w:color w:val="000000"/>
          <w:sz w:val="24"/>
          <w:szCs w:val="24"/>
        </w:rPr>
      </w:pPr>
      <w:r>
        <w:rPr>
          <w:color w:val="000000"/>
          <w:sz w:val="24"/>
          <w:szCs w:val="24"/>
        </w:rPr>
        <w:t>1</w:t>
      </w:r>
      <w:r>
        <w:rPr>
          <w:rFonts w:hAnsi="宋体"/>
          <w:color w:val="000000"/>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adjustRightInd w:val="0"/>
        <w:snapToGrid w:val="0"/>
        <w:spacing w:line="360" w:lineRule="auto"/>
        <w:ind w:firstLine="480" w:firstLineChars="200"/>
        <w:rPr>
          <w:bCs/>
          <w:sz w:val="24"/>
          <w:lang w:val="zh-CN"/>
        </w:rPr>
      </w:pPr>
      <w:r>
        <w:rPr>
          <w:bCs/>
          <w:sz w:val="24"/>
          <w:lang w:val="zh-CN"/>
        </w:rPr>
        <w:t>投资人申购</w:t>
      </w:r>
      <w:r>
        <w:rPr>
          <w:rFonts w:hint="eastAsia"/>
          <w:bCs/>
          <w:sz w:val="24"/>
        </w:rPr>
        <w:t>基金份额</w:t>
      </w:r>
      <w:r>
        <w:rPr>
          <w:bCs/>
          <w:sz w:val="24"/>
          <w:lang w:val="zh-CN"/>
        </w:rPr>
        <w:t>时，必须全额交付申购款项，</w:t>
      </w:r>
      <w:r>
        <w:rPr>
          <w:rFonts w:hint="eastAsia"/>
          <w:bCs/>
          <w:sz w:val="24"/>
          <w:lang w:val="zh-CN"/>
        </w:rPr>
        <w:t>若申购资金在规定时间内未全额到账则申购不成立。投资人全额交付申购款项，申购成立；登记机构确认基金份额时，申购生效。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bCs/>
          <w:sz w:val="24"/>
          <w:lang w:val="zh-CN"/>
        </w:rPr>
        <w:t>投资人递交赎回申请，赎回成立；登记机构确认赎回时，赎回生效。</w:t>
      </w:r>
      <w:r>
        <w:rPr>
          <w:bCs/>
          <w:sz w:val="24"/>
        </w:rPr>
        <w:t>投资人赎回申请成功后，基金管理人将在T＋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内支付赎回款项。在发生巨额赎回时，款项的支付办法参照基金合同有关条款处理。</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adjustRightInd w:val="0"/>
        <w:snapToGrid w:val="0"/>
        <w:spacing w:line="360" w:lineRule="auto"/>
        <w:ind w:firstLine="480" w:firstLineChars="20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T日</w:t>
      </w:r>
      <w:r>
        <w:rPr>
          <w:rFonts w:hint="eastAsia"/>
          <w:bCs/>
          <w:sz w:val="24"/>
        </w:rPr>
        <w:t>）</w:t>
      </w:r>
      <w:r>
        <w:rPr>
          <w:bCs/>
          <w:sz w:val="24"/>
        </w:rPr>
        <w:t>，在正常情况下，</w:t>
      </w:r>
      <w:bookmarkStart w:id="34" w:name="OLE_LINK24"/>
      <w:bookmarkStart w:id="35" w:name="OLE_LINK25"/>
      <w:r>
        <w:rPr>
          <w:bCs/>
          <w:sz w:val="24"/>
        </w:rPr>
        <w:t>本基金登记机构在T+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内对该交易的有效性进行确认。T日提交的有效申请，投资人</w:t>
      </w:r>
      <w:r>
        <w:rPr>
          <w:rFonts w:hint="eastAsia"/>
          <w:bCs/>
          <w:sz w:val="24"/>
        </w:rPr>
        <w:t>应</w:t>
      </w:r>
      <w:r>
        <w:rPr>
          <w:bCs/>
          <w:sz w:val="24"/>
        </w:rPr>
        <w:t>在T+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34"/>
      <w:bookmarkEnd w:id="35"/>
      <w:r>
        <w:rPr>
          <w:bCs/>
          <w:sz w:val="24"/>
        </w:rPr>
        <w:t>若申购不成功，则申购款项退还给投资人。</w:t>
      </w:r>
    </w:p>
    <w:p>
      <w:pPr>
        <w:adjustRightInd w:val="0"/>
        <w:snapToGrid w:val="0"/>
        <w:spacing w:line="360" w:lineRule="auto"/>
        <w:ind w:firstLine="480" w:firstLineChars="200"/>
        <w:rPr>
          <w:rFonts w:ascii="宋体" w:hAnsi="宋体"/>
          <w:sz w:val="24"/>
          <w:szCs w:val="18"/>
        </w:rPr>
      </w:pPr>
      <w:r>
        <w:rPr>
          <w:rFonts w:hint="eastAsia" w:ascii="宋体" w:hAnsi="宋体"/>
          <w:sz w:val="24"/>
          <w:szCs w:val="18"/>
        </w:rPr>
        <w:t>基金管理人可在法律法规允许的范围内，依法对上述申购和赎回申请的确认时间进行调整，并必须在调整实施日前按照《信息披露办法》的有关规定在指定媒介上公告并报中国证监会备案。</w:t>
      </w:r>
    </w:p>
    <w:p>
      <w:pPr>
        <w:widowControl/>
        <w:adjustRightInd w:val="0"/>
        <w:snapToGrid w:val="0"/>
        <w:spacing w:line="360" w:lineRule="auto"/>
        <w:ind w:firstLine="480" w:firstLineChars="200"/>
        <w:rPr>
          <w:rFonts w:hAnsi="宋体"/>
          <w:kern w:val="0"/>
          <w:sz w:val="24"/>
          <w:szCs w:val="24"/>
        </w:rPr>
      </w:pPr>
      <w:r>
        <w:rPr>
          <w:rFonts w:hint="eastAsia" w:ascii="宋体" w:hAnsi="宋体"/>
          <w:sz w:val="24"/>
          <w:szCs w:val="18"/>
        </w:rPr>
        <w:t>销售机构对申购、赎回申请的受理并不代表该申请一定成功，而仅代表销售机构确实接收到申购、赎回申请。申购、赎回申请的确认以登记机构的确认结果为准。</w:t>
      </w:r>
      <w:r>
        <w:rPr>
          <w:rFonts w:hint="eastAsia" w:ascii="宋体" w:hAnsi="宋体"/>
          <w:sz w:val="24"/>
        </w:rPr>
        <w:t>对于申请的确认情况，投资者应及时查询。</w:t>
      </w:r>
    </w:p>
    <w:p>
      <w:pPr>
        <w:pStyle w:val="4"/>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w:t>
      </w:r>
      <w:r>
        <w:rPr>
          <w:rFonts w:hint="eastAsia" w:hAnsi="宋体"/>
          <w:sz w:val="24"/>
          <w:szCs w:val="24"/>
        </w:rPr>
        <w:t>登记</w:t>
      </w:r>
    </w:p>
    <w:p>
      <w:pPr>
        <w:widowControl/>
        <w:adjustRightInd w:val="0"/>
        <w:snapToGrid w:val="0"/>
        <w:spacing w:line="360" w:lineRule="auto"/>
        <w:ind w:firstLine="480" w:firstLineChars="200"/>
        <w:rPr>
          <w:color w:val="000000"/>
          <w:sz w:val="24"/>
          <w:szCs w:val="24"/>
        </w:rPr>
      </w:pPr>
      <w:r>
        <w:rPr>
          <w:rFonts w:hAnsi="宋体"/>
          <w:color w:val="000000"/>
          <w:sz w:val="24"/>
          <w:szCs w:val="24"/>
        </w:rPr>
        <w:t>（</w:t>
      </w:r>
      <w:r>
        <w:rPr>
          <w:color w:val="000000"/>
          <w:sz w:val="24"/>
          <w:szCs w:val="24"/>
        </w:rPr>
        <w:t>1</w:t>
      </w:r>
      <w:r>
        <w:rPr>
          <w:rFonts w:hAnsi="宋体"/>
          <w:color w:val="000000"/>
          <w:sz w:val="24"/>
          <w:szCs w:val="24"/>
        </w:rPr>
        <w:t>）投资人</w:t>
      </w:r>
      <w:r>
        <w:rPr>
          <w:color w:val="000000"/>
          <w:sz w:val="24"/>
          <w:szCs w:val="24"/>
        </w:rPr>
        <w:t>T</w:t>
      </w:r>
      <w:r>
        <w:rPr>
          <w:rFonts w:hAnsi="宋体"/>
          <w:color w:val="000000"/>
          <w:sz w:val="24"/>
          <w:szCs w:val="24"/>
        </w:rPr>
        <w:t>日申购</w:t>
      </w:r>
      <w:r>
        <w:rPr>
          <w:rFonts w:hint="eastAsia" w:hAnsi="宋体"/>
          <w:color w:val="000000"/>
          <w:sz w:val="24"/>
          <w:szCs w:val="24"/>
        </w:rPr>
        <w:t>基金</w:t>
      </w:r>
      <w:r>
        <w:rPr>
          <w:rFonts w:hAnsi="宋体"/>
          <w:color w:val="000000"/>
          <w:sz w:val="24"/>
          <w:szCs w:val="24"/>
        </w:rPr>
        <w:t>成功后，正常情况下，登记机构在</w:t>
      </w:r>
      <w:r>
        <w:rPr>
          <w:color w:val="000000"/>
          <w:sz w:val="24"/>
          <w:szCs w:val="24"/>
        </w:rPr>
        <w:t>T</w:t>
      </w:r>
      <w:r>
        <w:rPr>
          <w:rFonts w:hAnsi="宋体"/>
          <w:color w:val="000000"/>
          <w:sz w:val="24"/>
          <w:szCs w:val="24"/>
        </w:rPr>
        <w:t>＋</w:t>
      </w:r>
      <w:r>
        <w:rPr>
          <w:color w:val="000000"/>
          <w:sz w:val="24"/>
          <w:szCs w:val="24"/>
        </w:rPr>
        <w:t>1</w:t>
      </w:r>
      <w:r>
        <w:rPr>
          <w:rFonts w:hAnsi="宋体"/>
          <w:color w:val="000000"/>
          <w:sz w:val="24"/>
          <w:szCs w:val="24"/>
        </w:rPr>
        <w:t>日为投资人增加权益并办理登记手续，投资人自</w:t>
      </w:r>
      <w:r>
        <w:rPr>
          <w:color w:val="000000"/>
          <w:sz w:val="24"/>
          <w:szCs w:val="24"/>
        </w:rPr>
        <w:t>T</w:t>
      </w:r>
      <w:r>
        <w:rPr>
          <w:rFonts w:hAnsi="宋体"/>
          <w:color w:val="000000"/>
          <w:sz w:val="24"/>
          <w:szCs w:val="24"/>
        </w:rPr>
        <w:t>＋</w:t>
      </w:r>
      <w:r>
        <w:rPr>
          <w:color w:val="000000"/>
          <w:sz w:val="24"/>
          <w:szCs w:val="24"/>
        </w:rPr>
        <w:t>2</w:t>
      </w:r>
      <w:r>
        <w:rPr>
          <w:rFonts w:hAnsi="宋体"/>
          <w:color w:val="000000"/>
          <w:sz w:val="24"/>
          <w:szCs w:val="24"/>
        </w:rPr>
        <w:t>日</w:t>
      </w:r>
      <w:r>
        <w:rPr>
          <w:rFonts w:hint="eastAsia" w:hAnsi="宋体"/>
          <w:color w:val="000000"/>
          <w:sz w:val="24"/>
          <w:szCs w:val="24"/>
        </w:rPr>
        <w:t>起</w:t>
      </w:r>
      <w:r>
        <w:rPr>
          <w:rFonts w:hAnsi="宋体"/>
          <w:color w:val="000000"/>
          <w:sz w:val="24"/>
          <w:szCs w:val="24"/>
        </w:rPr>
        <w:t>（包括该日）有权赎回该部分基金份额。投资人应及时查询有关申请的确认情况。</w:t>
      </w:r>
    </w:p>
    <w:p>
      <w:pPr>
        <w:widowControl/>
        <w:adjustRightInd w:val="0"/>
        <w:snapToGrid w:val="0"/>
        <w:spacing w:line="360" w:lineRule="auto"/>
        <w:ind w:firstLine="480" w:firstLineChars="200"/>
        <w:rPr>
          <w:color w:val="000000"/>
          <w:sz w:val="24"/>
          <w:szCs w:val="24"/>
        </w:rPr>
      </w:pPr>
      <w:r>
        <w:rPr>
          <w:rFonts w:hAnsi="宋体"/>
          <w:color w:val="000000"/>
          <w:sz w:val="24"/>
          <w:szCs w:val="24"/>
        </w:rPr>
        <w:t>（</w:t>
      </w:r>
      <w:r>
        <w:rPr>
          <w:color w:val="000000"/>
          <w:sz w:val="24"/>
          <w:szCs w:val="24"/>
        </w:rPr>
        <w:t>2</w:t>
      </w:r>
      <w:r>
        <w:rPr>
          <w:rFonts w:hAnsi="宋体"/>
          <w:color w:val="000000"/>
          <w:sz w:val="24"/>
          <w:szCs w:val="24"/>
        </w:rPr>
        <w:t>）投资人</w:t>
      </w:r>
      <w:r>
        <w:rPr>
          <w:color w:val="000000"/>
          <w:sz w:val="24"/>
          <w:szCs w:val="24"/>
        </w:rPr>
        <w:t>T</w:t>
      </w:r>
      <w:r>
        <w:rPr>
          <w:rFonts w:hAnsi="宋体"/>
          <w:color w:val="000000"/>
          <w:sz w:val="24"/>
          <w:szCs w:val="24"/>
        </w:rPr>
        <w:t>日赎回</w:t>
      </w:r>
      <w:r>
        <w:rPr>
          <w:rFonts w:hint="eastAsia" w:hAnsi="宋体"/>
          <w:color w:val="000000"/>
          <w:sz w:val="24"/>
          <w:szCs w:val="24"/>
        </w:rPr>
        <w:t>基金</w:t>
      </w:r>
      <w:r>
        <w:rPr>
          <w:rFonts w:hAnsi="宋体"/>
          <w:color w:val="000000"/>
          <w:sz w:val="24"/>
          <w:szCs w:val="24"/>
        </w:rPr>
        <w:t>成功后，正常情况下，登记机构在</w:t>
      </w:r>
      <w:r>
        <w:rPr>
          <w:color w:val="000000"/>
          <w:sz w:val="24"/>
          <w:szCs w:val="24"/>
        </w:rPr>
        <w:t>T</w:t>
      </w:r>
      <w:r>
        <w:rPr>
          <w:rFonts w:hAnsi="宋体"/>
          <w:color w:val="000000"/>
          <w:sz w:val="24"/>
          <w:szCs w:val="24"/>
        </w:rPr>
        <w:t>＋</w:t>
      </w:r>
      <w:r>
        <w:rPr>
          <w:color w:val="000000"/>
          <w:sz w:val="24"/>
          <w:szCs w:val="24"/>
        </w:rPr>
        <w:t>1</w:t>
      </w:r>
      <w:r>
        <w:rPr>
          <w:rFonts w:hAnsi="宋体"/>
          <w:color w:val="000000"/>
          <w:sz w:val="24"/>
          <w:szCs w:val="24"/>
        </w:rPr>
        <w:t>日为投资人扣除权益并办理相应的登记手续。</w:t>
      </w:r>
    </w:p>
    <w:p>
      <w:pPr>
        <w:widowControl/>
        <w:adjustRightInd w:val="0"/>
        <w:snapToGrid w:val="0"/>
        <w:spacing w:line="360" w:lineRule="auto"/>
        <w:ind w:firstLine="480" w:firstLineChars="200"/>
        <w:rPr>
          <w:color w:val="000000"/>
          <w:sz w:val="24"/>
          <w:szCs w:val="24"/>
        </w:rPr>
      </w:pPr>
      <w:r>
        <w:rPr>
          <w:rFonts w:hAnsi="宋体"/>
          <w:color w:val="000000"/>
          <w:sz w:val="24"/>
          <w:szCs w:val="24"/>
        </w:rPr>
        <w:t>（</w:t>
      </w:r>
      <w:r>
        <w:rPr>
          <w:color w:val="000000"/>
          <w:sz w:val="24"/>
          <w:szCs w:val="24"/>
        </w:rPr>
        <w:t>3</w:t>
      </w:r>
      <w:r>
        <w:rPr>
          <w:rFonts w:hAnsi="宋体"/>
          <w:color w:val="000000"/>
          <w:sz w:val="24"/>
          <w:szCs w:val="24"/>
        </w:rPr>
        <w:t>）基金管理人可在法律法规允许的范围内，对上述登记办理时间进行调整，并于开始实施前按照《信息披露办法》的有关规定在指定媒介上公告并报中国证监会备案。</w:t>
      </w:r>
    </w:p>
    <w:p>
      <w:pPr>
        <w:widowControl/>
        <w:adjustRightInd w:val="0"/>
        <w:snapToGrid w:val="0"/>
        <w:spacing w:line="360" w:lineRule="auto"/>
        <w:ind w:firstLine="482" w:firstLineChars="200"/>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color w:val="000000"/>
          <w:sz w:val="24"/>
          <w:szCs w:val="24"/>
        </w:rPr>
      </w:pPr>
      <w:r>
        <w:rPr>
          <w:rFonts w:hAnsi="宋体"/>
          <w:color w:val="000000"/>
          <w:sz w:val="24"/>
          <w:szCs w:val="24"/>
        </w:rPr>
        <w:t>1、申购费用</w:t>
      </w:r>
    </w:p>
    <w:p>
      <w:pPr>
        <w:widowControl/>
        <w:adjustRightInd w:val="0"/>
        <w:snapToGrid w:val="0"/>
        <w:spacing w:line="360" w:lineRule="auto"/>
        <w:ind w:firstLine="480" w:firstLineChars="200"/>
        <w:rPr>
          <w:rFonts w:hAnsi="宋体"/>
          <w:color w:val="000000"/>
          <w:sz w:val="24"/>
          <w:szCs w:val="24"/>
        </w:rPr>
      </w:pPr>
      <w:r>
        <w:rPr>
          <w:rFonts w:hint="eastAsia" w:hAnsi="宋体"/>
          <w:color w:val="000000"/>
          <w:sz w:val="24"/>
          <w:szCs w:val="24"/>
        </w:rPr>
        <w:t>本基金</w:t>
      </w:r>
      <w:r>
        <w:rPr>
          <w:rFonts w:hAnsi="宋体"/>
          <w:color w:val="000000"/>
          <w:sz w:val="24"/>
          <w:szCs w:val="24"/>
        </w:rPr>
        <w:t>的申购费用由基金申购人承担，不列入基金财产，主要用于本基金的市场推广、销售、登记等各项费用。</w:t>
      </w:r>
    </w:p>
    <w:p>
      <w:pPr>
        <w:widowControl/>
        <w:adjustRightInd w:val="0"/>
        <w:snapToGrid w:val="0"/>
        <w:spacing w:line="360" w:lineRule="auto"/>
        <w:ind w:firstLine="480" w:firstLineChars="200"/>
        <w:rPr>
          <w:rFonts w:hAnsi="宋体"/>
          <w:color w:val="000000"/>
          <w:sz w:val="24"/>
          <w:szCs w:val="24"/>
        </w:rPr>
      </w:pPr>
      <w:r>
        <w:rPr>
          <w:rFonts w:hAnsi="宋体"/>
          <w:color w:val="000000"/>
          <w:sz w:val="24"/>
          <w:szCs w:val="24"/>
        </w:rPr>
        <w:t>投资人可以多次申购本基金，申购费</w:t>
      </w:r>
      <w:r>
        <w:rPr>
          <w:rFonts w:hint="eastAsia" w:hAnsi="宋体"/>
          <w:color w:val="000000"/>
          <w:sz w:val="24"/>
          <w:szCs w:val="24"/>
        </w:rPr>
        <w:t>用</w:t>
      </w:r>
      <w:r>
        <w:rPr>
          <w:rFonts w:hAnsi="宋体"/>
          <w:color w:val="000000"/>
          <w:sz w:val="24"/>
          <w:szCs w:val="24"/>
        </w:rPr>
        <w:t>按每笔申购申请单独计算。</w:t>
      </w:r>
    </w:p>
    <w:p>
      <w:pPr>
        <w:widowControl/>
        <w:adjustRightInd w:val="0"/>
        <w:snapToGrid w:val="0"/>
        <w:spacing w:line="360" w:lineRule="auto"/>
        <w:ind w:firstLine="480" w:firstLineChars="200"/>
        <w:rPr>
          <w:rFonts w:hAnsi="宋体"/>
          <w:color w:val="000000"/>
          <w:sz w:val="24"/>
          <w:szCs w:val="24"/>
        </w:rPr>
      </w:pPr>
      <w:r>
        <w:rPr>
          <w:rFonts w:hAnsi="宋体"/>
          <w:color w:val="000000"/>
          <w:sz w:val="24"/>
          <w:szCs w:val="24"/>
        </w:rPr>
        <w:t>本基金的</w:t>
      </w:r>
      <w:r>
        <w:rPr>
          <w:rFonts w:hint="eastAsia" w:hAnsi="宋体"/>
          <w:color w:val="000000"/>
          <w:sz w:val="24"/>
          <w:szCs w:val="24"/>
        </w:rPr>
        <w:t>场外</w:t>
      </w:r>
      <w:r>
        <w:rPr>
          <w:rFonts w:hAnsi="宋体"/>
          <w:color w:val="000000"/>
          <w:sz w:val="24"/>
          <w:szCs w:val="24"/>
        </w:rPr>
        <w:t>申购费率如下：</w:t>
      </w:r>
    </w:p>
    <w:tbl>
      <w:tblPr>
        <w:tblStyle w:val="28"/>
        <w:tblW w:w="801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91"/>
        <w:gridCol w:w="3260"/>
        <w:gridCol w:w="226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trPr>
        <w:tc>
          <w:tcPr>
            <w:tcW w:w="2491" w:type="dxa"/>
            <w:vMerge w:val="restart"/>
            <w:vAlign w:val="center"/>
          </w:tcPr>
          <w:p>
            <w:pPr>
              <w:adjustRightInd w:val="0"/>
              <w:snapToGrid w:val="0"/>
              <w:jc w:val="center"/>
              <w:rPr>
                <w:sz w:val="24"/>
              </w:rPr>
            </w:pPr>
            <w:r>
              <w:rPr>
                <w:sz w:val="24"/>
              </w:rPr>
              <w:t>申购费率</w:t>
            </w:r>
          </w:p>
        </w:tc>
        <w:tc>
          <w:tcPr>
            <w:tcW w:w="3260" w:type="dxa"/>
            <w:shd w:val="clear" w:color="auto" w:fill="FFFFFF"/>
            <w:vAlign w:val="center"/>
          </w:tcPr>
          <w:p>
            <w:pPr>
              <w:adjustRightInd w:val="0"/>
              <w:snapToGrid w:val="0"/>
              <w:jc w:val="center"/>
              <w:rPr>
                <w:b/>
                <w:sz w:val="24"/>
              </w:rPr>
            </w:pPr>
            <w:r>
              <w:rPr>
                <w:b/>
                <w:sz w:val="24"/>
              </w:rPr>
              <w:t>申购金额（含申购费）</w:t>
            </w:r>
          </w:p>
        </w:tc>
        <w:tc>
          <w:tcPr>
            <w:tcW w:w="2268" w:type="dxa"/>
            <w:shd w:val="clear" w:color="auto" w:fill="FFFFFF"/>
            <w:vAlign w:val="center"/>
          </w:tcPr>
          <w:p>
            <w:pPr>
              <w:adjustRightInd w:val="0"/>
              <w:snapToGrid w:val="0"/>
              <w:jc w:val="center"/>
              <w:rPr>
                <w:b/>
                <w:sz w:val="24"/>
              </w:rPr>
            </w:pPr>
            <w:r>
              <w:rPr>
                <w:rFonts w:hint="eastAsia"/>
                <w:b/>
                <w:sz w:val="24"/>
              </w:rPr>
              <w:t>场外</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w:t>
            </w:r>
            <w:r>
              <w:rPr>
                <w:rFonts w:hAnsi="宋体"/>
                <w:sz w:val="24"/>
              </w:rPr>
              <w:t>万元以下</w:t>
            </w:r>
          </w:p>
        </w:tc>
        <w:tc>
          <w:tcPr>
            <w:tcW w:w="2268" w:type="dxa"/>
            <w:vAlign w:val="center"/>
          </w:tcPr>
          <w:p>
            <w:pPr>
              <w:adjustRightInd w:val="0"/>
              <w:snapToGrid w:val="0"/>
              <w:jc w:val="center"/>
              <w:rPr>
                <w:sz w:val="24"/>
              </w:rPr>
            </w:pPr>
            <w:r>
              <w:rPr>
                <w:sz w:val="22"/>
                <w:szCs w:val="22"/>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w:t>
            </w:r>
            <w:r>
              <w:rPr>
                <w:rFonts w:hAnsi="宋体"/>
                <w:sz w:val="24"/>
              </w:rPr>
              <w:t>万元（含）至</w:t>
            </w:r>
            <w:r>
              <w:rPr>
                <w:sz w:val="24"/>
              </w:rPr>
              <w:t>100</w:t>
            </w:r>
            <w:r>
              <w:rPr>
                <w:rFonts w:hAnsi="宋体"/>
                <w:sz w:val="24"/>
              </w:rPr>
              <w:t>万元</w:t>
            </w:r>
          </w:p>
        </w:tc>
        <w:tc>
          <w:tcPr>
            <w:tcW w:w="2268" w:type="dxa"/>
            <w:vAlign w:val="center"/>
          </w:tcPr>
          <w:p>
            <w:pPr>
              <w:adjustRightInd w:val="0"/>
              <w:snapToGrid w:val="0"/>
              <w:jc w:val="center"/>
              <w:rPr>
                <w:sz w:val="24"/>
              </w:rPr>
            </w:pPr>
            <w:r>
              <w:rPr>
                <w:sz w:val="22"/>
                <w:szCs w:val="22"/>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268" w:type="dxa"/>
            <w:vAlign w:val="center"/>
          </w:tcPr>
          <w:p>
            <w:pPr>
              <w:adjustRightInd w:val="0"/>
              <w:snapToGrid w:val="0"/>
              <w:jc w:val="center"/>
              <w:rPr>
                <w:sz w:val="24"/>
              </w:rPr>
            </w:pPr>
            <w:r>
              <w:rPr>
                <w:sz w:val="22"/>
                <w:szCs w:val="22"/>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268" w:type="dxa"/>
            <w:vAlign w:val="center"/>
          </w:tcPr>
          <w:p>
            <w:pPr>
              <w:adjustRightInd w:val="0"/>
              <w:snapToGrid w:val="0"/>
              <w:jc w:val="center"/>
              <w:rPr>
                <w:sz w:val="24"/>
              </w:rPr>
            </w:pPr>
            <w:r>
              <w:rPr>
                <w:sz w:val="22"/>
                <w:szCs w:val="22"/>
              </w:rPr>
              <w:t>0.4%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p>
        </w:tc>
        <w:tc>
          <w:tcPr>
            <w:tcW w:w="2268" w:type="dxa"/>
            <w:vAlign w:val="center"/>
          </w:tcPr>
          <w:p>
            <w:pPr>
              <w:adjustRightInd w:val="0"/>
              <w:snapToGrid w:val="0"/>
              <w:jc w:val="center"/>
              <w:rPr>
                <w:sz w:val="24"/>
              </w:rPr>
            </w:pPr>
            <w:r>
              <w:rPr>
                <w:rFonts w:hAnsi="宋体"/>
                <w:sz w:val="22"/>
                <w:szCs w:val="22"/>
              </w:rPr>
              <w:t>每笔交易</w:t>
            </w:r>
            <w:r>
              <w:rPr>
                <w:sz w:val="22"/>
                <w:szCs w:val="22"/>
              </w:rPr>
              <w:t>1000</w:t>
            </w:r>
            <w:r>
              <w:rPr>
                <w:rFonts w:hAnsi="宋体"/>
                <w:sz w:val="22"/>
                <w:szCs w:val="22"/>
              </w:rPr>
              <w:t>元</w:t>
            </w:r>
          </w:p>
        </w:tc>
      </w:tr>
    </w:tbl>
    <w:p>
      <w:pPr>
        <w:widowControl/>
        <w:adjustRightInd w:val="0"/>
        <w:snapToGrid w:val="0"/>
        <w:spacing w:line="360" w:lineRule="auto"/>
        <w:ind w:firstLine="480" w:firstLineChars="200"/>
        <w:rPr>
          <w:rFonts w:hAnsi="宋体"/>
          <w:sz w:val="24"/>
          <w:szCs w:val="24"/>
        </w:rPr>
      </w:pPr>
      <w:r>
        <w:rPr>
          <w:rFonts w:hint="eastAsia" w:hAnsi="宋体"/>
          <w:kern w:val="0"/>
          <w:sz w:val="24"/>
          <w:szCs w:val="24"/>
        </w:rPr>
        <w:t>本基金的场内申购费率由场内销售机构参照上表场外申购费率设定。</w:t>
      </w:r>
    </w:p>
    <w:p>
      <w:pPr>
        <w:widowControl/>
        <w:adjustRightInd w:val="0"/>
        <w:snapToGrid w:val="0"/>
        <w:spacing w:line="360" w:lineRule="auto"/>
        <w:ind w:firstLine="480" w:firstLineChars="200"/>
        <w:rPr>
          <w:sz w:val="24"/>
          <w:szCs w:val="24"/>
        </w:rPr>
      </w:pPr>
      <w:r>
        <w:rPr>
          <w:rFonts w:hint="eastAsia" w:hAnsi="宋体"/>
          <w:sz w:val="24"/>
          <w:szCs w:val="24"/>
        </w:rPr>
        <w:t>因红利自动再投资而产生的基金份额，不收取相应的申购费用。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1）全国社会保障基金；</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2）可以投资基金的地方社会保障基金；</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3）企业年金单一计划以及集合计划；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如将来出现经养老基金监管部门认可的新的养老基金类型，本公司可在招募说明书更新或发布临时公告将其纳入养老金客户范围，并按规定向中国证监会备案。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通过基金管理人直销柜台申购本基金基金</w:t>
      </w:r>
      <w:r>
        <w:rPr>
          <w:rFonts w:hAnsi="宋体"/>
          <w:kern w:val="0"/>
          <w:sz w:val="24"/>
          <w:szCs w:val="24"/>
        </w:rPr>
        <w:t>份额</w:t>
      </w:r>
      <w:r>
        <w:rPr>
          <w:rFonts w:hint="eastAsia" w:hAnsi="宋体"/>
          <w:kern w:val="0"/>
          <w:sz w:val="24"/>
          <w:szCs w:val="24"/>
        </w:rPr>
        <w:t>的养老金客户特定申购费率如下表：</w:t>
      </w:r>
    </w:p>
    <w:tbl>
      <w:tblPr>
        <w:tblStyle w:val="28"/>
        <w:tblW w:w="801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91"/>
        <w:gridCol w:w="3260"/>
        <w:gridCol w:w="226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491" w:type="dxa"/>
            <w:vMerge w:val="restart"/>
            <w:vAlign w:val="center"/>
          </w:tcPr>
          <w:p>
            <w:pPr>
              <w:adjustRightInd w:val="0"/>
              <w:snapToGrid w:val="0"/>
              <w:jc w:val="center"/>
              <w:rPr>
                <w:sz w:val="24"/>
              </w:rPr>
            </w:pPr>
            <w:r>
              <w:rPr>
                <w:sz w:val="24"/>
              </w:rPr>
              <w:t>申购费率</w:t>
            </w:r>
          </w:p>
        </w:tc>
        <w:tc>
          <w:tcPr>
            <w:tcW w:w="3260" w:type="dxa"/>
            <w:shd w:val="clear" w:color="auto" w:fill="FFFFFF"/>
            <w:vAlign w:val="center"/>
          </w:tcPr>
          <w:p>
            <w:pPr>
              <w:adjustRightInd w:val="0"/>
              <w:snapToGrid w:val="0"/>
              <w:jc w:val="center"/>
              <w:rPr>
                <w:b/>
                <w:sz w:val="24"/>
              </w:rPr>
            </w:pPr>
            <w:r>
              <w:rPr>
                <w:b/>
                <w:sz w:val="24"/>
              </w:rPr>
              <w:t>申购金额（含申购费）</w:t>
            </w:r>
          </w:p>
        </w:tc>
        <w:tc>
          <w:tcPr>
            <w:tcW w:w="2268" w:type="dxa"/>
            <w:shd w:val="clear" w:color="auto" w:fill="FFFFFF"/>
            <w:vAlign w:val="center"/>
          </w:tcPr>
          <w:p>
            <w:pPr>
              <w:adjustRightInd w:val="0"/>
              <w:snapToGrid w:val="0"/>
              <w:jc w:val="center"/>
              <w:rPr>
                <w:b/>
                <w:sz w:val="24"/>
              </w:rPr>
            </w:pPr>
            <w:r>
              <w:rPr>
                <w:rFonts w:hint="eastAsia"/>
                <w:b/>
                <w:sz w:val="24"/>
              </w:rPr>
              <w:t>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w:t>
            </w:r>
            <w:r>
              <w:rPr>
                <w:rFonts w:hAnsi="宋体"/>
                <w:sz w:val="24"/>
              </w:rPr>
              <w:t>万元以下</w:t>
            </w:r>
          </w:p>
        </w:tc>
        <w:tc>
          <w:tcPr>
            <w:tcW w:w="2268" w:type="dxa"/>
          </w:tcPr>
          <w:p>
            <w:pPr>
              <w:adjustRightInd w:val="0"/>
              <w:snapToGrid w:val="0"/>
              <w:jc w:val="center"/>
              <w:rPr>
                <w:sz w:val="24"/>
              </w:rPr>
            </w:pPr>
            <w:r>
              <w:rPr>
                <w:sz w:val="24"/>
              </w:rPr>
              <w:t>0.24%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w:t>
            </w:r>
            <w:r>
              <w:rPr>
                <w:rFonts w:hAnsi="宋体"/>
                <w:sz w:val="24"/>
              </w:rPr>
              <w:t>万元（含）至</w:t>
            </w:r>
            <w:r>
              <w:rPr>
                <w:sz w:val="24"/>
              </w:rPr>
              <w:t>100</w:t>
            </w:r>
            <w:r>
              <w:rPr>
                <w:rFonts w:hAnsi="宋体"/>
                <w:sz w:val="24"/>
              </w:rPr>
              <w:t>万元</w:t>
            </w:r>
          </w:p>
        </w:tc>
        <w:tc>
          <w:tcPr>
            <w:tcW w:w="2268" w:type="dxa"/>
          </w:tcPr>
          <w:p>
            <w:pPr>
              <w:adjustRightInd w:val="0"/>
              <w:snapToGrid w:val="0"/>
              <w:jc w:val="center"/>
              <w:rPr>
                <w:sz w:val="24"/>
              </w:rPr>
            </w:pPr>
            <w:r>
              <w:rPr>
                <w:sz w:val="24"/>
              </w:rPr>
              <w:t>0.16%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268" w:type="dxa"/>
          </w:tcPr>
          <w:p>
            <w:pPr>
              <w:adjustRightInd w:val="0"/>
              <w:snapToGrid w:val="0"/>
              <w:jc w:val="center"/>
              <w:rPr>
                <w:sz w:val="24"/>
              </w:rPr>
            </w:pPr>
            <w:r>
              <w:rPr>
                <w:sz w:val="24"/>
              </w:rPr>
              <w:t>0.12%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268" w:type="dxa"/>
          </w:tcPr>
          <w:p>
            <w:pPr>
              <w:adjustRightInd w:val="0"/>
              <w:snapToGrid w:val="0"/>
              <w:jc w:val="center"/>
              <w:rPr>
                <w:sz w:val="24"/>
              </w:rPr>
            </w:pPr>
            <w:r>
              <w:rPr>
                <w:sz w:val="24"/>
              </w:rPr>
              <w:t>0.08%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p>
        </w:tc>
        <w:tc>
          <w:tcPr>
            <w:tcW w:w="2268"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pPr>
        <w:widowControl/>
        <w:adjustRightInd w:val="0"/>
        <w:snapToGrid w:val="0"/>
        <w:spacing w:line="360" w:lineRule="auto"/>
        <w:ind w:firstLine="480" w:firstLineChars="200"/>
        <w:rPr>
          <w:rFonts w:hAnsi="宋体"/>
          <w:color w:val="000000"/>
          <w:sz w:val="24"/>
          <w:szCs w:val="24"/>
        </w:rPr>
      </w:pPr>
      <w:r>
        <w:rPr>
          <w:rFonts w:hint="eastAsia" w:hAnsi="宋体"/>
          <w:color w:val="000000"/>
          <w:sz w:val="24"/>
          <w:szCs w:val="24"/>
        </w:rPr>
        <w:t>2）通过本基金管理人网上直销交易平台办理本基金</w:t>
      </w:r>
      <w:r>
        <w:rPr>
          <w:rFonts w:hAnsi="宋体"/>
          <w:color w:val="000000"/>
          <w:sz w:val="24"/>
          <w:szCs w:val="24"/>
        </w:rPr>
        <w:t>基金份额</w:t>
      </w:r>
      <w:r>
        <w:rPr>
          <w:rFonts w:hint="eastAsia" w:hAnsi="宋体"/>
          <w:color w:val="000000"/>
          <w:sz w:val="24"/>
          <w:szCs w:val="24"/>
        </w:rPr>
        <w:t>申购业务的个人投资者享受申购费率优惠，赎回费率标准不变。具体优惠费率请参见本基金管理人网站列示的网上直销交易平台申购费率表或相关公告。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本公司基金网上直销业务已开通的银行卡及各银行卡交易金额限额请参阅本公司网站。</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本基金管理人可根据业务情况调整上述交易费用和限额要求，并依据相关法规的要求提前进行公告。</w:t>
      </w:r>
    </w:p>
    <w:p>
      <w:pPr>
        <w:widowControl/>
        <w:adjustRightInd w:val="0"/>
        <w:snapToGrid w:val="0"/>
        <w:spacing w:line="360" w:lineRule="auto"/>
        <w:ind w:firstLine="480" w:firstLineChars="200"/>
        <w:rPr>
          <w:kern w:val="0"/>
          <w:sz w:val="24"/>
          <w:szCs w:val="24"/>
        </w:rPr>
      </w:pPr>
      <w:r>
        <w:rPr>
          <w:kern w:val="0"/>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本基金的</w:t>
      </w: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赎回费总额的</w:t>
      </w:r>
      <w:r>
        <w:rPr>
          <w:sz w:val="24"/>
          <w:szCs w:val="24"/>
        </w:rPr>
        <w:t>25%</w:t>
      </w:r>
      <w:r>
        <w:rPr>
          <w:rFonts w:hAnsi="宋体"/>
          <w:sz w:val="24"/>
          <w:szCs w:val="24"/>
        </w:rPr>
        <w:t>应归基金财产</w:t>
      </w:r>
      <w:r>
        <w:rPr>
          <w:rFonts w:hint="eastAsia" w:hAnsi="宋体"/>
          <w:sz w:val="24"/>
          <w:szCs w:val="24"/>
        </w:rPr>
        <w:t>，</w:t>
      </w:r>
      <w:r>
        <w:rPr>
          <w:rFonts w:hAnsi="宋体"/>
          <w:sz w:val="24"/>
          <w:szCs w:val="24"/>
        </w:rPr>
        <w:t>其余用于支付登记费和其他必要的手续费。</w:t>
      </w:r>
      <w:r>
        <w:rPr>
          <w:rFonts w:hint="eastAsia" w:hAnsi="宋体"/>
          <w:sz w:val="24"/>
          <w:szCs w:val="24"/>
        </w:rPr>
        <w:t>其中，对持续持有期少于7日的投资者收取不低于1.5%的赎回费并全额计入基金财产。</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本基金的场外赎回费率如下：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vAlign w:val="center"/>
          </w:tcPr>
          <w:p>
            <w:pPr>
              <w:adjustRightInd w:val="0"/>
              <w:snapToGrid w:val="0"/>
              <w:jc w:val="center"/>
              <w:rPr>
                <w:sz w:val="24"/>
              </w:rPr>
            </w:pPr>
            <w:r>
              <w:rPr>
                <w:rFonts w:hAnsi="宋体"/>
                <w:sz w:val="24"/>
              </w:rPr>
              <w:t>赎回费率</w:t>
            </w:r>
          </w:p>
        </w:tc>
        <w:tc>
          <w:tcPr>
            <w:tcW w:w="3240" w:type="dxa"/>
            <w:shd w:val="clear" w:color="auto" w:fill="FFFFFF"/>
            <w:vAlign w:val="center"/>
          </w:tcPr>
          <w:p>
            <w:pPr>
              <w:adjustRightInd w:val="0"/>
              <w:snapToGrid w:val="0"/>
              <w:jc w:val="center"/>
              <w:rPr>
                <w:b/>
                <w:sz w:val="24"/>
              </w:rPr>
            </w:pPr>
            <w:r>
              <w:rPr>
                <w:rFonts w:hAnsi="宋体"/>
                <w:b/>
                <w:sz w:val="24"/>
              </w:rPr>
              <w:t>持有期限</w:t>
            </w:r>
          </w:p>
        </w:tc>
        <w:tc>
          <w:tcPr>
            <w:tcW w:w="1926" w:type="dxa"/>
            <w:shd w:val="clear" w:color="auto" w:fill="FFFFFF"/>
            <w:vAlign w:val="center"/>
          </w:tcPr>
          <w:p>
            <w:pPr>
              <w:adjustRightInd w:val="0"/>
              <w:snapToGrid w:val="0"/>
              <w:jc w:val="center"/>
              <w:rPr>
                <w:b/>
                <w:sz w:val="24"/>
              </w:rPr>
            </w:pP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w:t>
            </w:r>
            <w:r>
              <w:rPr>
                <w:sz w:val="24"/>
              </w:rPr>
              <w:t>日以内</w:t>
            </w:r>
          </w:p>
        </w:tc>
        <w:tc>
          <w:tcPr>
            <w:tcW w:w="1926"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7</w:t>
            </w:r>
            <w:r>
              <w:rPr>
                <w:rFonts w:hint="eastAsia"/>
                <w:sz w:val="24"/>
              </w:rPr>
              <w:t>日（含</w:t>
            </w:r>
            <w:r>
              <w:rPr>
                <w:sz w:val="24"/>
              </w:rPr>
              <w:t>）—1</w:t>
            </w:r>
            <w:r>
              <w:rPr>
                <w:rFonts w:hAnsi="宋体"/>
                <w:sz w:val="24"/>
              </w:rPr>
              <w:t>年（含）</w:t>
            </w:r>
          </w:p>
        </w:tc>
        <w:tc>
          <w:tcPr>
            <w:tcW w:w="1926" w:type="dxa"/>
          </w:tcPr>
          <w:p>
            <w:pPr>
              <w:adjustRightInd w:val="0"/>
              <w:snapToGrid w:val="0"/>
              <w:jc w:val="center"/>
              <w:rPr>
                <w:sz w:val="24"/>
              </w:rPr>
            </w:pPr>
            <w:r>
              <w:rPr>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1</w:t>
            </w:r>
            <w:r>
              <w:rPr>
                <w:rFonts w:hAnsi="宋体"/>
                <w:sz w:val="24"/>
              </w:rPr>
              <w:t>年</w:t>
            </w:r>
            <w:r>
              <w:rPr>
                <w:sz w:val="24"/>
              </w:rPr>
              <w:t>—2</w:t>
            </w:r>
            <w:r>
              <w:rPr>
                <w:rFonts w:hAnsi="宋体"/>
                <w:sz w:val="24"/>
              </w:rPr>
              <w:t>年（含）</w:t>
            </w:r>
          </w:p>
        </w:tc>
        <w:tc>
          <w:tcPr>
            <w:tcW w:w="1926" w:type="dxa"/>
          </w:tcPr>
          <w:p>
            <w:pPr>
              <w:adjustRightInd w:val="0"/>
              <w:snapToGrid w:val="0"/>
              <w:jc w:val="center"/>
              <w:rPr>
                <w:sz w:val="24"/>
              </w:rPr>
            </w:pPr>
            <w:r>
              <w:rPr>
                <w:sz w:val="24"/>
              </w:rPr>
              <w:t>0.2%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2</w:t>
            </w:r>
            <w:r>
              <w:rPr>
                <w:rFonts w:hAnsi="宋体"/>
                <w:sz w:val="24"/>
              </w:rPr>
              <w:t>年以上</w:t>
            </w:r>
          </w:p>
        </w:tc>
        <w:tc>
          <w:tcPr>
            <w:tcW w:w="1926" w:type="dxa"/>
          </w:tcPr>
          <w:p>
            <w:pPr>
              <w:adjustRightInd w:val="0"/>
              <w:snapToGrid w:val="0"/>
              <w:jc w:val="center"/>
              <w:rPr>
                <w:sz w:val="24"/>
              </w:rPr>
            </w:pPr>
            <w:r>
              <w:rPr>
                <w:sz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上表中的“年”指的是365个自然日。场外赎回</w:t>
      </w:r>
      <w:r>
        <w:rPr>
          <w:rFonts w:hint="eastAsia" w:hAnsi="宋体"/>
          <w:sz w:val="24"/>
          <w:szCs w:val="24"/>
        </w:rPr>
        <w:t>基金</w:t>
      </w:r>
      <w:r>
        <w:rPr>
          <w:rFonts w:hAnsi="宋体"/>
          <w:sz w:val="24"/>
          <w:szCs w:val="24"/>
        </w:rPr>
        <w:t>份额</w:t>
      </w:r>
      <w:r>
        <w:rPr>
          <w:rFonts w:hint="eastAsia" w:hAnsi="宋体"/>
          <w:sz w:val="24"/>
          <w:szCs w:val="24"/>
        </w:rPr>
        <w:t>时，其</w:t>
      </w:r>
      <w:r>
        <w:rPr>
          <w:rFonts w:hint="eastAsia" w:hAnsi="宋体"/>
          <w:kern w:val="0"/>
          <w:sz w:val="24"/>
          <w:szCs w:val="24"/>
        </w:rPr>
        <w:t>持有期限的计算以中国证券登记结算有限责任公司的相关业务规则为准。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本基金的场内赎回费率如下：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vAlign w:val="center"/>
          </w:tcPr>
          <w:p>
            <w:pPr>
              <w:adjustRightInd w:val="0"/>
              <w:snapToGrid w:val="0"/>
              <w:jc w:val="center"/>
              <w:rPr>
                <w:sz w:val="24"/>
              </w:rPr>
            </w:pPr>
            <w:r>
              <w:rPr>
                <w:rFonts w:hAnsi="宋体"/>
                <w:sz w:val="24"/>
              </w:rPr>
              <w:t>赎回费率</w:t>
            </w:r>
          </w:p>
        </w:tc>
        <w:tc>
          <w:tcPr>
            <w:tcW w:w="3240" w:type="dxa"/>
            <w:shd w:val="clear" w:color="auto" w:fill="FFFFFF"/>
            <w:vAlign w:val="center"/>
          </w:tcPr>
          <w:p>
            <w:pPr>
              <w:adjustRightInd w:val="0"/>
              <w:snapToGrid w:val="0"/>
              <w:jc w:val="center"/>
              <w:rPr>
                <w:b/>
                <w:sz w:val="24"/>
              </w:rPr>
            </w:pPr>
            <w:r>
              <w:rPr>
                <w:rFonts w:hAnsi="宋体"/>
                <w:b/>
                <w:sz w:val="24"/>
              </w:rPr>
              <w:t>持有期限</w:t>
            </w:r>
          </w:p>
        </w:tc>
        <w:tc>
          <w:tcPr>
            <w:tcW w:w="1926" w:type="dxa"/>
            <w:shd w:val="clear" w:color="auto" w:fill="FFFFFF"/>
            <w:vAlign w:val="center"/>
          </w:tcPr>
          <w:p>
            <w:pPr>
              <w:adjustRightInd w:val="0"/>
              <w:snapToGrid w:val="0"/>
              <w:jc w:val="center"/>
              <w:rPr>
                <w:b/>
                <w:sz w:val="24"/>
              </w:rPr>
            </w:pP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w:t>
            </w:r>
            <w:r>
              <w:rPr>
                <w:sz w:val="24"/>
              </w:rPr>
              <w:t>日以内</w:t>
            </w:r>
          </w:p>
        </w:tc>
        <w:tc>
          <w:tcPr>
            <w:tcW w:w="1926"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7</w:t>
            </w:r>
            <w:r>
              <w:rPr>
                <w:rFonts w:hint="eastAsia" w:hAnsi="宋体"/>
                <w:sz w:val="24"/>
              </w:rPr>
              <w:t>日</w:t>
            </w:r>
            <w:r>
              <w:rPr>
                <w:rFonts w:hAnsi="宋体"/>
                <w:sz w:val="24"/>
              </w:rPr>
              <w:t>以上</w:t>
            </w:r>
            <w:r>
              <w:rPr>
                <w:rFonts w:hint="eastAsia" w:hAnsi="宋体"/>
                <w:sz w:val="24"/>
              </w:rPr>
              <w:t>（含</w:t>
            </w:r>
            <w:r>
              <w:rPr>
                <w:rFonts w:hAnsi="宋体"/>
                <w:sz w:val="24"/>
              </w:rPr>
              <w:t>）</w:t>
            </w:r>
          </w:p>
        </w:tc>
        <w:tc>
          <w:tcPr>
            <w:tcW w:w="1926" w:type="dxa"/>
          </w:tcPr>
          <w:p>
            <w:pPr>
              <w:adjustRightInd w:val="0"/>
              <w:snapToGrid w:val="0"/>
              <w:jc w:val="center"/>
              <w:rPr>
                <w:sz w:val="24"/>
              </w:rPr>
            </w:pPr>
            <w:r>
              <w:rPr>
                <w:sz w:val="24"/>
              </w:rPr>
              <w:t>0</w:t>
            </w:r>
            <w:r>
              <w:rPr>
                <w:rFonts w:hint="eastAsia"/>
                <w:sz w:val="24"/>
              </w:rPr>
              <w:t>.</w:t>
            </w:r>
            <w:r>
              <w:rPr>
                <w:sz w:val="24"/>
              </w:rPr>
              <w:t>5%</w:t>
            </w:r>
          </w:p>
        </w:tc>
      </w:tr>
    </w:tbl>
    <w:p>
      <w:pPr>
        <w:widowControl/>
        <w:adjustRightInd w:val="0"/>
        <w:snapToGrid w:val="0"/>
        <w:spacing w:line="360" w:lineRule="auto"/>
        <w:ind w:firstLine="480" w:firstLineChars="200"/>
        <w:rPr>
          <w:rFonts w:hAnsi="宋体"/>
          <w:kern w:val="0"/>
          <w:sz w:val="24"/>
          <w:szCs w:val="24"/>
        </w:rPr>
      </w:pP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3、基金管理人可以在基金合同约定的范围内调整费率或收费方式，并最迟应于新的费率或收费方式实施日前依照《信息披露办法》的有关规定在指定媒介上公告。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rPr>
          <w:b/>
          <w:kern w:val="0"/>
          <w:sz w:val="24"/>
          <w:szCs w:val="24"/>
        </w:rPr>
      </w:pPr>
      <w:bookmarkStart w:id="36" w:name="_Hlt81024033"/>
      <w:bookmarkEnd w:id="36"/>
      <w:bookmarkStart w:id="37" w:name="_Hlt91144389"/>
      <w:bookmarkEnd w:id="37"/>
      <w:bookmarkStart w:id="38" w:name="_Hlt90458725"/>
      <w:bookmarkEnd w:id="38"/>
      <w:r>
        <w:rPr>
          <w:rFonts w:hAnsi="宋体"/>
          <w:b/>
          <w:kern w:val="0"/>
          <w:sz w:val="24"/>
          <w:szCs w:val="24"/>
        </w:rPr>
        <w:t>（七）申购和赎回的数额和价格</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（1）申购的有效份额为净申购金额除以当日的</w:t>
      </w:r>
      <w:r>
        <w:rPr>
          <w:rFonts w:hint="eastAsia" w:hAnsi="宋体"/>
          <w:kern w:val="0"/>
          <w:sz w:val="24"/>
          <w:szCs w:val="24"/>
        </w:rPr>
        <w:t>基金</w:t>
      </w:r>
      <w:r>
        <w:rPr>
          <w:rFonts w:hAnsi="宋体"/>
          <w:kern w:val="0"/>
          <w:sz w:val="24"/>
          <w:szCs w:val="24"/>
        </w:rPr>
        <w:t>份额净值，有效份额单位为份，</w:t>
      </w:r>
      <w:r>
        <w:rPr>
          <w:rFonts w:hint="eastAsia" w:hAnsi="宋体"/>
          <w:kern w:val="0"/>
          <w:sz w:val="24"/>
          <w:szCs w:val="24"/>
        </w:rPr>
        <w:t>场外申购份额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r>
        <w:rPr>
          <w:rFonts w:hint="eastAsia" w:hAnsi="宋体"/>
          <w:kern w:val="0"/>
          <w:sz w:val="24"/>
          <w:szCs w:val="24"/>
        </w:rPr>
        <w:t>，场内申购份额计算结果采用截位的方式，保留到整数位，剩余部分折回金额返还至投资人资金账户。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（2）赎回金额为按实际确认的有效赎回份额乘以当日基金份额净值并扣除相应的费用</w:t>
      </w:r>
      <w:r>
        <w:rPr>
          <w:rFonts w:hAnsi="宋体"/>
          <w:sz w:val="24"/>
          <w:szCs w:val="24"/>
        </w:rPr>
        <w:t>（如有）</w:t>
      </w:r>
      <w:r>
        <w:rPr>
          <w:rFonts w:hAnsi="宋体"/>
          <w:kern w:val="0"/>
          <w:sz w:val="24"/>
          <w:szCs w:val="24"/>
        </w:rPr>
        <w:t>，赎回金额单位为元。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、申购份额的计算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申购份额=（申购总金额-申购费用）/ T日基金份额净值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例一：某投资者</w:t>
      </w:r>
      <w:r>
        <w:rPr>
          <w:rFonts w:hint="eastAsia" w:ascii="宋体" w:hAnsi="宋体"/>
          <w:sz w:val="24"/>
        </w:rPr>
        <w:t>（非养老金客户）</w:t>
      </w:r>
      <w:r>
        <w:rPr>
          <w:rFonts w:hint="eastAsia" w:hAnsi="宋体"/>
          <w:kern w:val="0"/>
          <w:sz w:val="24"/>
          <w:szCs w:val="24"/>
        </w:rPr>
        <w:t xml:space="preserve">投资50,000元场外申购本基金，假设申购当日基金份额净值为1.040元，申购费率为1.2%，则其可得到的申购份额为：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申购总金额＝50,000元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净申购金额=50,000/（1+1.2%）=49,407.11元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申购费用=50,000-49,407.11=592.89元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申购份额=（50,000-592.89）/1.040=47,506.84份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w:t>
      </w:r>
      <w:r>
        <w:rPr>
          <w:rFonts w:hint="eastAsia" w:ascii="宋体" w:hAnsi="宋体"/>
          <w:sz w:val="24"/>
        </w:rPr>
        <w:t>（非养老金客户）投资</w:t>
      </w:r>
      <w:r>
        <w:rPr>
          <w:rFonts w:hint="eastAsia" w:hAnsi="宋体"/>
          <w:kern w:val="0"/>
          <w:sz w:val="24"/>
          <w:szCs w:val="24"/>
        </w:rPr>
        <w:t>50,000元场外申购本基金，假设申购当日基金份额净值为1.040元，则其可得到47,506.84</w:t>
      </w:r>
      <w:r>
        <w:rPr>
          <w:rFonts w:hAnsi="宋体"/>
          <w:kern w:val="0"/>
          <w:sz w:val="24"/>
          <w:szCs w:val="24"/>
        </w:rPr>
        <w:t>份</w:t>
      </w:r>
      <w:r>
        <w:rPr>
          <w:rFonts w:hint="eastAsia" w:hAnsi="宋体"/>
          <w:kern w:val="0"/>
          <w:sz w:val="24"/>
          <w:szCs w:val="24"/>
        </w:rPr>
        <w:t>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如果投资者是场内申购，则申购份额为47,506份，其余0.84份对应金额返回给投资者。退款金额具体计算如下：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实际净申购金额=47,506×1.040=49,406.24元</w:t>
      </w:r>
    </w:p>
    <w:p>
      <w:pPr>
        <w:widowControl/>
        <w:adjustRightInd w:val="0"/>
        <w:snapToGrid w:val="0"/>
        <w:spacing w:line="360" w:lineRule="auto"/>
        <w:ind w:firstLine="480" w:firstLineChars="200"/>
        <w:rPr>
          <w:rFonts w:hAnsi="宋体"/>
          <w:color w:val="FF0000"/>
          <w:kern w:val="0"/>
          <w:sz w:val="24"/>
          <w:szCs w:val="24"/>
        </w:rPr>
      </w:pPr>
      <w:r>
        <w:rPr>
          <w:rFonts w:hint="eastAsia" w:hAnsi="宋体"/>
          <w:kern w:val="0"/>
          <w:sz w:val="24"/>
          <w:szCs w:val="24"/>
        </w:rPr>
        <w:t>对应返还申购金额=50,000-49,406.24-592.89=0.87元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二</w:t>
      </w:r>
      <w:r>
        <w:rPr>
          <w:rFonts w:hAnsi="宋体"/>
          <w:kern w:val="0"/>
          <w:sz w:val="24"/>
          <w:szCs w:val="24"/>
        </w:rPr>
        <w:t>：某</w:t>
      </w:r>
      <w:r>
        <w:rPr>
          <w:rFonts w:hint="eastAsia" w:ascii="宋体" w:hAnsi="宋体"/>
          <w:sz w:val="24"/>
        </w:rPr>
        <w:t>养老金客户</w:t>
      </w:r>
      <w:r>
        <w:rPr>
          <w:rFonts w:hAnsi="宋体"/>
          <w:kern w:val="0"/>
          <w:sz w:val="24"/>
          <w:szCs w:val="24"/>
        </w:rPr>
        <w:t>投资</w:t>
      </w:r>
      <w:r>
        <w:rPr>
          <w:rFonts w:hint="eastAsia" w:hAnsi="宋体"/>
          <w:kern w:val="0"/>
          <w:sz w:val="24"/>
          <w:szCs w:val="24"/>
        </w:rPr>
        <w:t>100</w:t>
      </w:r>
      <w:r>
        <w:rPr>
          <w:rFonts w:hAnsi="宋体"/>
          <w:kern w:val="0"/>
          <w:sz w:val="24"/>
          <w:szCs w:val="24"/>
        </w:rPr>
        <w:t>,000元</w:t>
      </w:r>
      <w:r>
        <w:rPr>
          <w:rFonts w:hint="eastAsia"/>
          <w:color w:val="000000"/>
          <w:sz w:val="24"/>
          <w:szCs w:val="24"/>
        </w:rPr>
        <w:t>通过基金管理人的直销柜台</w:t>
      </w:r>
      <w:r>
        <w:rPr>
          <w:rFonts w:hAnsi="宋体"/>
          <w:kern w:val="0"/>
          <w:sz w:val="24"/>
          <w:szCs w:val="24"/>
        </w:rPr>
        <w:t>申购</w:t>
      </w:r>
      <w:r>
        <w:rPr>
          <w:rFonts w:hint="eastAsia" w:hAnsi="宋体"/>
          <w:kern w:val="0"/>
          <w:sz w:val="24"/>
          <w:szCs w:val="24"/>
        </w:rPr>
        <w:t>本基金</w:t>
      </w:r>
      <w:r>
        <w:rPr>
          <w:rFonts w:hAnsi="宋体"/>
          <w:kern w:val="0"/>
          <w:sz w:val="24"/>
          <w:szCs w:val="24"/>
        </w:rPr>
        <w:t>，假设申购当日基金份额净值为1.040元，申购费率为</w:t>
      </w:r>
      <w:r>
        <w:rPr>
          <w:rFonts w:hint="eastAsia" w:hAnsi="宋体"/>
          <w:kern w:val="0"/>
          <w:sz w:val="24"/>
          <w:szCs w:val="24"/>
        </w:rPr>
        <w:t>0.24</w:t>
      </w:r>
      <w:r>
        <w:rPr>
          <w:rFonts w:hAnsi="宋体"/>
          <w:kern w:val="0"/>
          <w:sz w:val="24"/>
          <w:szCs w:val="24"/>
        </w:rPr>
        <w:t xml:space="preserve">%，则其可得到的申购份额为： </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100</w:t>
      </w:r>
      <w:r>
        <w:rPr>
          <w:rFonts w:hAnsi="宋体"/>
          <w:kern w:val="0"/>
          <w:sz w:val="24"/>
          <w:szCs w:val="24"/>
        </w:rPr>
        <w:t>,000元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100</w:t>
      </w:r>
      <w:r>
        <w:rPr>
          <w:rFonts w:hAnsi="宋体"/>
          <w:kern w:val="0"/>
          <w:sz w:val="24"/>
          <w:szCs w:val="24"/>
        </w:rPr>
        <w:t>,000/（1+</w:t>
      </w:r>
      <w:r>
        <w:rPr>
          <w:rFonts w:hint="eastAsia" w:hAnsi="宋体"/>
          <w:kern w:val="0"/>
          <w:sz w:val="24"/>
          <w:szCs w:val="24"/>
        </w:rPr>
        <w:t>0.24</w:t>
      </w:r>
      <w:r>
        <w:rPr>
          <w:rFonts w:hAnsi="宋体"/>
          <w:kern w:val="0"/>
          <w:sz w:val="24"/>
          <w:szCs w:val="24"/>
        </w:rPr>
        <w:t>%）=</w:t>
      </w:r>
      <w:r>
        <w:rPr>
          <w:rFonts w:hint="eastAsia" w:hAnsi="宋体"/>
          <w:kern w:val="0"/>
          <w:sz w:val="24"/>
          <w:szCs w:val="24"/>
        </w:rPr>
        <w:t>99,760.57</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100</w:t>
      </w:r>
      <w:r>
        <w:rPr>
          <w:rFonts w:hAnsi="宋体"/>
          <w:kern w:val="0"/>
          <w:sz w:val="24"/>
          <w:szCs w:val="24"/>
        </w:rPr>
        <w:t>,000-99,760.57=</w:t>
      </w:r>
      <w:r>
        <w:rPr>
          <w:rFonts w:hint="eastAsia" w:hAnsi="宋体"/>
          <w:kern w:val="0"/>
          <w:sz w:val="24"/>
          <w:szCs w:val="24"/>
        </w:rPr>
        <w:t>239.43</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（100</w:t>
      </w:r>
      <w:r>
        <w:rPr>
          <w:rFonts w:hAnsi="宋体"/>
          <w:kern w:val="0"/>
          <w:sz w:val="24"/>
          <w:szCs w:val="24"/>
        </w:rPr>
        <w:t>,000</w:t>
      </w:r>
      <w:r>
        <w:rPr>
          <w:rFonts w:hint="eastAsia" w:hAnsi="宋体"/>
          <w:kern w:val="0"/>
          <w:sz w:val="24"/>
          <w:szCs w:val="24"/>
        </w:rPr>
        <w:t>-239.43）</w:t>
      </w:r>
      <w:r>
        <w:rPr>
          <w:rFonts w:hAnsi="宋体"/>
          <w:kern w:val="0"/>
          <w:sz w:val="24"/>
          <w:szCs w:val="24"/>
        </w:rPr>
        <w:t>/1.040=</w:t>
      </w:r>
      <w:r>
        <w:rPr>
          <w:rFonts w:hint="eastAsia" w:hAnsi="宋体"/>
          <w:kern w:val="0"/>
          <w:sz w:val="24"/>
          <w:szCs w:val="24"/>
        </w:rPr>
        <w:t>95,923.63</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w:t>
      </w:r>
      <w:r>
        <w:rPr>
          <w:rFonts w:hint="eastAsia"/>
          <w:color w:val="000000"/>
          <w:sz w:val="24"/>
          <w:szCs w:val="24"/>
        </w:rPr>
        <w:t>通过基金管理人的直销柜台</w:t>
      </w:r>
      <w:r>
        <w:rPr>
          <w:rFonts w:hAnsi="宋体"/>
          <w:kern w:val="0"/>
          <w:sz w:val="24"/>
          <w:szCs w:val="24"/>
        </w:rPr>
        <w:t>申购</w:t>
      </w:r>
      <w:r>
        <w:rPr>
          <w:rFonts w:hint="eastAsia" w:hAnsi="宋体"/>
          <w:kern w:val="0"/>
          <w:sz w:val="24"/>
          <w:szCs w:val="24"/>
        </w:rPr>
        <w:t>本基金，</w:t>
      </w:r>
      <w:r>
        <w:rPr>
          <w:rFonts w:hAnsi="宋体"/>
          <w:kern w:val="0"/>
          <w:sz w:val="24"/>
          <w:szCs w:val="24"/>
        </w:rPr>
        <w:t>假设申购当日基金份额净值为1.040元</w:t>
      </w:r>
      <w:r>
        <w:rPr>
          <w:rFonts w:hint="eastAsia" w:hAnsi="宋体"/>
          <w:kern w:val="0"/>
          <w:sz w:val="24"/>
          <w:szCs w:val="24"/>
        </w:rPr>
        <w:t>，则其可得到</w:t>
      </w:r>
      <w:r>
        <w:rPr>
          <w:rFonts w:hAnsi="宋体"/>
          <w:kern w:val="0"/>
          <w:sz w:val="24"/>
          <w:szCs w:val="24"/>
        </w:rPr>
        <w:t>95,923.63份</w:t>
      </w:r>
      <w:r>
        <w:rPr>
          <w:rFonts w:hint="eastAsia" w:hAnsi="宋体"/>
          <w:kern w:val="0"/>
          <w:sz w:val="24"/>
          <w:szCs w:val="24"/>
        </w:rPr>
        <w:t>基金份额。</w:t>
      </w:r>
    </w:p>
    <w:p>
      <w:pPr>
        <w:widowControl/>
        <w:adjustRightInd w:val="0"/>
        <w:snapToGrid w:val="0"/>
        <w:spacing w:line="360" w:lineRule="auto"/>
        <w:ind w:firstLine="480" w:firstLineChars="200"/>
        <w:rPr>
          <w:rFonts w:hAnsi="宋体"/>
          <w:color w:val="FF0000"/>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本基金的场外赎回和场内赎回均采用份额赎回的方式。赎回金额为按实际确认的有效赎回份额乘以当日基金份额净值并扣除相应的费用，赎回金额单位为元，计算结果保留到小数点后两位，第三位四舍五入。 赎回金额的计算方法如下：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例三：某投资者在场外赎回持有的50,000份基金份额，持有期限为1.5年，对应的赎回费率为0.2%，假设赎回当日基金份额净值是1.016元，则其可得到的赎回金额为：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赎回费用 = 50,000×1.016×0.2%＝101.60元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 = 50,000×1.016-101.60＝50,698.40元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即：投资者在场外赎回50,000份基金份额，对应的赎回费率为0.2%，假设赎回当日基金份额净值是1.016元，则其可得到的赎回金额为50,698.40元。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例四：某投资者在场内赎回持有的50,000份基金份额，持有期限为1.5年，对应的赎回费率固定值为0.5%，假设赎回当日基金份额净值是1.016元，则其可得到的赎回金额为：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赎回费用 = 50,000×1.016×0.5%＝254.00元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 = 50,000×1.016-254.00＝50546.00元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即：投资者在场内赎回50,000份基金份额，对应的赎回费率为0.5%，假设赎回当日基金份额净值是1.016元，则其可得到的赎回金额为50546.00元。</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bCs/>
          <w:sz w:val="24"/>
        </w:rPr>
      </w:pPr>
      <w:r>
        <w:rPr>
          <w:rFonts w:hint="eastAsia"/>
          <w:bCs/>
          <w:sz w:val="24"/>
        </w:rPr>
        <w:t>基金份额净值＝基金资产净值总额/发行在外的基金份额总数</w:t>
      </w:r>
    </w:p>
    <w:p>
      <w:pPr>
        <w:widowControl/>
        <w:adjustRightInd w:val="0"/>
        <w:snapToGrid w:val="0"/>
        <w:spacing w:line="360" w:lineRule="auto"/>
        <w:ind w:firstLine="480" w:firstLineChars="200"/>
        <w:rPr>
          <w:kern w:val="0"/>
          <w:sz w:val="24"/>
          <w:szCs w:val="24"/>
        </w:rPr>
      </w:pPr>
      <w:r>
        <w:rPr>
          <w:rFonts w:hint="eastAsia"/>
          <w:kern w:val="0"/>
          <w:sz w:val="24"/>
          <w:szCs w:val="24"/>
        </w:rPr>
        <w:t>本基金</w:t>
      </w:r>
      <w:r>
        <w:rPr>
          <w:kern w:val="0"/>
          <w:sz w:val="24"/>
          <w:szCs w:val="24"/>
        </w:rPr>
        <w:t>T</w:t>
      </w:r>
      <w:r>
        <w:rPr>
          <w:rFonts w:hAnsi="宋体"/>
          <w:kern w:val="0"/>
          <w:sz w:val="24"/>
          <w:szCs w:val="24"/>
        </w:rPr>
        <w:t>日</w:t>
      </w:r>
      <w:r>
        <w:rPr>
          <w:rFonts w:hint="eastAsia" w:hAnsi="宋体"/>
          <w:kern w:val="0"/>
          <w:sz w:val="24"/>
          <w:szCs w:val="24"/>
        </w:rPr>
        <w:t>的</w:t>
      </w:r>
      <w:r>
        <w:rPr>
          <w:rFonts w:hAnsi="宋体"/>
          <w:kern w:val="0"/>
          <w:sz w:val="24"/>
          <w:szCs w:val="24"/>
        </w:rPr>
        <w:t>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内</w:t>
      </w:r>
      <w:r>
        <w:rPr>
          <w:rFonts w:hint="eastAsia"/>
          <w:bCs/>
          <w:sz w:val="24"/>
        </w:rPr>
        <w:t>（包括该日）</w:t>
      </w:r>
      <w:r>
        <w:rPr>
          <w:rFonts w:hAnsi="宋体"/>
          <w:kern w:val="0"/>
          <w:sz w:val="24"/>
          <w:szCs w:val="24"/>
        </w:rPr>
        <w:t>公告。遇特殊情况，经中国证监会同意，可以适当延迟计算或公告。</w:t>
      </w:r>
      <w:r>
        <w:rPr>
          <w:rFonts w:hint="eastAsia" w:hAnsi="宋体"/>
          <w:sz w:val="24"/>
          <w:szCs w:val="24"/>
        </w:rPr>
        <w:t>本基金</w:t>
      </w:r>
      <w:r>
        <w:rPr>
          <w:rFonts w:hAnsi="宋体"/>
          <w:sz w:val="24"/>
          <w:szCs w:val="24"/>
        </w:rPr>
        <w:t>基金份额净值的计算，保留到小数点后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pPr>
        <w:adjustRightInd w:val="0"/>
        <w:snapToGrid w:val="0"/>
        <w:spacing w:line="360" w:lineRule="auto"/>
        <w:ind w:firstLine="482" w:firstLineChars="200"/>
        <w:rPr>
          <w:rFonts w:hAnsi="宋体"/>
          <w:kern w:val="0"/>
          <w:sz w:val="24"/>
          <w:szCs w:val="24"/>
        </w:rPr>
      </w:pPr>
      <w:bookmarkStart w:id="39" w:name="_Toc79392615"/>
      <w:r>
        <w:rPr>
          <w:rFonts w:hAnsi="宋体"/>
          <w:b/>
          <w:kern w:val="0"/>
          <w:sz w:val="24"/>
          <w:szCs w:val="24"/>
        </w:rPr>
        <w:t>（八）拒绝或暂停申购的情形</w:t>
      </w:r>
      <w:bookmarkEnd w:id="39"/>
    </w:p>
    <w:p>
      <w:pPr>
        <w:adjustRightInd w:val="0"/>
        <w:snapToGrid w:val="0"/>
        <w:spacing w:line="360" w:lineRule="auto"/>
        <w:ind w:firstLine="480" w:firstLineChars="200"/>
        <w:rPr>
          <w:bCs/>
          <w:sz w:val="24"/>
        </w:rPr>
      </w:pPr>
      <w:r>
        <w:rPr>
          <w:bCs/>
          <w:sz w:val="24"/>
        </w:rPr>
        <w:t>发生下列情况时，基金管理人可拒绝或暂停接受投资人的申购申请：</w:t>
      </w:r>
    </w:p>
    <w:p>
      <w:pPr>
        <w:adjustRightInd w:val="0"/>
        <w:snapToGrid w:val="0"/>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adjustRightInd w:val="0"/>
        <w:snapToGrid w:val="0"/>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、发生基金合同规定的暂停基金资产估值情况时，基金管理人可暂停接受投资人的申购申请。</w:t>
      </w:r>
    </w:p>
    <w:p>
      <w:pPr>
        <w:adjustRightInd w:val="0"/>
        <w:snapToGrid w:val="0"/>
        <w:spacing w:line="360" w:lineRule="auto"/>
        <w:ind w:firstLine="480" w:firstLineChars="200"/>
        <w:rPr>
          <w:bCs/>
          <w:sz w:val="24"/>
        </w:rPr>
      </w:pPr>
      <w:bookmarkStart w:id="40" w:name="OLE_LINK28"/>
      <w:bookmarkStart w:id="41" w:name="OLE_LINK29"/>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bookmarkEnd w:id="40"/>
    <w:bookmarkEnd w:id="41"/>
    <w:p>
      <w:pPr>
        <w:adjustRightInd w:val="0"/>
        <w:snapToGrid w:val="0"/>
        <w:spacing w:line="360" w:lineRule="auto"/>
        <w:ind w:firstLine="480" w:firstLineChars="200"/>
        <w:rPr>
          <w:bCs/>
          <w:sz w:val="24"/>
        </w:rPr>
      </w:pPr>
      <w:r>
        <w:rPr>
          <w:rFonts w:hint="eastAsia"/>
          <w:bCs/>
          <w:sz w:val="24"/>
        </w:rPr>
        <w:t>4、</w:t>
      </w:r>
      <w:r>
        <w:rPr>
          <w:bCs/>
          <w:sz w:val="24"/>
        </w:rPr>
        <w:t>基金管理人认为接受某笔或某些申购申请可能会影响或损害现有基金份额持有人利益时。</w:t>
      </w:r>
    </w:p>
    <w:p>
      <w:pPr>
        <w:adjustRightInd w:val="0"/>
        <w:snapToGrid w:val="0"/>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或基金管理人认定的其他</w:t>
      </w:r>
      <w:r>
        <w:rPr>
          <w:bCs/>
          <w:sz w:val="24"/>
        </w:rPr>
        <w:t>损害现有基金份额持有人利益的情形。</w:t>
      </w:r>
    </w:p>
    <w:p>
      <w:pPr>
        <w:adjustRightInd w:val="0"/>
        <w:snapToGrid w:val="0"/>
        <w:spacing w:line="360" w:lineRule="auto"/>
        <w:ind w:firstLine="480" w:firstLineChars="200"/>
        <w:rPr>
          <w:bCs/>
          <w:sz w:val="24"/>
        </w:rPr>
      </w:pPr>
      <w:bookmarkStart w:id="42" w:name="OLE_LINK31"/>
      <w:bookmarkStart w:id="43" w:name="OLE_LINK30"/>
      <w:r>
        <w:rPr>
          <w:rFonts w:hint="eastAsia"/>
          <w:bCs/>
          <w:sz w:val="24"/>
        </w:rPr>
        <w:t>6、基金管理人、基金托管人、基金销售机构、基金销售支付结算机构或登记机构的异常情况导致基金销售系统、基金销售支付结算系统、基金注册登记系统或基金会计系统无法正常运行。</w:t>
      </w:r>
    </w:p>
    <w:p>
      <w:pPr>
        <w:adjustRightInd w:val="0"/>
        <w:snapToGrid w:val="0"/>
        <w:spacing w:line="360" w:lineRule="auto"/>
        <w:ind w:firstLine="480" w:firstLineChars="200"/>
        <w:rPr>
          <w:bCs/>
          <w:sz w:val="24"/>
        </w:rPr>
      </w:pPr>
      <w:r>
        <w:rPr>
          <w:rFonts w:hint="eastAsia"/>
          <w:bCs/>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adjustRightInd w:val="0"/>
        <w:snapToGrid w:val="0"/>
        <w:spacing w:line="360" w:lineRule="auto"/>
        <w:ind w:firstLine="480" w:firstLineChars="200"/>
        <w:rPr>
          <w:bCs/>
          <w:sz w:val="24"/>
        </w:rPr>
      </w:pPr>
      <w:r>
        <w:rPr>
          <w:rFonts w:hint="eastAsia"/>
          <w:bCs/>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pPr>
        <w:adjustRightInd w:val="0"/>
        <w:snapToGrid w:val="0"/>
        <w:spacing w:line="360" w:lineRule="auto"/>
        <w:ind w:firstLine="480" w:firstLineChars="200"/>
        <w:rPr>
          <w:bCs/>
          <w:sz w:val="24"/>
        </w:rPr>
      </w:pPr>
      <w:r>
        <w:rPr>
          <w:bCs/>
          <w:sz w:val="24"/>
        </w:rPr>
        <w:t>9</w:t>
      </w:r>
      <w:r>
        <w:rPr>
          <w:rFonts w:hint="eastAsia"/>
          <w:bCs/>
          <w:sz w:val="24"/>
        </w:rPr>
        <w:t>、</w:t>
      </w:r>
      <w:bookmarkEnd w:id="42"/>
      <w:bookmarkEnd w:id="43"/>
      <w:r>
        <w:rPr>
          <w:rFonts w:hint="eastAsia"/>
          <w:bCs/>
          <w:sz w:val="24"/>
        </w:rPr>
        <w:t>基金合同约定、</w:t>
      </w:r>
      <w:r>
        <w:rPr>
          <w:bCs/>
          <w:sz w:val="24"/>
        </w:rPr>
        <w:t>法律法规规定或中国证监会认定的其他情形。</w:t>
      </w:r>
    </w:p>
    <w:p>
      <w:pPr>
        <w:widowControl/>
        <w:adjustRightInd w:val="0"/>
        <w:snapToGrid w:val="0"/>
        <w:spacing w:line="360" w:lineRule="auto"/>
        <w:ind w:firstLine="480" w:firstLineChars="200"/>
        <w:rPr>
          <w:rFonts w:hAnsi="宋体"/>
          <w:b/>
          <w:kern w:val="0"/>
          <w:sz w:val="24"/>
          <w:szCs w:val="24"/>
        </w:rPr>
      </w:pPr>
      <w:r>
        <w:rPr>
          <w:bCs/>
          <w:sz w:val="24"/>
        </w:rPr>
        <w:t>发生上述</w:t>
      </w:r>
      <w:r>
        <w:rPr>
          <w:rFonts w:hint="eastAsia"/>
          <w:bCs/>
          <w:sz w:val="24"/>
        </w:rPr>
        <w:t>除</w:t>
      </w:r>
      <w:r>
        <w:rPr>
          <w:bCs/>
          <w:sz w:val="24"/>
        </w:rPr>
        <w:t>第</w:t>
      </w:r>
      <w:r>
        <w:rPr>
          <w:rFonts w:hint="eastAsia"/>
          <w:bCs/>
          <w:sz w:val="24"/>
        </w:rPr>
        <w:t>4、</w:t>
      </w:r>
      <w:r>
        <w:rPr>
          <w:bCs/>
          <w:sz w:val="24"/>
        </w:rPr>
        <w:t>8项</w:t>
      </w:r>
      <w:r>
        <w:rPr>
          <w:rFonts w:hint="eastAsia"/>
          <w:bCs/>
          <w:sz w:val="24"/>
        </w:rPr>
        <w:t>以外的</w:t>
      </w:r>
      <w:r>
        <w:rPr>
          <w:bCs/>
          <w:sz w:val="24"/>
        </w:rPr>
        <w:t>暂停申购情形</w:t>
      </w:r>
      <w:r>
        <w:rPr>
          <w:rFonts w:hint="eastAsia"/>
          <w:bCs/>
          <w:sz w:val="24"/>
        </w:rPr>
        <w:t>之一</w:t>
      </w:r>
      <w:r>
        <w:rPr>
          <w:rFonts w:hAnsi="宋体"/>
          <w:sz w:val="24"/>
          <w:szCs w:val="18"/>
        </w:rPr>
        <w:t>且基金管理人决定暂停</w:t>
      </w:r>
      <w:r>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4" w:name="_Hlt70481650"/>
      <w:bookmarkEnd w:id="44"/>
    </w:p>
    <w:p>
      <w:pPr>
        <w:widowControl/>
        <w:adjustRightInd w:val="0"/>
        <w:snapToGrid w:val="0"/>
        <w:spacing w:line="360" w:lineRule="auto"/>
        <w:ind w:firstLine="482" w:firstLineChars="200"/>
        <w:rPr>
          <w:b/>
          <w:kern w:val="0"/>
          <w:sz w:val="24"/>
          <w:szCs w:val="24"/>
        </w:rPr>
      </w:pPr>
      <w:r>
        <w:rPr>
          <w:rFonts w:hAnsi="宋体"/>
          <w:b/>
          <w:kern w:val="0"/>
          <w:sz w:val="24"/>
          <w:szCs w:val="24"/>
        </w:rPr>
        <w:t>（九）暂停赎回或延缓支付赎回款项的情形</w:t>
      </w:r>
    </w:p>
    <w:p>
      <w:pPr>
        <w:adjustRightInd w:val="0"/>
        <w:snapToGrid w:val="0"/>
        <w:spacing w:line="360" w:lineRule="auto"/>
        <w:ind w:firstLine="480" w:firstLineChars="200"/>
        <w:rPr>
          <w:bCs/>
          <w:sz w:val="24"/>
        </w:rPr>
      </w:pPr>
      <w:bookmarkStart w:id="45" w:name="_Toc79392616"/>
      <w:r>
        <w:rPr>
          <w:bCs/>
          <w:sz w:val="24"/>
        </w:rPr>
        <w:t>发生下列情形时，基金管理人可暂停接受投资人的赎回申请或延缓支付赎回款项：</w:t>
      </w:r>
    </w:p>
    <w:p>
      <w:pPr>
        <w:adjustRightInd w:val="0"/>
        <w:snapToGrid w:val="0"/>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adjustRightInd w:val="0"/>
        <w:snapToGrid w:val="0"/>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、发生基金合同规定的暂停基金资产估值情况时，基金管理人可暂停接受投资人的赎回申请或延缓支付赎回款项。</w:t>
      </w:r>
    </w:p>
    <w:p>
      <w:pPr>
        <w:adjustRightInd w:val="0"/>
        <w:snapToGrid w:val="0"/>
        <w:spacing w:line="360" w:lineRule="auto"/>
        <w:ind w:firstLine="480" w:firstLineChars="200"/>
        <w:rPr>
          <w:bCs/>
          <w:sz w:val="24"/>
        </w:rPr>
      </w:pPr>
      <w:bookmarkStart w:id="46" w:name="OLE_LINK34"/>
      <w:bookmarkStart w:id="47" w:name="OLE_LINK35"/>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48" w:name="_Hlt152500890"/>
      <w:r>
        <w:rPr>
          <w:bCs/>
          <w:sz w:val="24"/>
        </w:rPr>
        <w:t>净值。</w:t>
      </w:r>
    </w:p>
    <w:bookmarkEnd w:id="46"/>
    <w:bookmarkEnd w:id="47"/>
    <w:p>
      <w:pPr>
        <w:adjustRightInd w:val="0"/>
        <w:snapToGrid w:val="0"/>
        <w:spacing w:line="360" w:lineRule="auto"/>
        <w:ind w:firstLine="480" w:firstLineChars="200"/>
        <w:rPr>
          <w:bCs/>
          <w:sz w:val="24"/>
        </w:rPr>
      </w:pPr>
      <w:r>
        <w:rPr>
          <w:rFonts w:hint="eastAsia"/>
          <w:bCs/>
          <w:sz w:val="24"/>
        </w:rPr>
        <w:t>4、</w:t>
      </w:r>
      <w:r>
        <w:rPr>
          <w:bCs/>
          <w:sz w:val="24"/>
        </w:rPr>
        <w:t>连续两个或两个以上开放日发生巨额赎回。</w:t>
      </w:r>
    </w:p>
    <w:bookmarkEnd w:id="48"/>
    <w:p>
      <w:pPr>
        <w:adjustRightInd w:val="0"/>
        <w:snapToGrid w:val="0"/>
        <w:spacing w:line="360" w:lineRule="auto"/>
        <w:ind w:firstLine="480" w:firstLineChars="200"/>
        <w:rPr>
          <w:bCs/>
          <w:sz w:val="24"/>
        </w:rPr>
      </w:pPr>
      <w:r>
        <w:rPr>
          <w:rFonts w:hint="eastAsia"/>
          <w:bCs/>
          <w:sz w:val="24"/>
        </w:rPr>
        <w:t>5、继续接受赎回申请将损害</w:t>
      </w:r>
      <w:r>
        <w:rPr>
          <w:bCs/>
          <w:sz w:val="24"/>
        </w:rPr>
        <w:t>现有基金份额持有人利益的情形</w:t>
      </w:r>
      <w:r>
        <w:rPr>
          <w:rFonts w:hint="eastAsia"/>
          <w:bCs/>
          <w:sz w:val="24"/>
        </w:rPr>
        <w:t>时，可暂停接受投资人的赎回申请。</w:t>
      </w:r>
    </w:p>
    <w:p>
      <w:pPr>
        <w:adjustRightInd w:val="0"/>
        <w:snapToGrid w:val="0"/>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djustRightInd w:val="0"/>
        <w:snapToGrid w:val="0"/>
        <w:spacing w:line="360" w:lineRule="auto"/>
        <w:ind w:firstLine="480" w:firstLineChars="200"/>
        <w:rPr>
          <w:bCs/>
          <w:sz w:val="24"/>
        </w:rPr>
      </w:pPr>
      <w:r>
        <w:rPr>
          <w:bCs/>
          <w:sz w:val="24"/>
        </w:rPr>
        <w:t>7</w:t>
      </w:r>
      <w:r>
        <w:rPr>
          <w:rFonts w:hint="eastAsia"/>
          <w:bCs/>
          <w:sz w:val="24"/>
        </w:rPr>
        <w:t>、基金合同约定、</w:t>
      </w:r>
      <w:r>
        <w:rPr>
          <w:bCs/>
          <w:sz w:val="24"/>
        </w:rPr>
        <w:t>法律法规规定或中国证监会认定的其他情形。</w:t>
      </w:r>
    </w:p>
    <w:p>
      <w:pPr>
        <w:widowControl/>
        <w:adjustRightInd w:val="0"/>
        <w:snapToGrid w:val="0"/>
        <w:spacing w:line="360" w:lineRule="auto"/>
        <w:ind w:firstLine="480" w:firstLineChars="200"/>
        <w:rPr>
          <w:rFonts w:hAnsi="宋体"/>
          <w:b/>
          <w:kern w:val="0"/>
          <w:sz w:val="24"/>
          <w:szCs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w:t>
      </w:r>
      <w:r>
        <w:rPr>
          <w:rFonts w:hint="eastAsia"/>
          <w:bCs/>
          <w:sz w:val="24"/>
        </w:rPr>
        <w:t>对于场外的赎回申请，</w:t>
      </w:r>
      <w:r>
        <w:rPr>
          <w:bCs/>
          <w:sz w:val="24"/>
        </w:rPr>
        <w:t>应将可支付部分按单个账户申请量占申请总量的比例分配给赎回申请人，未支付部分可延期</w:t>
      </w:r>
      <w:r>
        <w:rPr>
          <w:rFonts w:hint="eastAsia"/>
          <w:bCs/>
          <w:sz w:val="24"/>
        </w:rPr>
        <w:t>确认并</w:t>
      </w:r>
      <w:r>
        <w:rPr>
          <w:bCs/>
          <w:sz w:val="24"/>
        </w:rPr>
        <w:t>支付</w:t>
      </w:r>
      <w:r>
        <w:rPr>
          <w:rFonts w:hint="eastAsia"/>
          <w:bCs/>
          <w:sz w:val="24"/>
        </w:rPr>
        <w:t>，并以后续开放日的基金份额净值为依据计算赎回金额</w:t>
      </w:r>
      <w:r>
        <w:rPr>
          <w:bCs/>
          <w:sz w:val="24"/>
        </w:rPr>
        <w:t>。若出现上述第</w:t>
      </w:r>
      <w:r>
        <w:rPr>
          <w:rFonts w:hint="eastAsia"/>
          <w:bCs/>
          <w:sz w:val="24"/>
        </w:rPr>
        <w:t>4</w:t>
      </w:r>
      <w:r>
        <w:rPr>
          <w:bCs/>
          <w:sz w:val="24"/>
        </w:rPr>
        <w:t>项所述情形，按基金合同的相关条款处理。基金份额持有人在申请</w:t>
      </w:r>
      <w:r>
        <w:rPr>
          <w:rFonts w:hint="eastAsia"/>
          <w:bCs/>
          <w:sz w:val="24"/>
        </w:rPr>
        <w:t>场外</w:t>
      </w:r>
      <w:r>
        <w:rPr>
          <w:bCs/>
          <w:sz w:val="24"/>
        </w:rPr>
        <w:t>赎回时可事先选择将当日可能未获受理部分予以撤销。</w:t>
      </w:r>
      <w:r>
        <w:rPr>
          <w:rFonts w:hint="eastAsia"/>
          <w:bCs/>
          <w:sz w:val="24"/>
        </w:rPr>
        <w:t>对于场内赎回部分，</w:t>
      </w:r>
      <w:r>
        <w:rPr>
          <w:rFonts w:hint="eastAsia" w:ascii="宋体" w:hAnsi="宋体"/>
          <w:sz w:val="24"/>
          <w:szCs w:val="21"/>
        </w:rPr>
        <w:t>按照深圳证券交易所及中国证券登记结算有限责任公司的有关规定办理。</w:t>
      </w:r>
      <w:r>
        <w:rPr>
          <w:bCs/>
          <w:sz w:val="24"/>
        </w:rPr>
        <w:t>在暂停赎回的情况消除时，基金管理人应及时恢复赎回业务的办理并公告。</w:t>
      </w:r>
    </w:p>
    <w:p>
      <w:pPr>
        <w:widowControl/>
        <w:adjustRightInd w:val="0"/>
        <w:snapToGrid w:val="0"/>
        <w:spacing w:line="360" w:lineRule="auto"/>
        <w:ind w:firstLine="482" w:firstLineChars="200"/>
        <w:rPr>
          <w:b/>
          <w:kern w:val="0"/>
          <w:sz w:val="24"/>
          <w:szCs w:val="24"/>
        </w:rPr>
      </w:pPr>
      <w:r>
        <w:rPr>
          <w:rFonts w:hAnsi="宋体"/>
          <w:b/>
          <w:kern w:val="0"/>
          <w:sz w:val="24"/>
          <w:szCs w:val="24"/>
        </w:rPr>
        <w:t>（十）巨额赎回的情形及处理方式</w:t>
      </w:r>
      <w:bookmarkEnd w:id="45"/>
    </w:p>
    <w:p>
      <w:pPr>
        <w:adjustRightInd w:val="0"/>
        <w:snapToGrid w:val="0"/>
        <w:spacing w:line="360" w:lineRule="auto"/>
        <w:ind w:firstLine="480" w:firstLineChars="200"/>
        <w:rPr>
          <w:bCs/>
          <w:sz w:val="24"/>
        </w:rPr>
      </w:pPr>
      <w:r>
        <w:rPr>
          <w:bCs/>
          <w:sz w:val="24"/>
        </w:rPr>
        <w:t>1</w:t>
      </w:r>
      <w:r>
        <w:rPr>
          <w:rFonts w:hint="eastAsia"/>
          <w:bCs/>
          <w:sz w:val="24"/>
        </w:rPr>
        <w:t>、</w:t>
      </w:r>
      <w:r>
        <w:rPr>
          <w:bCs/>
          <w:sz w:val="24"/>
        </w:rPr>
        <w:t>巨额赎回的认定</w:t>
      </w:r>
    </w:p>
    <w:p>
      <w:pPr>
        <w:adjustRightInd w:val="0"/>
        <w:snapToGrid w:val="0"/>
        <w:spacing w:line="360" w:lineRule="auto"/>
        <w:ind w:firstLine="480" w:firstLineChars="200"/>
        <w:rPr>
          <w:bCs/>
          <w:sz w:val="24"/>
        </w:rPr>
      </w:pPr>
      <w:r>
        <w:rPr>
          <w:bCs/>
          <w:sz w:val="24"/>
        </w:rPr>
        <w:t>若</w:t>
      </w:r>
      <w:r>
        <w:rPr>
          <w:rFonts w:hint="eastAsia"/>
          <w:bCs/>
          <w:sz w:val="24"/>
        </w:rPr>
        <w:t>本基金</w:t>
      </w:r>
      <w:r>
        <w:rPr>
          <w:bCs/>
          <w:sz w:val="24"/>
        </w:rPr>
        <w:t>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pPr>
        <w:adjustRightInd w:val="0"/>
        <w:snapToGrid w:val="0"/>
        <w:spacing w:line="360" w:lineRule="auto"/>
        <w:ind w:firstLine="480" w:firstLineChars="200"/>
        <w:rPr>
          <w:bCs/>
          <w:sz w:val="24"/>
        </w:rPr>
      </w:pPr>
      <w:r>
        <w:rPr>
          <w:bCs/>
          <w:sz w:val="24"/>
        </w:rPr>
        <w:t>2</w:t>
      </w:r>
      <w:r>
        <w:rPr>
          <w:rFonts w:hint="eastAsia"/>
          <w:bCs/>
          <w:sz w:val="24"/>
        </w:rPr>
        <w:t>、</w:t>
      </w:r>
      <w:r>
        <w:rPr>
          <w:bCs/>
          <w:sz w:val="24"/>
        </w:rPr>
        <w:t>巨额赎回的处理方式</w:t>
      </w:r>
    </w:p>
    <w:p>
      <w:pPr>
        <w:adjustRightInd w:val="0"/>
        <w:snapToGrid w:val="0"/>
        <w:spacing w:line="360" w:lineRule="auto"/>
        <w:ind w:firstLine="480" w:firstLineChars="200"/>
        <w:rPr>
          <w:bCs/>
          <w:sz w:val="24"/>
        </w:rPr>
      </w:pPr>
      <w:r>
        <w:rPr>
          <w:bCs/>
          <w:sz w:val="24"/>
        </w:rPr>
        <w:t>当基金出现巨额赎回时，</w:t>
      </w:r>
      <w:r>
        <w:rPr>
          <w:rFonts w:hint="eastAsia"/>
          <w:bCs/>
          <w:sz w:val="24"/>
        </w:rPr>
        <w:t>对于场外赎回申请，</w:t>
      </w:r>
      <w:r>
        <w:rPr>
          <w:bCs/>
          <w:sz w:val="24"/>
        </w:rPr>
        <w:t>基金管理人可以根据基金当时的资产组合状况决定全额赎回或部分延期赎回。</w:t>
      </w:r>
    </w:p>
    <w:p>
      <w:pPr>
        <w:adjustRightInd w:val="0"/>
        <w:snapToGrid w:val="0"/>
        <w:spacing w:line="360" w:lineRule="auto"/>
        <w:ind w:firstLine="480" w:firstLineChars="200"/>
        <w:rPr>
          <w:bCs/>
          <w:sz w:val="24"/>
        </w:rPr>
      </w:pPr>
      <w:r>
        <w:rPr>
          <w:bCs/>
          <w:sz w:val="24"/>
        </w:rPr>
        <w:t>（1）全额赎回：当基金管理人认为有能力支付投资人的全部赎回申请时，按正常赎回程序执行。</w:t>
      </w:r>
    </w:p>
    <w:p>
      <w:pPr>
        <w:adjustRightInd w:val="0"/>
        <w:snapToGrid w:val="0"/>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djustRightInd w:val="0"/>
        <w:snapToGrid w:val="0"/>
        <w:spacing w:line="360" w:lineRule="auto"/>
        <w:ind w:firstLine="480" w:firstLineChars="200"/>
        <w:rPr>
          <w:bCs/>
          <w:sz w:val="24"/>
        </w:rPr>
      </w:pPr>
      <w:r>
        <w:rPr>
          <w:rFonts w:hint="eastAsia"/>
          <w:bCs/>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djustRightInd w:val="0"/>
        <w:snapToGrid w:val="0"/>
        <w:spacing w:line="360" w:lineRule="auto"/>
        <w:ind w:firstLine="480" w:firstLineChars="200"/>
        <w:rPr>
          <w:bCs/>
          <w:sz w:val="24"/>
        </w:rPr>
      </w:pPr>
      <w:r>
        <w:rPr>
          <w:rFonts w:hint="eastAsia" w:ascii="宋体" w:hAnsi="宋体"/>
          <w:sz w:val="24"/>
        </w:rPr>
        <w:t>巨额赎回业务的场内处理，按照深圳证券交易所及中国证券登记结算有限责任公司的有关规定办理。</w:t>
      </w:r>
    </w:p>
    <w:p>
      <w:pPr>
        <w:adjustRightInd w:val="0"/>
        <w:snapToGrid w:val="0"/>
        <w:spacing w:line="360" w:lineRule="auto"/>
        <w:ind w:firstLine="480" w:firstLineChars="200"/>
        <w:rPr>
          <w:bCs/>
          <w:sz w:val="24"/>
        </w:rPr>
      </w:pPr>
      <w:r>
        <w:rPr>
          <w:bCs/>
          <w:sz w:val="24"/>
        </w:rPr>
        <w:t>（</w:t>
      </w:r>
      <w:r>
        <w:rPr>
          <w:rFonts w:hint="eastAsia"/>
          <w:bCs/>
          <w:sz w:val="24"/>
        </w:rPr>
        <w:t>3</w:t>
      </w:r>
      <w:r>
        <w:rPr>
          <w:bCs/>
          <w:sz w:val="24"/>
        </w:rPr>
        <w:t>）暂停赎回：连续</w:t>
      </w:r>
      <w:r>
        <w:rPr>
          <w:rFonts w:hint="eastAsia"/>
          <w:bCs/>
          <w:sz w:val="24"/>
        </w:rPr>
        <w:t>2个开放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pPr>
        <w:adjustRightInd w:val="0"/>
        <w:snapToGrid w:val="0"/>
        <w:spacing w:line="360" w:lineRule="auto"/>
        <w:ind w:firstLine="480" w:firstLineChars="200"/>
        <w:rPr>
          <w:bCs/>
          <w:sz w:val="24"/>
        </w:rPr>
      </w:pPr>
      <w:r>
        <w:rPr>
          <w:bCs/>
          <w:sz w:val="24"/>
        </w:rPr>
        <w:t>3</w:t>
      </w:r>
      <w:r>
        <w:rPr>
          <w:rFonts w:hint="eastAsia"/>
          <w:bCs/>
          <w:sz w:val="24"/>
        </w:rPr>
        <w:t>、</w:t>
      </w:r>
      <w:r>
        <w:rPr>
          <w:bCs/>
          <w:sz w:val="24"/>
        </w:rPr>
        <w:t>巨额赎回的公告</w:t>
      </w:r>
    </w:p>
    <w:p>
      <w:pPr>
        <w:widowControl/>
        <w:adjustRightInd w:val="0"/>
        <w:snapToGrid w:val="0"/>
        <w:spacing w:line="360" w:lineRule="auto"/>
        <w:ind w:firstLine="480" w:firstLineChars="200"/>
        <w:rPr>
          <w:rFonts w:hAnsi="宋体"/>
          <w:kern w:val="0"/>
          <w:sz w:val="24"/>
          <w:szCs w:val="24"/>
        </w:rPr>
      </w:pPr>
      <w:r>
        <w:rPr>
          <w:bCs/>
          <w:sz w:val="24"/>
        </w:rPr>
        <w:t>当发生上述延期赎回并延期办理时，基金管理人应当通过邮寄、传真或者</w:t>
      </w:r>
      <w:r>
        <w:rPr>
          <w:rFonts w:hint="eastAsia"/>
          <w:bCs/>
          <w:sz w:val="24"/>
        </w:rPr>
        <w:t>通知</w:t>
      </w:r>
      <w:r>
        <w:rPr>
          <w:bCs/>
          <w:sz w:val="24"/>
        </w:rPr>
        <w:t>销售机构代为</w:t>
      </w:r>
      <w:r>
        <w:rPr>
          <w:rFonts w:hint="eastAsia"/>
          <w:bCs/>
          <w:sz w:val="24"/>
        </w:rPr>
        <w:t>告知</w:t>
      </w:r>
      <w:r>
        <w:rPr>
          <w:bCs/>
          <w:sz w:val="24"/>
        </w:rPr>
        <w:t>的方式在</w:t>
      </w:r>
      <w:r>
        <w:rPr>
          <w:rFonts w:hint="eastAsia"/>
          <w:bCs/>
          <w:sz w:val="24"/>
        </w:rPr>
        <w:t>3</w:t>
      </w:r>
      <w:r>
        <w:rPr>
          <w:bCs/>
          <w:sz w:val="24"/>
        </w:rPr>
        <w:t>个交易日内通知基金份额持有人，说明有关处理方法，并在2日内在指定媒介上刊登公告。</w:t>
      </w:r>
    </w:p>
    <w:p>
      <w:pPr>
        <w:widowControl/>
        <w:adjustRightInd w:val="0"/>
        <w:snapToGrid w:val="0"/>
        <w:spacing w:line="360" w:lineRule="auto"/>
        <w:ind w:firstLine="482" w:firstLineChars="200"/>
        <w:rPr>
          <w:b/>
          <w:kern w:val="0"/>
          <w:sz w:val="24"/>
          <w:szCs w:val="24"/>
        </w:rPr>
      </w:pPr>
      <w:bookmarkStart w:id="49" w:name="_Toc79392617"/>
      <w:r>
        <w:rPr>
          <w:rFonts w:hAnsi="宋体"/>
          <w:b/>
          <w:kern w:val="0"/>
          <w:sz w:val="24"/>
          <w:szCs w:val="24"/>
        </w:rPr>
        <w:t>（十一）暂停申购或赎回的公告和重新开放申购或赎回的公告</w:t>
      </w:r>
      <w:bookmarkEnd w:id="49"/>
    </w:p>
    <w:p>
      <w:pPr>
        <w:adjustRightInd w:val="0"/>
        <w:snapToGrid w:val="0"/>
        <w:spacing w:line="360" w:lineRule="auto"/>
        <w:ind w:firstLine="480" w:firstLineChars="200"/>
        <w:rPr>
          <w:bCs/>
          <w:sz w:val="24"/>
        </w:rPr>
      </w:pPr>
      <w:bookmarkStart w:id="50" w:name="_Toc59441259"/>
      <w:bookmarkStart w:id="51" w:name="_Toc79392618"/>
      <w:bookmarkStart w:id="52" w:name="_Toc15118274"/>
      <w:r>
        <w:rPr>
          <w:bCs/>
          <w:sz w:val="24"/>
        </w:rPr>
        <w:t>1</w:t>
      </w:r>
      <w:r>
        <w:rPr>
          <w:rFonts w:hint="eastAsia"/>
          <w:bCs/>
          <w:sz w:val="24"/>
        </w:rPr>
        <w:t>、</w:t>
      </w:r>
      <w:r>
        <w:rPr>
          <w:bCs/>
          <w:sz w:val="24"/>
        </w:rPr>
        <w:t>发生上述暂停申购或赎回情况的，基金管理人应在规定期限内在指定媒介上刊登暂停公告。</w:t>
      </w:r>
    </w:p>
    <w:p>
      <w:pPr>
        <w:widowControl/>
        <w:adjustRightInd w:val="0"/>
        <w:snapToGrid w:val="0"/>
        <w:spacing w:line="360" w:lineRule="auto"/>
        <w:ind w:firstLine="480" w:firstLineChars="200"/>
        <w:rPr>
          <w:rFonts w:hAnsi="宋体"/>
          <w:kern w:val="0"/>
          <w:sz w:val="24"/>
          <w:szCs w:val="24"/>
        </w:rPr>
      </w:pPr>
      <w:r>
        <w:rPr>
          <w:sz w:val="24"/>
          <w:szCs w:val="24"/>
        </w:rPr>
        <w:t>2</w:t>
      </w:r>
      <w:r>
        <w:rPr>
          <w:rFonts w:hAnsi="宋体"/>
          <w:sz w:val="24"/>
          <w:szCs w:val="24"/>
        </w:rPr>
        <w:t>、</w:t>
      </w:r>
      <w:r>
        <w:rPr>
          <w:rFonts w:hint="eastAsia" w:ascii="宋体" w:hAnsi="宋体"/>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50"/>
    <w:bookmarkEnd w:id="51"/>
    <w:bookmarkEnd w:id="52"/>
    <w:p>
      <w:pPr>
        <w:widowControl/>
        <w:adjustRightInd w:val="0"/>
        <w:snapToGrid w:val="0"/>
        <w:spacing w:line="360" w:lineRule="auto"/>
        <w:ind w:firstLine="482" w:firstLineChars="200"/>
        <w:rPr>
          <w:b/>
          <w:kern w:val="0"/>
          <w:sz w:val="24"/>
          <w:szCs w:val="24"/>
        </w:rPr>
      </w:pPr>
      <w:bookmarkStart w:id="53"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rPr>
          <w:b/>
          <w:kern w:val="0"/>
          <w:sz w:val="24"/>
          <w:szCs w:val="24"/>
        </w:rPr>
      </w:pPr>
      <w:r>
        <w:rPr>
          <w:rFonts w:hAnsi="宋体"/>
          <w:b/>
          <w:kern w:val="0"/>
          <w:sz w:val="24"/>
          <w:szCs w:val="24"/>
        </w:rPr>
        <w:t>（十三）</w:t>
      </w:r>
      <w:bookmarkEnd w:id="53"/>
      <w:bookmarkStart w:id="54" w:name="_Toc79392620"/>
      <w:r>
        <w:rPr>
          <w:rFonts w:hAnsi="宋体"/>
          <w:b/>
          <w:kern w:val="0"/>
          <w:sz w:val="24"/>
          <w:szCs w:val="24"/>
        </w:rPr>
        <w:t>定期定额投资计划</w:t>
      </w:r>
    </w:p>
    <w:p>
      <w:pPr>
        <w:widowControl/>
        <w:adjustRightInd w:val="0"/>
        <w:snapToGrid w:val="0"/>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（十四）基金的非交易过户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（十五）基金的转托管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1、基金份额的登记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（2）登记在证券登记结算系统中的基金份额，可以在深圳证券交易所上市交易，也可以直接申请场内赎回，或经跨系统转托管至注册登记系统后申请场外赎回。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（3）登记在注册登记系统中的基金份额，既可以直接申请场外赎回，也可经跨系统转托管至证券登记结算系统后，在深圳证券交易所上市交易。</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（1）系统内转托管是指基金份额持有人将持有的基金份额在注册登记系统内不同销售机构之间，或在证券登记结算系统内不同会员单位（交易单元）之间进行转登记的行为。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（2）基金份额登记在注册登记系统的基金份额持有人在变更办理基金份额场外赎回业务的销售机构时，需办理已持有基金份额的系统内转托管。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（3）基金份额登记在证券登记结算系统的基金份额持有人在变更办理基金份额场内赎回的会员单位（交易单元）时，需办理已持有基金份额的系统内转托管。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3、跨系统转托管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（1）跨系统转托管是指基金份额持有人将持有的基金份额在注册登记系统和证券登记结算系统之间进行转登记的行为。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（2）本基金跨系统转托管的具体业务按照中国证券登记结算有限责任公司及深圳证券交易所的相关规定办理。</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（十六）基金份额的冻结和解冻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登记机构只受理国家有权机关依法要求的基金份额的冻结与解冻，以及登记机构认可、符合法律法规的其他情况下的冻结与解冻。</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（十七）其他业务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bookmarkEnd w:id="54"/>
    <w:p>
      <w:pPr>
        <w:adjustRightInd w:val="0"/>
        <w:snapToGrid w:val="0"/>
        <w:spacing w:line="360" w:lineRule="auto"/>
        <w:ind w:firstLine="480" w:firstLineChars="200"/>
        <w:rPr>
          <w:rFonts w:hAnsi="宋体"/>
          <w:i/>
          <w:color w:val="FF0000"/>
          <w:kern w:val="0"/>
          <w:sz w:val="24"/>
          <w:u w:val="single"/>
        </w:rPr>
      </w:pPr>
      <w:bookmarkStart w:id="55" w:name="_Toc66720082"/>
      <w:bookmarkStart w:id="56" w:name="_Toc66719557"/>
      <w:bookmarkStart w:id="57" w:name="_Toc109059024"/>
    </w:p>
    <w:p>
      <w:pPr>
        <w:adjustRightInd w:val="0"/>
        <w:snapToGrid w:val="0"/>
        <w:spacing w:line="360" w:lineRule="auto"/>
        <w:rPr>
          <w:rFonts w:ascii="宋体" w:hAnsi="宋体"/>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58" w:name="_Toc524440786"/>
      <w:r>
        <w:rPr>
          <w:rFonts w:hint="eastAsia" w:ascii="宋体" w:hAnsi="宋体"/>
          <w:b/>
          <w:kern w:val="0"/>
          <w:sz w:val="30"/>
        </w:rPr>
        <w:t>十、基金的投资</w:t>
      </w:r>
      <w:bookmarkEnd w:id="58"/>
    </w:p>
    <w:p>
      <w:pPr>
        <w:adjustRightInd w:val="0"/>
        <w:snapToGrid w:val="0"/>
        <w:spacing w:line="360" w:lineRule="auto"/>
        <w:ind w:firstLine="482" w:firstLineChars="200"/>
        <w:rPr>
          <w:rFonts w:hAnsi="宋体"/>
          <w:kern w:val="0"/>
          <w:sz w:val="24"/>
          <w:szCs w:val="24"/>
        </w:rPr>
      </w:pPr>
      <w:r>
        <w:rPr>
          <w:rFonts w:hint="eastAsia"/>
          <w:b/>
          <w:bCs/>
          <w:sz w:val="24"/>
        </w:rPr>
        <w:t>（一）投资目标</w:t>
      </w:r>
    </w:p>
    <w:p>
      <w:pPr>
        <w:adjustRightInd w:val="0"/>
        <w:snapToGrid w:val="0"/>
        <w:spacing w:line="360" w:lineRule="auto"/>
        <w:ind w:firstLine="480" w:firstLineChars="200"/>
        <w:rPr>
          <w:bCs/>
          <w:sz w:val="24"/>
        </w:rPr>
      </w:pPr>
      <w:r>
        <w:rPr>
          <w:rFonts w:hint="eastAsia"/>
          <w:bCs/>
          <w:sz w:val="24"/>
        </w:rPr>
        <w:t>本基金采用指数化投资，紧密跟踪标的指数，追求跟踪偏离度与跟踪误差最小化。本基金力争控制本基金日均跟踪偏离度的绝对值不超过</w:t>
      </w:r>
      <w:r>
        <w:rPr>
          <w:bCs/>
          <w:sz w:val="24"/>
        </w:rPr>
        <w:t>0.35%</w:t>
      </w:r>
      <w:r>
        <w:rPr>
          <w:rFonts w:hint="eastAsia"/>
          <w:bCs/>
          <w:sz w:val="24"/>
        </w:rPr>
        <w:t>，年跟踪误差不超过</w:t>
      </w:r>
      <w:r>
        <w:rPr>
          <w:bCs/>
          <w:sz w:val="24"/>
        </w:rPr>
        <w:t>4%</w:t>
      </w:r>
      <w:r>
        <w:rPr>
          <w:rFonts w:hint="eastAsia"/>
          <w:bCs/>
          <w:sz w:val="24"/>
        </w:rPr>
        <w:t>。</w:t>
      </w:r>
      <w:r>
        <w:rPr>
          <w:bCs/>
          <w:sz w:val="24"/>
        </w:rPr>
        <w:t xml:space="preserve">                       </w:t>
      </w:r>
    </w:p>
    <w:p>
      <w:pPr>
        <w:adjustRightInd w:val="0"/>
        <w:snapToGrid w:val="0"/>
        <w:spacing w:line="360" w:lineRule="auto"/>
        <w:ind w:firstLine="482" w:firstLineChars="200"/>
        <w:rPr>
          <w:b/>
          <w:bCs/>
          <w:sz w:val="24"/>
        </w:rPr>
      </w:pPr>
      <w:r>
        <w:rPr>
          <w:rFonts w:hint="eastAsia"/>
          <w:b/>
          <w:bCs/>
          <w:sz w:val="24"/>
        </w:rPr>
        <w:t>（二）投资范围</w:t>
      </w:r>
    </w:p>
    <w:p>
      <w:pPr>
        <w:adjustRightInd w:val="0"/>
        <w:snapToGrid w:val="0"/>
        <w:spacing w:line="360" w:lineRule="auto"/>
        <w:ind w:firstLine="480" w:firstLineChars="200"/>
        <w:rPr>
          <w:bCs/>
          <w:sz w:val="24"/>
        </w:rPr>
      </w:pPr>
      <w:r>
        <w:rPr>
          <w:rFonts w:hint="eastAsia"/>
          <w:bCs/>
          <w:sz w:val="24"/>
        </w:rPr>
        <w:t>本基金投资于具有良好流动性的金融工具，以中证环境治理指数的成份股（含存托凭证）及其备选成份股</w:t>
      </w:r>
      <w:r>
        <w:rPr>
          <w:bCs/>
          <w:sz w:val="24"/>
        </w:rPr>
        <w:t>(</w:t>
      </w:r>
      <w:r>
        <w:rPr>
          <w:rFonts w:hint="eastAsia"/>
          <w:bCs/>
          <w:sz w:val="24"/>
        </w:rPr>
        <w:t>含中小板、创业板及其他经中国证监会核准的上市股票</w:t>
      </w:r>
      <w:r>
        <w:rPr>
          <w:rFonts w:hint="eastAsia" w:ascii="宋体" w:hAnsi="宋体"/>
          <w:bCs/>
          <w:sz w:val="24"/>
          <w:szCs w:val="24"/>
        </w:rPr>
        <w:t>、存托凭证</w:t>
      </w:r>
      <w:r>
        <w:rPr>
          <w:bCs/>
          <w:sz w:val="24"/>
        </w:rPr>
        <w:t>)</w:t>
      </w:r>
      <w:r>
        <w:rPr>
          <w:rFonts w:hint="eastAsia"/>
          <w:bCs/>
          <w:sz w:val="24"/>
        </w:rPr>
        <w:t>为主要投资对象。为更好地实现投资目标，本基金也可少量投资于其他股票</w:t>
      </w:r>
      <w:r>
        <w:rPr>
          <w:bCs/>
          <w:sz w:val="24"/>
        </w:rPr>
        <w:t>(</w:t>
      </w:r>
      <w:r>
        <w:rPr>
          <w:rFonts w:hint="eastAsia"/>
          <w:bCs/>
          <w:sz w:val="24"/>
        </w:rPr>
        <w:t>非标的指数成份股（含存托凭证）及其备选成份股（含存托凭证）</w:t>
      </w:r>
      <w:r>
        <w:rPr>
          <w:bCs/>
          <w:sz w:val="24"/>
        </w:rPr>
        <w:t>)</w:t>
      </w:r>
      <w:r>
        <w:rPr>
          <w:rFonts w:hint="eastAsia"/>
          <w:bCs/>
          <w:sz w:val="24"/>
        </w:rPr>
        <w:t>、</w:t>
      </w:r>
      <w:r>
        <w:rPr>
          <w:bCs/>
          <w:sz w:val="24"/>
        </w:rPr>
        <w:t>债券</w:t>
      </w:r>
      <w:r>
        <w:rPr>
          <w:rFonts w:hint="eastAsia"/>
          <w:bCs/>
          <w:sz w:val="24"/>
        </w:rPr>
        <w:t>、中期票据、</w:t>
      </w:r>
      <w:r>
        <w:rPr>
          <w:rFonts w:hint="eastAsia" w:ascii="宋体" w:hAnsi="宋体"/>
          <w:sz w:val="24"/>
        </w:rPr>
        <w:t>货币市场工具、债券回购、权证、资产支持证券、股指期货</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pPr>
        <w:adjustRightInd w:val="0"/>
        <w:snapToGrid w:val="0"/>
        <w:spacing w:line="360" w:lineRule="auto"/>
        <w:ind w:firstLine="480" w:firstLineChars="200"/>
        <w:rPr>
          <w:bCs/>
        </w:rPr>
      </w:pPr>
      <w:r>
        <w:rPr>
          <w:bCs/>
          <w:sz w:val="24"/>
        </w:rPr>
        <w:t>如法律法规或监管机构以后允许基金投资其他品种，基金管理人在履行适当程序后，可以将其纳入投资范围。</w:t>
      </w:r>
    </w:p>
    <w:p>
      <w:pPr>
        <w:adjustRightInd w:val="0"/>
        <w:snapToGrid w:val="0"/>
        <w:spacing w:line="360" w:lineRule="auto"/>
        <w:ind w:firstLine="480" w:firstLineChars="200"/>
        <w:rPr>
          <w:bCs/>
          <w:sz w:val="24"/>
        </w:rPr>
      </w:pPr>
      <w:r>
        <w:rPr>
          <w:bCs/>
          <w:sz w:val="24"/>
        </w:rPr>
        <w:t>基金的投资组合比例为：</w:t>
      </w:r>
      <w:r>
        <w:rPr>
          <w:rFonts w:hint="eastAsia"/>
          <w:bCs/>
          <w:sz w:val="24"/>
        </w:rPr>
        <w:t>本基金的股票资产（含存托凭证）投资比例不低于基金资产的 90%，本基金投资于中证环境治理指数的成份股（含存托凭证）及其备选成份股（含存托凭证）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Pr>
          <w:bCs/>
          <w:sz w:val="24"/>
        </w:rPr>
        <w:t>5%</w:t>
      </w:r>
      <w:r>
        <w:rPr>
          <w:rFonts w:hint="eastAsia"/>
          <w:bCs/>
          <w:sz w:val="24"/>
        </w:rPr>
        <w:t>，其中现金不包括结算备付金、存出保证金、应收申购款等。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r>
        <w:rPr>
          <w:bCs/>
          <w:sz w:val="24"/>
        </w:rPr>
        <w:t xml:space="preserve">      </w:t>
      </w:r>
    </w:p>
    <w:p>
      <w:pPr>
        <w:adjustRightInd w:val="0"/>
        <w:snapToGrid w:val="0"/>
        <w:spacing w:line="360" w:lineRule="auto"/>
        <w:ind w:firstLine="482" w:firstLineChars="200"/>
        <w:rPr>
          <w:rFonts w:hAnsi="宋体"/>
          <w:kern w:val="0"/>
          <w:sz w:val="24"/>
          <w:szCs w:val="24"/>
        </w:rPr>
      </w:pPr>
      <w:r>
        <w:rPr>
          <w:rFonts w:hint="eastAsia"/>
          <w:b/>
          <w:bCs/>
          <w:sz w:val="24"/>
        </w:rPr>
        <w:t>（三）投资策略</w:t>
      </w:r>
    </w:p>
    <w:p>
      <w:pPr>
        <w:adjustRightInd w:val="0"/>
        <w:snapToGrid w:val="0"/>
        <w:spacing w:line="360" w:lineRule="auto"/>
        <w:ind w:firstLine="480" w:firstLineChars="200"/>
        <w:rPr>
          <w:bCs/>
          <w:sz w:val="24"/>
        </w:rPr>
      </w:pPr>
      <w:r>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Pr>
          <w:bCs/>
          <w:sz w:val="24"/>
        </w:rPr>
        <w:t>0.35%</w:t>
      </w:r>
      <w:r>
        <w:rPr>
          <w:rFonts w:hint="eastAsia"/>
          <w:bCs/>
          <w:sz w:val="24"/>
        </w:rPr>
        <w:t>，年跟踪误差不超过</w:t>
      </w:r>
      <w:r>
        <w:rPr>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pPr>
        <w:adjustRightInd w:val="0"/>
        <w:snapToGrid w:val="0"/>
        <w:spacing w:line="360" w:lineRule="auto"/>
        <w:ind w:firstLine="480" w:firstLineChars="200"/>
        <w:rPr>
          <w:rFonts w:ascii="宋体" w:hAnsi="宋体"/>
          <w:sz w:val="24"/>
          <w:szCs w:val="24"/>
        </w:rPr>
      </w:pPr>
      <w:r>
        <w:rPr>
          <w:rFonts w:hint="eastAsia"/>
          <w:bCs/>
          <w:sz w:val="24"/>
        </w:rPr>
        <w:t>本基金的股票资产投资比例不低于基金资产的 90%，本基金投资于中证环境治理指数的成份股及其备选成份股的比例不低于非现金基金资产的</w:t>
      </w:r>
      <w:r>
        <w:rPr>
          <w:bCs/>
          <w:sz w:val="24"/>
        </w:rPr>
        <w:t>90%</w:t>
      </w:r>
      <w:r>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pPr>
        <w:adjustRightInd w:val="0"/>
        <w:snapToGrid w:val="0"/>
        <w:spacing w:line="360" w:lineRule="auto"/>
        <w:ind w:firstLine="480" w:firstLineChars="200"/>
        <w:rPr>
          <w:bCs/>
          <w:sz w:val="24"/>
        </w:rPr>
      </w:pPr>
      <w:r>
        <w:rPr>
          <w:rFonts w:hint="eastAsia" w:ascii="宋体" w:hAnsi="宋体"/>
          <w:bCs/>
          <w:sz w:val="24"/>
        </w:rPr>
        <w:t>本基金投资存托凭证的策略依照境内上市交易的股票投资策略执行。</w:t>
      </w:r>
    </w:p>
    <w:p>
      <w:pPr>
        <w:adjustRightInd w:val="0"/>
        <w:snapToGrid w:val="0"/>
        <w:spacing w:line="360" w:lineRule="auto"/>
        <w:ind w:firstLine="480" w:firstLineChars="20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rPr>
          <w:bCs/>
          <w:sz w:val="24"/>
        </w:rPr>
      </w:pPr>
      <w:r>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adjustRightInd w:val="0"/>
        <w:snapToGrid w:val="0"/>
        <w:spacing w:line="360" w:lineRule="auto"/>
        <w:ind w:firstLine="480" w:firstLineChars="200"/>
        <w:rPr>
          <w:rFonts w:ascii="宋体" w:hAnsi="宋体"/>
          <w:bCs/>
          <w:sz w:val="24"/>
        </w:rPr>
      </w:pPr>
      <w:r>
        <w:rPr>
          <w:rFonts w:hint="eastAsia" w:ascii="宋体"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rPr>
          <w:rFonts w:hAnsi="宋体"/>
          <w:color w:val="FF0000"/>
          <w:kern w:val="0"/>
          <w:sz w:val="24"/>
        </w:rPr>
      </w:pPr>
      <w:r>
        <w:rPr>
          <w:rFonts w:hint="eastAsia"/>
          <w:b/>
          <w:bCs/>
          <w:sz w:val="24"/>
        </w:rPr>
        <w:t>（四）投资限制</w:t>
      </w:r>
    </w:p>
    <w:p>
      <w:pPr>
        <w:adjustRightInd w:val="0"/>
        <w:snapToGrid w:val="0"/>
        <w:spacing w:line="360" w:lineRule="auto"/>
        <w:ind w:firstLine="480" w:firstLineChars="200"/>
        <w:rPr>
          <w:bCs/>
          <w:sz w:val="24"/>
        </w:rPr>
      </w:pPr>
      <w:r>
        <w:rPr>
          <w:bCs/>
          <w:sz w:val="24"/>
        </w:rPr>
        <w:t>1、组合限制</w:t>
      </w:r>
    </w:p>
    <w:p>
      <w:pPr>
        <w:adjustRightInd w:val="0"/>
        <w:snapToGrid w:val="0"/>
        <w:spacing w:line="360" w:lineRule="auto"/>
        <w:ind w:firstLine="480" w:firstLineChars="200"/>
        <w:rPr>
          <w:bCs/>
          <w:sz w:val="24"/>
        </w:rPr>
      </w:pPr>
      <w:r>
        <w:rPr>
          <w:bCs/>
          <w:sz w:val="24"/>
        </w:rPr>
        <w:t>基金的投资组合应遵循以下限制：</w:t>
      </w:r>
    </w:p>
    <w:p>
      <w:pPr>
        <w:adjustRightInd w:val="0"/>
        <w:snapToGrid w:val="0"/>
        <w:spacing w:line="360" w:lineRule="auto"/>
        <w:ind w:firstLine="480" w:firstLineChars="200"/>
        <w:rPr>
          <w:bCs/>
          <w:i/>
          <w:sz w:val="24"/>
          <w:u w:val="single"/>
        </w:rPr>
      </w:pPr>
      <w:r>
        <w:rPr>
          <w:rFonts w:hint="eastAsia"/>
          <w:bCs/>
          <w:sz w:val="24"/>
        </w:rPr>
        <w:t>（</w:t>
      </w:r>
      <w:r>
        <w:rPr>
          <w:bCs/>
          <w:sz w:val="24"/>
        </w:rPr>
        <w:t>1</w:t>
      </w:r>
      <w:r>
        <w:rPr>
          <w:rFonts w:hint="eastAsia"/>
          <w:bCs/>
          <w:sz w:val="24"/>
        </w:rPr>
        <w:t>）本基金的股票资产（含存托凭证）投资比例不低于基金资产的</w:t>
      </w:r>
      <w:r>
        <w:rPr>
          <w:bCs/>
          <w:sz w:val="24"/>
        </w:rPr>
        <w:t xml:space="preserve"> 90%</w:t>
      </w:r>
      <w:r>
        <w:rPr>
          <w:rFonts w:hint="eastAsia"/>
          <w:bCs/>
          <w:sz w:val="24"/>
        </w:rPr>
        <w:t>，本基金投资于中证环境治理指数的成份股（含存托凭证）及其备选成份股（含存托凭证）的比例不低于非现金基金资产的</w:t>
      </w:r>
      <w:r>
        <w:rPr>
          <w:bCs/>
          <w:sz w:val="24"/>
        </w:rPr>
        <w:t>90%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4</w:t>
      </w:r>
      <w:r>
        <w:rPr>
          <w:rFonts w:hint="eastAsia"/>
          <w:bCs/>
          <w:sz w:val="24"/>
        </w:rPr>
        <w:t>）本基金管理人管理的全部基金持有的同一权证，不得超过该权证的</w:t>
      </w:r>
      <w:r>
        <w:rPr>
          <w:bCs/>
          <w:sz w:val="24"/>
        </w:rPr>
        <w:t>10%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5</w:t>
      </w:r>
      <w:r>
        <w:rPr>
          <w:rFonts w:hint="eastAsia"/>
          <w:bCs/>
          <w:sz w:val="24"/>
        </w:rPr>
        <w:t>）本基金在任何交易日买入权证的总金额，不得超过上一交易日基金资产净值的</w:t>
      </w:r>
      <w:r>
        <w:rPr>
          <w:bCs/>
          <w:sz w:val="24"/>
        </w:rPr>
        <w:t>0.5%</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pPr>
        <w:adjustRightInd w:val="0"/>
        <w:snapToGrid w:val="0"/>
        <w:spacing w:line="360" w:lineRule="auto"/>
        <w:ind w:firstLine="480" w:firstLineChars="200"/>
        <w:rPr>
          <w:bCs/>
          <w:sz w:val="24"/>
        </w:rPr>
      </w:pPr>
      <w:r>
        <w:rPr>
          <w:rFonts w:hint="eastAsia"/>
          <w:bCs/>
          <w:sz w:val="24"/>
        </w:rPr>
        <w:t>（</w:t>
      </w:r>
      <w:r>
        <w:rPr>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bookmarkStart w:id="59" w:name="OLE_LINK67"/>
      <w:bookmarkStart w:id="60" w:name="OLE_LINK66"/>
      <w:r>
        <w:rPr>
          <w:rFonts w:hint="eastAsia"/>
          <w:bCs/>
          <w:sz w:val="24"/>
        </w:rPr>
        <w:t>（</w:t>
      </w:r>
      <w:r>
        <w:rPr>
          <w:bCs/>
          <w:sz w:val="24"/>
        </w:rPr>
        <w:t>12</w:t>
      </w:r>
      <w:r>
        <w:rPr>
          <w:rFonts w:hint="eastAsia"/>
          <w:bCs/>
          <w:sz w:val="24"/>
        </w:rPr>
        <w:t>）本基金进入全国银行间同业市场进行债券回购的资金余额</w:t>
      </w:r>
      <w:r>
        <w:rPr>
          <w:bCs/>
          <w:sz w:val="24"/>
        </w:rPr>
        <w:t>不得超过基金资产净值的40%</w:t>
      </w:r>
      <w:r>
        <w:rPr>
          <w:rFonts w:hint="eastAsia"/>
          <w:bCs/>
          <w:sz w:val="24"/>
        </w:rPr>
        <w:t>；本基金进入全国银行间同业市场进行债券回购的最长期限为1年,债券回购到期后不得展期；</w:t>
      </w:r>
    </w:p>
    <w:bookmarkEnd w:id="59"/>
    <w:bookmarkEnd w:id="60"/>
    <w:p>
      <w:pPr>
        <w:adjustRightInd w:val="0"/>
        <w:snapToGrid w:val="0"/>
        <w:spacing w:line="360" w:lineRule="auto"/>
        <w:ind w:firstLine="480" w:firstLineChars="200"/>
        <w:rPr>
          <w:bCs/>
          <w:sz w:val="24"/>
        </w:rPr>
      </w:pPr>
      <w:r>
        <w:rPr>
          <w:bCs/>
          <w:sz w:val="24"/>
        </w:rPr>
        <w:t>（1</w:t>
      </w:r>
      <w:r>
        <w:rPr>
          <w:rFonts w:hint="eastAsia"/>
          <w:bCs/>
          <w:sz w:val="24"/>
        </w:rPr>
        <w:t>3</w:t>
      </w:r>
      <w:r>
        <w:rPr>
          <w:bCs/>
          <w:sz w:val="24"/>
        </w:rPr>
        <w:t>）</w:t>
      </w:r>
      <w:r>
        <w:rPr>
          <w:rFonts w:hint="eastAsia"/>
          <w:bCs/>
          <w:sz w:val="24"/>
        </w:rPr>
        <w:t>本基金在任何交易日日终，持有的买入股指期货合约价值，不得超过基金资产净值的</w:t>
      </w:r>
      <w:r>
        <w:rPr>
          <w:bCs/>
          <w:sz w:val="24"/>
        </w:rPr>
        <w:t>10%</w:t>
      </w:r>
      <w:r>
        <w:rPr>
          <w:rFonts w:hint="eastAsia"/>
          <w:bCs/>
          <w:sz w:val="24"/>
        </w:rPr>
        <w:t>；</w:t>
      </w:r>
    </w:p>
    <w:p>
      <w:pPr>
        <w:adjustRightInd w:val="0"/>
        <w:snapToGrid w:val="0"/>
        <w:spacing w:line="360" w:lineRule="auto"/>
        <w:ind w:firstLine="480" w:firstLineChars="200"/>
        <w:rPr>
          <w:bCs/>
          <w:sz w:val="24"/>
        </w:rPr>
      </w:pPr>
      <w:r>
        <w:rPr>
          <w:bCs/>
          <w:sz w:val="24"/>
        </w:rPr>
        <w:t>（1</w:t>
      </w:r>
      <w:r>
        <w:rPr>
          <w:rFonts w:hint="eastAsia"/>
          <w:bCs/>
          <w:sz w:val="24"/>
        </w:rPr>
        <w:t>4</w:t>
      </w:r>
      <w:r>
        <w:rPr>
          <w:bCs/>
          <w:sz w:val="24"/>
        </w:rPr>
        <w:t>）</w:t>
      </w:r>
      <w:r>
        <w:rPr>
          <w:rFonts w:hint="eastAsia"/>
          <w:bCs/>
          <w:sz w:val="24"/>
        </w:rPr>
        <w:t>本基金在任何交易日日终，持有的买入期货合约价值与有价证券市值之和</w:t>
      </w:r>
      <w:r>
        <w:rPr>
          <w:rFonts w:ascii="宋体" w:hAnsi="宋体"/>
          <w:bCs/>
          <w:sz w:val="24"/>
        </w:rPr>
        <w:t>,</w:t>
      </w:r>
      <w:r>
        <w:rPr>
          <w:rFonts w:hint="eastAsia"/>
          <w:bCs/>
          <w:sz w:val="24"/>
        </w:rPr>
        <w:t>不得超过基金资产净值的100</w:t>
      </w:r>
      <w:r>
        <w:rPr>
          <w:bCs/>
          <w:sz w:val="24"/>
        </w:rPr>
        <w:t>%</w:t>
      </w:r>
      <w:r>
        <w:rPr>
          <w:rFonts w:hint="eastAsia"/>
          <w:bCs/>
          <w:sz w:val="24"/>
        </w:rPr>
        <w:t>。其中，有价证券指股票、债券（不含到期日在一年以内的政府债券）、权证、资产支持证券、买入返售金融资产（不含质押式回购）等；</w:t>
      </w:r>
    </w:p>
    <w:p>
      <w:pPr>
        <w:adjustRightInd w:val="0"/>
        <w:snapToGrid w:val="0"/>
        <w:spacing w:line="360" w:lineRule="auto"/>
        <w:ind w:firstLine="480" w:firstLineChars="200"/>
        <w:rPr>
          <w:bCs/>
          <w:sz w:val="24"/>
        </w:rPr>
      </w:pPr>
      <w:r>
        <w:rPr>
          <w:bCs/>
          <w:sz w:val="24"/>
        </w:rPr>
        <w:t>（1</w:t>
      </w:r>
      <w:r>
        <w:rPr>
          <w:rFonts w:hint="eastAsia"/>
          <w:bCs/>
          <w:sz w:val="24"/>
        </w:rPr>
        <w:t>5</w:t>
      </w:r>
      <w:r>
        <w:rPr>
          <w:bCs/>
          <w:sz w:val="24"/>
        </w:rPr>
        <w:t>）</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pPr>
        <w:adjustRightInd w:val="0"/>
        <w:snapToGrid w:val="0"/>
        <w:spacing w:line="360" w:lineRule="auto"/>
        <w:ind w:firstLine="480" w:firstLineChars="200"/>
        <w:rPr>
          <w:bCs/>
          <w:sz w:val="24"/>
        </w:rPr>
      </w:pPr>
      <w:r>
        <w:rPr>
          <w:bCs/>
          <w:sz w:val="24"/>
        </w:rPr>
        <w:t>（1</w:t>
      </w:r>
      <w:r>
        <w:rPr>
          <w:rFonts w:hint="eastAsia"/>
          <w:bCs/>
          <w:sz w:val="24"/>
        </w:rPr>
        <w:t>6</w:t>
      </w:r>
      <w:r>
        <w:rPr>
          <w:bCs/>
          <w:sz w:val="24"/>
        </w:rPr>
        <w:t>）</w:t>
      </w:r>
      <w:r>
        <w:rPr>
          <w:rFonts w:hint="eastAsia"/>
          <w:bCs/>
          <w:sz w:val="24"/>
        </w:rPr>
        <w:t>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bCs/>
          <w:sz w:val="24"/>
        </w:rPr>
        <w:t>（1</w:t>
      </w:r>
      <w:r>
        <w:rPr>
          <w:rFonts w:hint="eastAsia"/>
          <w:bCs/>
          <w:sz w:val="24"/>
        </w:rPr>
        <w:t>7）本基金在任何交易日内交易（不包括平仓）的股指期货合约的成交金额不得超过上一交易日基金资产净值的</w:t>
      </w:r>
      <w:r>
        <w:rPr>
          <w:bCs/>
          <w:sz w:val="24"/>
        </w:rPr>
        <w:t>20%</w:t>
      </w:r>
      <w:r>
        <w:rPr>
          <w:rFonts w:hint="eastAsia"/>
          <w:bCs/>
          <w:sz w:val="24"/>
        </w:rPr>
        <w:t>；</w:t>
      </w:r>
    </w:p>
    <w:p>
      <w:pPr>
        <w:adjustRightInd w:val="0"/>
        <w:snapToGrid w:val="0"/>
        <w:spacing w:line="360" w:lineRule="auto"/>
        <w:ind w:firstLine="480" w:firstLineChars="200"/>
        <w:rPr>
          <w:bCs/>
          <w:sz w:val="24"/>
        </w:rPr>
      </w:pPr>
      <w:r>
        <w:rPr>
          <w:bCs/>
          <w:sz w:val="24"/>
        </w:rPr>
        <w:t>（</w:t>
      </w:r>
      <w:r>
        <w:rPr>
          <w:rFonts w:hint="eastAsia"/>
          <w:bCs/>
          <w:sz w:val="24"/>
        </w:rPr>
        <w:t>18</w:t>
      </w:r>
      <w:r>
        <w:rPr>
          <w:bCs/>
          <w:sz w:val="24"/>
        </w:rPr>
        <w:t>）本基金的基金资产总值不得超过基金资产净值的140%；</w:t>
      </w:r>
    </w:p>
    <w:p>
      <w:pPr>
        <w:adjustRightInd w:val="0"/>
        <w:snapToGrid w:val="0"/>
        <w:spacing w:line="360" w:lineRule="auto"/>
        <w:ind w:firstLine="480" w:firstLineChars="200"/>
        <w:rPr>
          <w:bCs/>
          <w:sz w:val="24"/>
        </w:rPr>
      </w:pPr>
      <w:r>
        <w:rPr>
          <w:rFonts w:hint="eastAsia"/>
          <w:bCs/>
          <w:sz w:val="24"/>
        </w:rPr>
        <w:t>（</w:t>
      </w:r>
      <w:r>
        <w:rPr>
          <w:bCs/>
          <w:sz w:val="24"/>
        </w:rPr>
        <w:t>19</w:t>
      </w:r>
      <w:r>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pPr>
        <w:adjustRightInd w:val="0"/>
        <w:snapToGrid w:val="0"/>
        <w:spacing w:line="360" w:lineRule="auto"/>
        <w:ind w:firstLine="480" w:firstLineChars="200"/>
        <w:rPr>
          <w:bCs/>
          <w:sz w:val="24"/>
        </w:rPr>
      </w:pPr>
      <w:r>
        <w:rPr>
          <w:rFonts w:hint="eastAsia"/>
          <w:bCs/>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（21）本基金与私募类证券资管产品及中国证监会认定的其他主体为交易对手开展逆回购交易的，可接受质押品的资质要求应当与基金合同约定的投资范围保持一致；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rFonts w:ascii="宋体" w:hAnsi="宋体"/>
          <w:bCs/>
          <w:sz w:val="24"/>
        </w:rPr>
      </w:pPr>
      <w:r>
        <w:rPr>
          <w:rFonts w:hint="eastAsia"/>
          <w:bCs/>
          <w:sz w:val="24"/>
        </w:rPr>
        <w:t>（</w:t>
      </w:r>
      <w:r>
        <w:rPr>
          <w:bCs/>
          <w:sz w:val="24"/>
        </w:rPr>
        <w:t>22</w:t>
      </w:r>
      <w:r>
        <w:rPr>
          <w:rFonts w:hint="eastAsia"/>
          <w:bCs/>
          <w:sz w:val="24"/>
        </w:rPr>
        <w:t>）</w:t>
      </w:r>
      <w:r>
        <w:rPr>
          <w:rFonts w:hint="eastAsia" w:ascii="宋体" w:hAnsi="宋体"/>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w:t>
      </w:r>
      <w:r>
        <w:rPr>
          <w:bCs/>
          <w:sz w:val="24"/>
        </w:rPr>
        <w:t>23</w:t>
      </w:r>
      <w:r>
        <w:rPr>
          <w:rFonts w:hint="eastAsia"/>
          <w:bCs/>
          <w:sz w:val="24"/>
        </w:rPr>
        <w:t>）法律法规及中国证监会规定的和《基金合同》约定的其他投资限制。</w:t>
      </w:r>
    </w:p>
    <w:p>
      <w:pPr>
        <w:adjustRightInd w:val="0"/>
        <w:snapToGrid w:val="0"/>
        <w:spacing w:line="360" w:lineRule="auto"/>
        <w:ind w:firstLine="480" w:firstLineChars="200"/>
        <w:rPr>
          <w:bCs/>
        </w:rPr>
      </w:pPr>
      <w:r>
        <w:rPr>
          <w:rFonts w:hint="eastAsia"/>
          <w:bCs/>
          <w:sz w:val="24"/>
        </w:rPr>
        <w:t>除上述第（2）、（10）、（20）、（21）项另有约定外，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合并、基金规模变动、股权分置改革中支付对价等基金管理人之外的因素致使基金投资比例不符合上述规定投资比例的，基金管理人应当在10个交易日内进行调整</w:t>
      </w:r>
      <w:r>
        <w:rPr>
          <w:rFonts w:hint="eastAsia" w:ascii="宋体" w:hAnsi="宋体"/>
          <w:bCs/>
          <w:sz w:val="24"/>
        </w:rPr>
        <w:t>，但中国证监会规定的特殊情形除外</w:t>
      </w:r>
      <w:r>
        <w:rPr>
          <w:bCs/>
          <w:sz w:val="24"/>
        </w:rPr>
        <w:t>。</w:t>
      </w:r>
      <w:r>
        <w:rPr>
          <w:rFonts w:hint="eastAsia"/>
          <w:bCs/>
          <w:sz w:val="24"/>
        </w:rPr>
        <w:t>法律法规另有规定的，从其规定。</w:t>
      </w:r>
    </w:p>
    <w:p>
      <w:pPr>
        <w:adjustRightInd w:val="0"/>
        <w:snapToGrid w:val="0"/>
        <w:spacing w:line="360" w:lineRule="auto"/>
        <w:ind w:firstLine="480" w:firstLineChars="200"/>
        <w:rPr>
          <w:bCs/>
          <w:sz w:val="24"/>
        </w:rPr>
      </w:pPr>
      <w:r>
        <w:rPr>
          <w:bCs/>
          <w:sz w:val="24"/>
        </w:rPr>
        <w:t>基金管理人应当自基金</w:t>
      </w:r>
      <w:r>
        <w:rPr>
          <w:rFonts w:hint="eastAsia"/>
          <w:bCs/>
          <w:sz w:val="24"/>
        </w:rPr>
        <w:t>转型实施</w:t>
      </w:r>
      <w:r>
        <w:rPr>
          <w:bCs/>
          <w:sz w:val="24"/>
        </w:rPr>
        <w:t>日起</w:t>
      </w:r>
      <w:r>
        <w:rPr>
          <w:rFonts w:hint="eastAsia"/>
          <w:bCs/>
          <w:sz w:val="24"/>
        </w:rPr>
        <w:t>6</w:t>
      </w:r>
      <w:r>
        <w:rPr>
          <w:bCs/>
          <w:sz w:val="24"/>
        </w:rPr>
        <w:t>个月内使基金的投资组合比例符合基金合同的有关约定。</w:t>
      </w:r>
      <w:r>
        <w:rPr>
          <w:rFonts w:hint="eastAsia"/>
          <w:bCs/>
          <w:sz w:val="24"/>
        </w:rPr>
        <w:t>在上述</w:t>
      </w:r>
      <w:r>
        <w:rPr>
          <w:rFonts w:hint="eastAsia" w:ascii="宋体" w:hAnsi="宋体"/>
          <w:bCs/>
          <w:sz w:val="24"/>
        </w:rPr>
        <w:t>期间内，本基金的投资范围、投资策略应当符合基金合同的约定。</w:t>
      </w:r>
      <w:r>
        <w:rPr>
          <w:bCs/>
          <w:sz w:val="24"/>
        </w:rPr>
        <w:t>基金托管人对基金的投资的监督与检查自基金合同生效之日起开始。</w:t>
      </w:r>
    </w:p>
    <w:p>
      <w:pPr>
        <w:adjustRightInd w:val="0"/>
        <w:snapToGrid w:val="0"/>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pPr>
        <w:adjustRightInd w:val="0"/>
        <w:snapToGrid w:val="0"/>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bCs/>
          <w:sz w:val="24"/>
        </w:rPr>
      </w:pPr>
      <w:r>
        <w:rPr>
          <w:bCs/>
          <w:sz w:val="24"/>
        </w:rPr>
        <w:t>2</w:t>
      </w:r>
      <w:r>
        <w:rPr>
          <w:rFonts w:hint="eastAsia"/>
          <w:bCs/>
          <w:sz w:val="24"/>
        </w:rPr>
        <w:t>、</w:t>
      </w:r>
      <w:r>
        <w:rPr>
          <w:bCs/>
          <w:sz w:val="24"/>
        </w:rPr>
        <w:t>禁止行为</w:t>
      </w:r>
    </w:p>
    <w:p>
      <w:pPr>
        <w:adjustRightInd w:val="0"/>
        <w:snapToGrid w:val="0"/>
        <w:spacing w:line="360" w:lineRule="auto"/>
        <w:ind w:firstLine="480" w:firstLineChars="200"/>
        <w:rPr>
          <w:bCs/>
          <w:sz w:val="24"/>
        </w:rPr>
      </w:pPr>
      <w:r>
        <w:rPr>
          <w:bCs/>
          <w:sz w:val="24"/>
        </w:rPr>
        <w:t>为维护基金份额持有人的合法权益，基金财产不得用于下列投资或者活动：</w:t>
      </w:r>
    </w:p>
    <w:p>
      <w:pPr>
        <w:adjustRightInd w:val="0"/>
        <w:snapToGrid w:val="0"/>
        <w:spacing w:line="360" w:lineRule="auto"/>
        <w:ind w:firstLine="480" w:firstLineChars="200"/>
        <w:rPr>
          <w:bCs/>
          <w:sz w:val="24"/>
        </w:rPr>
      </w:pPr>
      <w:r>
        <w:rPr>
          <w:bCs/>
          <w:sz w:val="24"/>
        </w:rPr>
        <w:t>（1）承销证券；</w:t>
      </w:r>
    </w:p>
    <w:p>
      <w:pPr>
        <w:adjustRightInd w:val="0"/>
        <w:snapToGrid w:val="0"/>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adjustRightInd w:val="0"/>
        <w:snapToGrid w:val="0"/>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adjustRightInd w:val="0"/>
        <w:snapToGrid w:val="0"/>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adjustRightInd w:val="0"/>
        <w:snapToGrid w:val="0"/>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adjustRightInd w:val="0"/>
        <w:snapToGrid w:val="0"/>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adjustRightInd w:val="0"/>
        <w:snapToGrid w:val="0"/>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adjustRightInd w:val="0"/>
        <w:snapToGrid w:val="0"/>
        <w:spacing w:line="360" w:lineRule="auto"/>
        <w:ind w:firstLine="480" w:firstLineChars="200"/>
        <w:rPr>
          <w:bCs/>
          <w:sz w:val="24"/>
        </w:rPr>
      </w:pPr>
      <w:r>
        <w:rPr>
          <w:rFonts w:hint="eastAsia"/>
          <w:bCs/>
          <w:sz w:val="24"/>
        </w:rPr>
        <w:t>如法律、行政法规或监管部门取消上述禁止性规定，如适用于本基金，基金管理人在履行适当程序后，本基金可不受上述规定的限制。</w:t>
      </w:r>
    </w:p>
    <w:p>
      <w:pPr>
        <w:adjustRightInd w:val="0"/>
        <w:snapToGrid w:val="0"/>
        <w:spacing w:line="360" w:lineRule="auto"/>
        <w:ind w:firstLine="482" w:firstLineChars="200"/>
        <w:rPr>
          <w:bCs/>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中证环境治理指数收益率×</w:t>
      </w:r>
      <w:r>
        <w:rPr>
          <w:bCs/>
          <w:sz w:val="24"/>
        </w:rPr>
        <w:t>95%</w:t>
      </w:r>
      <w:r>
        <w:rPr>
          <w:rFonts w:hint="eastAsia"/>
          <w:bCs/>
          <w:sz w:val="24"/>
        </w:rPr>
        <w:t>＋银行活期存款利率（税后）×</w:t>
      </w:r>
      <w:r>
        <w:rPr>
          <w:bCs/>
          <w:sz w:val="24"/>
        </w:rPr>
        <w:t>5%</w:t>
      </w:r>
    </w:p>
    <w:p>
      <w:pPr>
        <w:adjustRightInd w:val="0"/>
        <w:snapToGrid w:val="0"/>
        <w:spacing w:line="360" w:lineRule="auto"/>
        <w:ind w:firstLine="480" w:firstLineChars="200"/>
        <w:rPr>
          <w:bCs/>
          <w:sz w:val="24"/>
        </w:rPr>
      </w:pPr>
      <w:r>
        <w:rPr>
          <w:rFonts w:hint="eastAsia"/>
          <w:bCs/>
          <w:sz w:val="24"/>
        </w:rPr>
        <w:t>本基金的标的指数为中证环境治理指数。中证环境治理指数是由中证指数有限公司编制，代表性和可投资性受到市场认可。</w:t>
      </w:r>
    </w:p>
    <w:p>
      <w:pPr>
        <w:adjustRightInd w:val="0"/>
        <w:snapToGrid w:val="0"/>
        <w:spacing w:line="360" w:lineRule="auto"/>
        <w:ind w:firstLine="480" w:firstLineChars="200"/>
        <w:rPr>
          <w:bCs/>
          <w:sz w:val="24"/>
        </w:rPr>
      </w:pPr>
      <w:r>
        <w:rPr>
          <w:rFonts w:hint="eastAsia"/>
          <w:bCs/>
          <w:sz w:val="24"/>
        </w:rPr>
        <w:t>由于本基金每个交易日日终在扣除股指期货合约需缴纳的交易保证金后，投资于现金或者到期日在一年以内的政府债券不低于基金资产净值的</w:t>
      </w:r>
      <w:r>
        <w:rPr>
          <w:bCs/>
          <w:sz w:val="24"/>
        </w:rPr>
        <w:t>5%</w:t>
      </w:r>
      <w:r>
        <w:rPr>
          <w:rFonts w:hint="eastAsia"/>
          <w:bCs/>
          <w:sz w:val="24"/>
        </w:rPr>
        <w:t>，因此本基金业绩比较基准中同时加入了</w:t>
      </w:r>
      <w:r>
        <w:rPr>
          <w:bCs/>
          <w:sz w:val="24"/>
        </w:rPr>
        <w:t>5%</w:t>
      </w:r>
      <w:r>
        <w:rPr>
          <w:rFonts w:hint="eastAsia"/>
          <w:bCs/>
          <w:sz w:val="24"/>
        </w:rPr>
        <w:t>的银行活期存款利率</w:t>
      </w:r>
      <w:r>
        <w:rPr>
          <w:bCs/>
          <w:sz w:val="24"/>
        </w:rPr>
        <w:t>(</w:t>
      </w:r>
      <w:r>
        <w:rPr>
          <w:rFonts w:hint="eastAsia"/>
          <w:bCs/>
          <w:sz w:val="24"/>
        </w:rPr>
        <w:t>税后</w:t>
      </w:r>
      <w:r>
        <w:rPr>
          <w:bCs/>
          <w:sz w:val="24"/>
        </w:rPr>
        <w:t>)</w:t>
      </w:r>
      <w:r>
        <w:rPr>
          <w:rFonts w:hint="eastAsia"/>
          <w:bCs/>
          <w:sz w:val="24"/>
        </w:rPr>
        <w:t>。本基金管理人认为，该业绩比较基准目前能够忠实地反映本基金的风险收益特征。</w:t>
      </w:r>
    </w:p>
    <w:p>
      <w:pPr>
        <w:adjustRightInd w:val="0"/>
        <w:snapToGrid w:val="0"/>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个月内召集基金份额持有人大会进行表决，基金份额持有人大会未成功召开或就上述事项表决未通过的，基金合同终止。</w:t>
      </w:r>
    </w:p>
    <w:p>
      <w:pPr>
        <w:adjustRightInd w:val="0"/>
        <w:snapToGrid w:val="0"/>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adjustRightInd w:val="0"/>
        <w:snapToGrid w:val="0"/>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djustRightInd w:val="0"/>
        <w:snapToGrid w:val="0"/>
        <w:spacing w:line="360" w:lineRule="auto"/>
        <w:ind w:firstLine="482" w:firstLineChars="200"/>
        <w:rPr>
          <w:rFonts w:hAnsi="宋体"/>
          <w:color w:val="FF0000"/>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bCs/>
          <w:sz w:val="24"/>
        </w:rPr>
        <w:t>本基金是一只股票型基金，其预期风险与预期收益高于混合型基金、债券型基金和货币市场基金，属于承担较高预期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djustRightInd w:val="0"/>
        <w:snapToGrid w:val="0"/>
        <w:spacing w:line="360" w:lineRule="auto"/>
        <w:ind w:firstLine="482" w:firstLineChars="200"/>
        <w:rPr>
          <w:rFonts w:hAnsi="宋体"/>
          <w:b/>
          <w:bCs/>
          <w:sz w:val="24"/>
          <w:szCs w:val="24"/>
        </w:rPr>
      </w:pPr>
      <w:r>
        <w:rPr>
          <w:rFonts w:hint="eastAsia" w:hAnsi="宋体"/>
          <w:b/>
          <w:bCs/>
          <w:sz w:val="24"/>
          <w:szCs w:val="24"/>
        </w:rPr>
        <w:t>（七）基金管理人代表基金行使股东及债权人权利的处理原则及方法</w:t>
      </w:r>
    </w:p>
    <w:p>
      <w:pPr>
        <w:adjustRightInd w:val="0"/>
        <w:snapToGrid w:val="0"/>
        <w:spacing w:line="360" w:lineRule="auto"/>
        <w:ind w:firstLine="480" w:firstLineChars="200"/>
        <w:rPr>
          <w:rFonts w:hAnsi="宋体"/>
          <w:bCs/>
          <w:sz w:val="24"/>
          <w:szCs w:val="24"/>
        </w:rPr>
      </w:pPr>
      <w:r>
        <w:rPr>
          <w:rFonts w:hAnsi="宋体"/>
          <w:bCs/>
          <w:sz w:val="24"/>
          <w:szCs w:val="24"/>
        </w:rPr>
        <w:t>1</w:t>
      </w:r>
      <w:r>
        <w:rPr>
          <w:rFonts w:hint="eastAsia" w:hAnsi="宋体"/>
          <w:bCs/>
          <w:sz w:val="24"/>
          <w:szCs w:val="24"/>
        </w:rPr>
        <w:t>、基金管理人按照国家有关规定代表基金独立行使股东及债权人权利，保护基金份额持有人的利益；</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、不谋求对上市公司的控股，不参与所投资上市公司的经营管理；</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、有利于基金财产的安全与增值；</w:t>
      </w:r>
    </w:p>
    <w:p>
      <w:pPr>
        <w:adjustRightInd w:val="0"/>
        <w:snapToGrid w:val="0"/>
        <w:spacing w:line="360" w:lineRule="auto"/>
        <w:ind w:firstLine="480" w:firstLineChars="200"/>
        <w:rPr>
          <w:sz w:val="24"/>
          <w:szCs w:val="24"/>
        </w:rPr>
      </w:pPr>
      <w:r>
        <w:rPr>
          <w:rFonts w:hAnsi="宋体"/>
          <w:bCs/>
          <w:sz w:val="24"/>
          <w:szCs w:val="24"/>
        </w:rPr>
        <w:t>4</w:t>
      </w:r>
      <w:r>
        <w:rPr>
          <w:rFonts w:hint="eastAsia" w:hAnsi="宋体"/>
          <w:bCs/>
          <w:sz w:val="24"/>
          <w:szCs w:val="24"/>
        </w:rPr>
        <w:t>、不通过关联交易为自身、雇员、授权代理人或任何存在利害关系的第三人牟取任何不当利益。</w:t>
      </w:r>
      <w:bookmarkEnd w:id="55"/>
      <w:bookmarkEnd w:id="56"/>
      <w:bookmarkEnd w:id="57"/>
      <w:bookmarkStart w:id="61" w:name="_Toc109059036"/>
      <w:bookmarkEnd w:id="61"/>
      <w:bookmarkStart w:id="62" w:name="_Toc109059025"/>
      <w:bookmarkEnd w:id="62"/>
      <w:bookmarkStart w:id="63" w:name="_Toc109059037"/>
      <w:bookmarkEnd w:id="63"/>
      <w:bookmarkStart w:id="64" w:name="_Hlt5528681"/>
      <w:bookmarkEnd w:id="64"/>
      <w:bookmarkStart w:id="65" w:name="_Hlt81033424"/>
      <w:bookmarkEnd w:id="65"/>
      <w:bookmarkStart w:id="66" w:name="_Hlt81033092"/>
      <w:bookmarkEnd w:id="66"/>
      <w:bookmarkStart w:id="67" w:name="_Hlt5604240"/>
      <w:bookmarkEnd w:id="67"/>
      <w:bookmarkStart w:id="68" w:name="_Hlt88281392"/>
      <w:bookmarkEnd w:id="68"/>
      <w:bookmarkStart w:id="69" w:name="_Toc154909614"/>
      <w:bookmarkStart w:id="70" w:name="_Toc155690783"/>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八</w:t>
      </w:r>
      <w:r>
        <w:rPr>
          <w:rFonts w:hAnsi="宋体"/>
          <w:b/>
          <w:sz w:val="24"/>
          <w:szCs w:val="24"/>
        </w:rPr>
        <w:t>）投资决策依据和投资流程</w:t>
      </w:r>
    </w:p>
    <w:p>
      <w:pPr>
        <w:adjustRightInd w:val="0"/>
        <w:snapToGrid w:val="0"/>
        <w:spacing w:line="360" w:lineRule="auto"/>
        <w:ind w:firstLine="480" w:firstLineChars="200"/>
        <w:rPr>
          <w:sz w:val="24"/>
          <w:szCs w:val="24"/>
        </w:rPr>
      </w:pPr>
      <w:r>
        <w:rPr>
          <w:rFonts w:hint="eastAsia"/>
          <w:sz w:val="24"/>
          <w:szCs w:val="24"/>
        </w:rPr>
        <w:t>1、决策依据</w:t>
      </w:r>
    </w:p>
    <w:p>
      <w:pPr>
        <w:adjustRightInd w:val="0"/>
        <w:snapToGrid w:val="0"/>
        <w:spacing w:line="360" w:lineRule="auto"/>
        <w:ind w:firstLine="480" w:firstLineChars="200"/>
        <w:rPr>
          <w:sz w:val="24"/>
          <w:szCs w:val="24"/>
        </w:rPr>
      </w:pPr>
      <w:r>
        <w:rPr>
          <w:rFonts w:hint="eastAsia"/>
          <w:sz w:val="24"/>
          <w:szCs w:val="24"/>
        </w:rPr>
        <w:t>有关法律法规、基金合同和标的指数的相关规定是基金管理人运用基金财产的决策依据。</w:t>
      </w:r>
    </w:p>
    <w:p>
      <w:pPr>
        <w:adjustRightInd w:val="0"/>
        <w:snapToGrid w:val="0"/>
        <w:spacing w:line="360" w:lineRule="auto"/>
        <w:ind w:firstLine="480" w:firstLineChars="200"/>
        <w:rPr>
          <w:sz w:val="24"/>
          <w:szCs w:val="24"/>
        </w:rPr>
      </w:pPr>
      <w:r>
        <w:rPr>
          <w:rFonts w:hint="eastAsia"/>
          <w:sz w:val="24"/>
          <w:szCs w:val="24"/>
        </w:rPr>
        <w:t>2、决策和交易机制</w:t>
      </w:r>
    </w:p>
    <w:p>
      <w:pPr>
        <w:adjustRightInd w:val="0"/>
        <w:snapToGrid w:val="0"/>
        <w:spacing w:line="360" w:lineRule="auto"/>
        <w:ind w:firstLine="480" w:firstLineChars="200"/>
        <w:rPr>
          <w:sz w:val="24"/>
          <w:szCs w:val="24"/>
        </w:rPr>
      </w:pPr>
      <w:r>
        <w:rPr>
          <w:rFonts w:hint="eastAsia"/>
          <w:sz w:val="24"/>
          <w:szCs w:val="24"/>
        </w:rPr>
        <w:t>本基金实行投资决策委员会领导下的基金经理负责制。</w:t>
      </w:r>
    </w:p>
    <w:p>
      <w:pPr>
        <w:adjustRightInd w:val="0"/>
        <w:snapToGrid w:val="0"/>
        <w:spacing w:line="360" w:lineRule="auto"/>
        <w:ind w:firstLine="480" w:firstLineChars="200"/>
        <w:rPr>
          <w:sz w:val="24"/>
          <w:szCs w:val="24"/>
        </w:rPr>
      </w:pPr>
      <w:r>
        <w:rPr>
          <w:rFonts w:hint="eastAsia"/>
          <w:sz w:val="24"/>
          <w:szCs w:val="24"/>
        </w:rPr>
        <w:t>投资决策委员会的主要职责是决定有关指数重大调整的应对决策、其他重大组合调整决策以及重大的单项投资决策。</w:t>
      </w:r>
    </w:p>
    <w:p>
      <w:pPr>
        <w:adjustRightInd w:val="0"/>
        <w:snapToGrid w:val="0"/>
        <w:spacing w:line="360" w:lineRule="auto"/>
        <w:ind w:firstLine="480" w:firstLineChars="200"/>
        <w:rPr>
          <w:sz w:val="24"/>
          <w:szCs w:val="24"/>
        </w:rPr>
      </w:pPr>
      <w:r>
        <w:rPr>
          <w:rFonts w:hint="eastAsia"/>
          <w:sz w:val="24"/>
          <w:szCs w:val="24"/>
        </w:rPr>
        <w:t>基金经理的主要职责是决定日常指数跟踪维护过程中的组合构建、调整决策。</w:t>
      </w:r>
    </w:p>
    <w:p>
      <w:pPr>
        <w:adjustRightInd w:val="0"/>
        <w:snapToGrid w:val="0"/>
        <w:spacing w:line="360" w:lineRule="auto"/>
        <w:ind w:firstLine="480" w:firstLineChars="200"/>
        <w:rPr>
          <w:sz w:val="24"/>
          <w:szCs w:val="24"/>
        </w:rPr>
      </w:pPr>
      <w:r>
        <w:rPr>
          <w:rFonts w:hint="eastAsia"/>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rPr>
          <w:sz w:val="24"/>
          <w:szCs w:val="24"/>
        </w:rPr>
      </w:pPr>
      <w:r>
        <w:rPr>
          <w:rFonts w:hint="eastAsia"/>
          <w:sz w:val="24"/>
          <w:szCs w:val="24"/>
        </w:rPr>
        <w:t>3、投资程序</w:t>
      </w:r>
    </w:p>
    <w:p>
      <w:pPr>
        <w:adjustRightInd w:val="0"/>
        <w:snapToGrid w:val="0"/>
        <w:spacing w:line="360" w:lineRule="auto"/>
        <w:ind w:firstLine="480" w:firstLineChars="200"/>
        <w:rPr>
          <w:sz w:val="24"/>
          <w:szCs w:val="24"/>
        </w:rPr>
      </w:pPr>
      <w:r>
        <w:rPr>
          <w:rFonts w:hint="eastAsia"/>
          <w:sz w:val="24"/>
          <w:szCs w:val="24"/>
        </w:rPr>
        <w:t>研究、决策、组合构建、交易、评估及组合维护的有机配合共同构成了本基金的投资管理程序。严格的投资管理程序可以保证投资理念的正确执行，避免重大风险的发生。</w:t>
      </w:r>
    </w:p>
    <w:p>
      <w:pPr>
        <w:adjustRightInd w:val="0"/>
        <w:snapToGrid w:val="0"/>
        <w:spacing w:line="360" w:lineRule="auto"/>
        <w:ind w:firstLine="480" w:firstLineChars="200"/>
        <w:rPr>
          <w:sz w:val="24"/>
          <w:szCs w:val="24"/>
        </w:rPr>
      </w:pPr>
      <w:r>
        <w:rPr>
          <w:rFonts w:hint="eastAsia"/>
          <w:sz w:val="24"/>
          <w:szCs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pPr>
        <w:adjustRightInd w:val="0"/>
        <w:snapToGrid w:val="0"/>
        <w:spacing w:line="360" w:lineRule="auto"/>
        <w:ind w:firstLine="480" w:firstLineChars="200"/>
        <w:rPr>
          <w:sz w:val="24"/>
          <w:szCs w:val="24"/>
        </w:rPr>
      </w:pPr>
      <w:r>
        <w:rPr>
          <w:rFonts w:hint="eastAsia"/>
          <w:sz w:val="24"/>
          <w:szCs w:val="24"/>
        </w:rPr>
        <w:t>（2）投资决策：投资决策委员会定期召开或遇重大事项时召开投资决策会议，决策相关事项。基金经理根据投资决策委员会的决议，每日进行基金投资管理的日常决策。</w:t>
      </w:r>
    </w:p>
    <w:p>
      <w:pPr>
        <w:adjustRightInd w:val="0"/>
        <w:snapToGrid w:val="0"/>
        <w:spacing w:line="360" w:lineRule="auto"/>
        <w:ind w:firstLine="480" w:firstLineChars="200"/>
        <w:rPr>
          <w:sz w:val="24"/>
          <w:szCs w:val="24"/>
        </w:rPr>
      </w:pPr>
      <w:r>
        <w:rPr>
          <w:rFonts w:hint="eastAsia"/>
          <w:sz w:val="24"/>
          <w:szCs w:val="24"/>
        </w:rPr>
        <w:t>（3）组合构建：根据标的指数情况，结合研究支持，基金经理构建以目标指数成分股为主的证券组合。在追求跟踪误差和偏离度最小化的前提下，基金经理将采取适当的方法，以降低买入成本、控制投资风险。</w:t>
      </w:r>
    </w:p>
    <w:p>
      <w:pPr>
        <w:adjustRightInd w:val="0"/>
        <w:snapToGrid w:val="0"/>
        <w:spacing w:line="360" w:lineRule="auto"/>
        <w:ind w:firstLine="480" w:firstLineChars="200"/>
        <w:rPr>
          <w:sz w:val="24"/>
          <w:szCs w:val="24"/>
        </w:rPr>
      </w:pPr>
      <w:r>
        <w:rPr>
          <w:rFonts w:hint="eastAsia"/>
          <w:sz w:val="24"/>
          <w:szCs w:val="24"/>
        </w:rPr>
        <w:t>（4）交易执行：中央交易室负责具体的交易执行，同时履行一线监控的职责。</w:t>
      </w:r>
    </w:p>
    <w:p>
      <w:pPr>
        <w:adjustRightInd w:val="0"/>
        <w:snapToGrid w:val="0"/>
        <w:spacing w:line="360" w:lineRule="auto"/>
        <w:ind w:firstLine="480" w:firstLineChars="200"/>
        <w:rPr>
          <w:sz w:val="24"/>
          <w:szCs w:val="24"/>
        </w:rPr>
      </w:pPr>
      <w:r>
        <w:rPr>
          <w:rFonts w:hint="eastAsia"/>
          <w:sz w:val="24"/>
          <w:szCs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pPr>
        <w:adjustRightInd w:val="0"/>
        <w:snapToGrid w:val="0"/>
        <w:spacing w:line="360" w:lineRule="auto"/>
        <w:ind w:firstLine="480" w:firstLineChars="200"/>
        <w:rPr>
          <w:b/>
          <w:kern w:val="0"/>
          <w:sz w:val="24"/>
          <w:szCs w:val="24"/>
        </w:rPr>
      </w:pPr>
      <w:r>
        <w:rPr>
          <w:rFonts w:hint="eastAsia"/>
          <w:sz w:val="24"/>
          <w:szCs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1" w:name="_Toc78208364"/>
    </w:p>
    <w:p>
      <w:pPr>
        <w:adjustRightInd w:val="0"/>
        <w:snapToGrid w:val="0"/>
        <w:spacing w:line="360" w:lineRule="auto"/>
        <w:ind w:firstLine="482" w:firstLineChars="200"/>
        <w:rPr>
          <w:rFonts w:hAnsi="宋体"/>
          <w:b/>
          <w:sz w:val="24"/>
          <w:szCs w:val="24"/>
        </w:rPr>
      </w:pPr>
      <w:r>
        <w:rPr>
          <w:rFonts w:hAnsi="宋体"/>
          <w:b/>
          <w:sz w:val="24"/>
          <w:szCs w:val="24"/>
        </w:rPr>
        <w:t>（十）基金投资组合报告</w:t>
      </w:r>
    </w:p>
    <w:p>
      <w:pPr>
        <w:adjustRightInd w:val="0"/>
        <w:snapToGrid w:val="0"/>
        <w:spacing w:line="360" w:lineRule="auto"/>
        <w:ind w:firstLine="480" w:firstLineChars="200"/>
        <w:rPr>
          <w:sz w:val="24"/>
          <w:szCs w:val="24"/>
        </w:rPr>
      </w:pPr>
      <w:r>
        <w:rPr>
          <w:sz w:val="24"/>
          <w:szCs w:val="24"/>
        </w:rPr>
        <w:t>基金管理人的董事会及董事保证本报告所载资料不存在虚假记载、误导性陈述或重大遗漏，并对其内容的真实性、准确性和完整性承担个别及连带责任。</w:t>
      </w:r>
    </w:p>
    <w:p>
      <w:pPr>
        <w:adjustRightInd w:val="0"/>
        <w:snapToGrid w:val="0"/>
        <w:spacing w:line="360" w:lineRule="auto"/>
        <w:ind w:firstLine="480" w:firstLineChars="200"/>
        <w:rPr>
          <w:sz w:val="24"/>
          <w:szCs w:val="24"/>
        </w:rPr>
      </w:pPr>
      <w:r>
        <w:rPr>
          <w:sz w:val="24"/>
          <w:szCs w:val="24"/>
        </w:rPr>
        <w:t>基金托管人</w:t>
      </w:r>
      <w:r>
        <w:rPr>
          <w:rFonts w:hint="eastAsia"/>
          <w:sz w:val="24"/>
          <w:szCs w:val="24"/>
        </w:rPr>
        <w:t>中信银行股份</w:t>
      </w:r>
      <w:r>
        <w:rPr>
          <w:sz w:val="24"/>
          <w:szCs w:val="24"/>
        </w:rPr>
        <w:t>有限公司根据本基金合同规定，</w:t>
      </w:r>
      <w:r>
        <w:rPr>
          <w:rFonts w:hint="eastAsia"/>
          <w:sz w:val="24"/>
          <w:szCs w:val="24"/>
        </w:rPr>
        <w:t>于2020年4月21日复核了本报告中的财务指标</w:t>
      </w:r>
      <w:r>
        <w:rPr>
          <w:sz w:val="24"/>
          <w:szCs w:val="24"/>
        </w:rPr>
        <w:t>、净值表现和投资组合报告等内容，保证复核内容不存在虚假记载、误导性陈述或者重大遗漏。</w:t>
      </w:r>
    </w:p>
    <w:p>
      <w:pPr>
        <w:adjustRightInd w:val="0"/>
        <w:snapToGrid w:val="0"/>
        <w:spacing w:line="360" w:lineRule="auto"/>
        <w:ind w:firstLine="480" w:firstLineChars="200"/>
        <w:rPr>
          <w:sz w:val="24"/>
          <w:szCs w:val="24"/>
        </w:rPr>
      </w:pPr>
      <w:r>
        <w:rPr>
          <w:sz w:val="24"/>
          <w:szCs w:val="24"/>
        </w:rPr>
        <w:t>本报告期为</w:t>
      </w:r>
      <w:r>
        <w:rPr>
          <w:rFonts w:hint="eastAsia"/>
          <w:sz w:val="24"/>
          <w:szCs w:val="24"/>
        </w:rPr>
        <w:t>2020年1月1日起至3月31日</w:t>
      </w:r>
      <w:r>
        <w:rPr>
          <w:sz w:val="24"/>
          <w:szCs w:val="24"/>
        </w:rPr>
        <w:t>。本报告财务资料未经审计师审计。</w:t>
      </w:r>
    </w:p>
    <w:p>
      <w:pPr>
        <w:numPr>
          <w:ilvl w:val="0"/>
          <w:numId w:val="2"/>
        </w:numPr>
        <w:autoSpaceDE w:val="0"/>
        <w:autoSpaceDN w:val="0"/>
        <w:adjustRightInd w:val="0"/>
        <w:spacing w:before="100" w:beforeAutospacing="1" w:after="143" w:afterLines="50" w:line="360" w:lineRule="auto"/>
        <w:ind w:firstLine="480" w:firstLineChars="200"/>
        <w:contextualSpacing/>
        <w:jc w:val="left"/>
        <w:rPr>
          <w:kern w:val="0"/>
          <w:sz w:val="24"/>
        </w:rPr>
      </w:pPr>
      <w:r>
        <w:rPr>
          <w:kern w:val="0"/>
          <w:sz w:val="24"/>
        </w:rPr>
        <w:t>报告期末基金资产组合情况</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57"/>
        <w:gridCol w:w="297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序号</w:t>
            </w:r>
          </w:p>
        </w:tc>
        <w:tc>
          <w:tcPr>
            <w:tcW w:w="3357"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项目</w:t>
            </w:r>
          </w:p>
        </w:tc>
        <w:tc>
          <w:tcPr>
            <w:tcW w:w="2977"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金额(元)</w:t>
            </w:r>
          </w:p>
        </w:tc>
        <w:tc>
          <w:tcPr>
            <w:tcW w:w="1843"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eastAsiaTheme="minorEastAsia"/>
                <w:color w:val="000000" w:themeColor="text1"/>
                <w:sz w:val="24"/>
                <w14:textFill>
                  <w14:solidFill>
                    <w14:schemeClr w14:val="tx1"/>
                  </w14:solidFill>
                </w14:textFill>
              </w:rPr>
              <w:t>1</w:t>
            </w: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权益投资</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90,455,964.16</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其中：股票</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90,455,964.16</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2</w:t>
            </w:r>
          </w:p>
        </w:tc>
        <w:tc>
          <w:tcPr>
            <w:tcW w:w="3357" w:type="dxa"/>
            <w:vAlign w:val="center"/>
          </w:tcPr>
          <w:p>
            <w:pPr>
              <w:spacing w:before="29" w:line="360" w:lineRule="auto"/>
              <w:ind w:left="17"/>
              <w:contextualSpacing/>
              <w:jc w:val="left"/>
              <w:rPr>
                <w:rFonts w:eastAsiaTheme="minorEastAsia"/>
                <w:sz w:val="24"/>
              </w:rPr>
            </w:pPr>
            <w:r>
              <w:rPr>
                <w:rFonts w:hint="eastAsia" w:ascii="宋体" w:hAnsi="宋体"/>
                <w:sz w:val="24"/>
              </w:rPr>
              <w:t>基金投资</w:t>
            </w:r>
          </w:p>
        </w:tc>
        <w:tc>
          <w:tcPr>
            <w:tcW w:w="2977" w:type="dxa"/>
            <w:vAlign w:val="center"/>
          </w:tcPr>
          <w:p>
            <w:pPr>
              <w:spacing w:before="29" w:line="360" w:lineRule="auto"/>
              <w:ind w:left="17"/>
              <w:contextualSpacing/>
              <w:jc w:val="right"/>
              <w:rPr>
                <w:rFonts w:eastAsiaTheme="minorEastAsia"/>
                <w:color w:val="000000"/>
                <w:sz w:val="24"/>
              </w:rPr>
            </w:pPr>
            <w:r>
              <w:rPr>
                <w:rFonts w:hint="eastAsia"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hint="eastAsia"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3</w:t>
            </w:r>
          </w:p>
        </w:tc>
        <w:tc>
          <w:tcPr>
            <w:tcW w:w="3357" w:type="dxa"/>
            <w:vAlign w:val="center"/>
          </w:tcPr>
          <w:p>
            <w:pPr>
              <w:spacing w:before="29" w:line="360" w:lineRule="auto"/>
              <w:ind w:left="17"/>
              <w:contextualSpacing/>
              <w:jc w:val="left"/>
              <w:rPr>
                <w:rFonts w:eastAsiaTheme="minorEastAsia"/>
                <w:color w:val="000000"/>
                <w:sz w:val="24"/>
              </w:rPr>
            </w:pPr>
            <w:r>
              <w:rPr>
                <w:rFonts w:eastAsiaTheme="minorEastAsia"/>
                <w:color w:val="000000" w:themeColor="text1"/>
                <w:sz w:val="24"/>
                <w14:textFill>
                  <w14:solidFill>
                    <w14:schemeClr w14:val="tx1"/>
                  </w14:solidFill>
                </w14:textFill>
              </w:rPr>
              <w:t>固定收益投资</w:t>
            </w:r>
          </w:p>
        </w:tc>
        <w:tc>
          <w:tcPr>
            <w:tcW w:w="2977" w:type="dxa"/>
            <w:vAlign w:val="center"/>
          </w:tcPr>
          <w:p>
            <w:pPr>
              <w:spacing w:before="29" w:line="360" w:lineRule="auto"/>
              <w:ind w:left="17"/>
              <w:contextualSpacing/>
              <w:jc w:val="right"/>
              <w:rPr>
                <w:color w:val="000000"/>
                <w:sz w:val="24"/>
              </w:rPr>
            </w:pPr>
            <w:r>
              <w:rPr>
                <w:rFonts w:eastAsiaTheme="minorEastAsia"/>
                <w:color w:val="000000" w:themeColor="text1"/>
                <w:sz w:val="24"/>
                <w14:textFill>
                  <w14:solidFill>
                    <w14:schemeClr w14:val="tx1"/>
                  </w14:solidFill>
                </w14:textFill>
              </w:rPr>
              <w:t>354,000.00</w:t>
            </w:r>
          </w:p>
        </w:tc>
        <w:tc>
          <w:tcPr>
            <w:tcW w:w="1843" w:type="dxa"/>
            <w:vAlign w:val="center"/>
          </w:tcPr>
          <w:p>
            <w:pPr>
              <w:spacing w:before="29" w:line="360" w:lineRule="auto"/>
              <w:ind w:left="17"/>
              <w:contextualSpacing/>
              <w:jc w:val="right"/>
              <w:rPr>
                <w:color w:val="000000"/>
                <w:sz w:val="24"/>
              </w:rPr>
            </w:pPr>
            <w:r>
              <w:rPr>
                <w:rFonts w:eastAsiaTheme="minorEastAsia"/>
                <w:color w:val="000000" w:themeColor="text1"/>
                <w:sz w:val="24"/>
                <w14:textFill>
                  <w14:solidFill>
                    <w14:schemeClr w14:val="tx1"/>
                  </w14:solidFill>
                </w14:textFill>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其中：债券</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354,000.00</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p>
        </w:tc>
        <w:tc>
          <w:tcPr>
            <w:tcW w:w="3357" w:type="dxa"/>
            <w:vAlign w:val="center"/>
          </w:tcPr>
          <w:p>
            <w:pPr>
              <w:autoSpaceDE w:val="0"/>
              <w:autoSpaceDN w:val="0"/>
              <w:adjustRightInd w:val="0"/>
              <w:spacing w:before="29" w:line="360" w:lineRule="auto"/>
              <w:ind w:left="17" w:firstLine="720" w:firstLineChars="300"/>
              <w:contextualSpacing/>
              <w:jc w:val="left"/>
              <w:rPr>
                <w:rFonts w:eastAsiaTheme="minorEastAsia"/>
                <w:color w:val="000000"/>
                <w:sz w:val="24"/>
              </w:rPr>
            </w:pPr>
            <w:r>
              <w:rPr>
                <w:rFonts w:eastAsiaTheme="minorEastAsia"/>
                <w:color w:val="000000" w:themeColor="text1"/>
                <w:sz w:val="24"/>
                <w14:textFill>
                  <w14:solidFill>
                    <w14:schemeClr w14:val="tx1"/>
                  </w14:solidFill>
                </w14:textFill>
              </w:rPr>
              <w:t>资产支持证券</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4</w:t>
            </w:r>
          </w:p>
        </w:tc>
        <w:tc>
          <w:tcPr>
            <w:tcW w:w="3357" w:type="dxa"/>
            <w:vAlign w:val="center"/>
          </w:tcPr>
          <w:p>
            <w:pPr>
              <w:autoSpaceDE w:val="0"/>
              <w:autoSpaceDN w:val="0"/>
              <w:adjustRightInd w:val="0"/>
              <w:spacing w:before="29" w:line="360" w:lineRule="auto"/>
              <w:ind w:left="17"/>
              <w:contextualSpacing/>
              <w:jc w:val="left"/>
              <w:rPr>
                <w:rFonts w:eastAsiaTheme="minorEastAsia"/>
                <w:color w:val="000000"/>
                <w:sz w:val="24"/>
              </w:rPr>
            </w:pPr>
            <w:r>
              <w:rPr>
                <w:rFonts w:eastAsiaTheme="minorEastAsia"/>
                <w:color w:val="000000" w:themeColor="text1"/>
                <w:sz w:val="24"/>
                <w14:textFill>
                  <w14:solidFill>
                    <w14:schemeClr w14:val="tx1"/>
                  </w14:solidFill>
                </w14:textFill>
              </w:rPr>
              <w:t>贵金属投资</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5</w:t>
            </w:r>
          </w:p>
        </w:tc>
        <w:tc>
          <w:tcPr>
            <w:tcW w:w="3357" w:type="dxa"/>
            <w:vAlign w:val="center"/>
          </w:tcPr>
          <w:p>
            <w:pPr>
              <w:spacing w:before="29" w:line="360" w:lineRule="auto"/>
              <w:ind w:left="17"/>
              <w:contextualSpacing/>
              <w:jc w:val="left"/>
              <w:rPr>
                <w:rFonts w:eastAsiaTheme="minorEastAsia"/>
                <w:color w:val="000000"/>
                <w:sz w:val="24"/>
              </w:rPr>
            </w:pPr>
            <w:r>
              <w:rPr>
                <w:rFonts w:eastAsiaTheme="minorEastAsia"/>
                <w:color w:val="000000" w:themeColor="text1"/>
                <w:sz w:val="24"/>
                <w14:textFill>
                  <w14:solidFill>
                    <w14:schemeClr w14:val="tx1"/>
                  </w14:solidFill>
                </w14:textFill>
              </w:rPr>
              <w:t>金融衍生品投资</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6</w:t>
            </w: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买入返售金融资产</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其中：买断式回购的买入返售金融资产</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hint="eastAsia" w:eastAsiaTheme="minorEastAsia"/>
                <w:color w:val="000000" w:themeColor="text1"/>
                <w:sz w:val="24"/>
                <w14:textFill>
                  <w14:solidFill>
                    <w14:schemeClr w14:val="tx1"/>
                  </w14:solidFill>
                </w14:textFill>
              </w:rPr>
              <w:t>7</w:t>
            </w:r>
          </w:p>
        </w:tc>
        <w:tc>
          <w:tcPr>
            <w:tcW w:w="3357" w:type="dxa"/>
            <w:vAlign w:val="center"/>
          </w:tcPr>
          <w:p>
            <w:pPr>
              <w:spacing w:before="29" w:line="360" w:lineRule="auto"/>
              <w:ind w:left="17"/>
              <w:contextualSpacing/>
              <w:jc w:val="left"/>
              <w:rPr>
                <w:rFonts w:eastAsiaTheme="minorEastAsia"/>
                <w:sz w:val="24"/>
              </w:rPr>
            </w:pPr>
            <w:r>
              <w:rPr>
                <w:rFonts w:eastAsiaTheme="minorEastAsia"/>
                <w:color w:val="000000" w:themeColor="text1"/>
                <w:sz w:val="24"/>
                <w14:textFill>
                  <w14:solidFill>
                    <w14:schemeClr w14:val="tx1"/>
                  </w14:solidFill>
                </w14:textFill>
              </w:rPr>
              <w:t>银行存款和结算备付金合计</w:t>
            </w:r>
          </w:p>
        </w:tc>
        <w:tc>
          <w:tcPr>
            <w:tcW w:w="2977"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6,969,804.04</w:t>
            </w:r>
          </w:p>
        </w:tc>
        <w:tc>
          <w:tcPr>
            <w:tcW w:w="1843" w:type="dxa"/>
            <w:vAlign w:val="center"/>
          </w:tcPr>
          <w:p>
            <w:pPr>
              <w:spacing w:before="29" w:line="360" w:lineRule="auto"/>
              <w:ind w:left="17"/>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eastAsiaTheme="minorEastAsia"/>
                <w:color w:val="000000" w:themeColor="text1"/>
                <w:sz w:val="24"/>
                <w14:textFill>
                  <w14:solidFill>
                    <w14:schemeClr w14:val="tx1"/>
                  </w14:solidFill>
                </w14:textFill>
              </w:rPr>
              <w:t>8</w:t>
            </w:r>
          </w:p>
        </w:tc>
        <w:tc>
          <w:tcPr>
            <w:tcW w:w="3357" w:type="dxa"/>
            <w:vAlign w:val="center"/>
          </w:tcPr>
          <w:p>
            <w:pPr>
              <w:spacing w:line="360" w:lineRule="auto"/>
              <w:contextualSpacing/>
              <w:jc w:val="left"/>
              <w:rPr>
                <w:rFonts w:eastAsiaTheme="minorEastAsia"/>
                <w:sz w:val="24"/>
              </w:rPr>
            </w:pPr>
            <w:r>
              <w:rPr>
                <w:rFonts w:eastAsiaTheme="minorEastAsia"/>
                <w:color w:val="000000" w:themeColor="text1"/>
                <w:sz w:val="24"/>
                <w14:textFill>
                  <w14:solidFill>
                    <w14:schemeClr w14:val="tx1"/>
                  </w14:solidFill>
                </w14:textFill>
              </w:rPr>
              <w:t>其他各项资产</w:t>
            </w:r>
          </w:p>
        </w:tc>
        <w:tc>
          <w:tcPr>
            <w:tcW w:w="2977" w:type="dxa"/>
            <w:vAlign w:val="center"/>
          </w:tcPr>
          <w:p>
            <w:pPr>
              <w:spacing w:line="360" w:lineRule="auto"/>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427,451.09</w:t>
            </w:r>
          </w:p>
        </w:tc>
        <w:tc>
          <w:tcPr>
            <w:tcW w:w="1843" w:type="dxa"/>
            <w:vAlign w:val="center"/>
          </w:tcPr>
          <w:p>
            <w:pPr>
              <w:spacing w:line="360" w:lineRule="auto"/>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before="29" w:line="360" w:lineRule="auto"/>
              <w:ind w:left="17"/>
              <w:contextualSpacing/>
              <w:jc w:val="center"/>
              <w:rPr>
                <w:rFonts w:eastAsiaTheme="minorEastAsia"/>
                <w:color w:val="000000"/>
                <w:sz w:val="24"/>
              </w:rPr>
            </w:pPr>
            <w:r>
              <w:rPr>
                <w:rFonts w:eastAsiaTheme="minorEastAsia"/>
                <w:color w:val="000000" w:themeColor="text1"/>
                <w:sz w:val="24"/>
                <w14:textFill>
                  <w14:solidFill>
                    <w14:schemeClr w14:val="tx1"/>
                  </w14:solidFill>
                </w14:textFill>
              </w:rPr>
              <w:t>9</w:t>
            </w:r>
          </w:p>
        </w:tc>
        <w:tc>
          <w:tcPr>
            <w:tcW w:w="3357" w:type="dxa"/>
            <w:vAlign w:val="center"/>
          </w:tcPr>
          <w:p>
            <w:pPr>
              <w:spacing w:line="360" w:lineRule="auto"/>
              <w:contextualSpacing/>
              <w:jc w:val="left"/>
              <w:rPr>
                <w:rFonts w:eastAsiaTheme="minorEastAsia"/>
                <w:sz w:val="24"/>
              </w:rPr>
            </w:pPr>
            <w:r>
              <w:rPr>
                <w:rFonts w:eastAsiaTheme="minorEastAsia"/>
                <w:color w:val="000000" w:themeColor="text1"/>
                <w:sz w:val="24"/>
                <w14:textFill>
                  <w14:solidFill>
                    <w14:schemeClr w14:val="tx1"/>
                  </w14:solidFill>
                </w14:textFill>
              </w:rPr>
              <w:t>合计</w:t>
            </w:r>
          </w:p>
        </w:tc>
        <w:tc>
          <w:tcPr>
            <w:tcW w:w="2977" w:type="dxa"/>
            <w:vAlign w:val="center"/>
          </w:tcPr>
          <w:p>
            <w:pPr>
              <w:spacing w:line="360" w:lineRule="auto"/>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98,207,219.29</w:t>
            </w:r>
          </w:p>
        </w:tc>
        <w:tc>
          <w:tcPr>
            <w:tcW w:w="1843" w:type="dxa"/>
            <w:vAlign w:val="center"/>
          </w:tcPr>
          <w:p>
            <w:pPr>
              <w:spacing w:line="360" w:lineRule="auto"/>
              <w:contextualSpacing/>
              <w:jc w:val="right"/>
              <w:rPr>
                <w:rFonts w:eastAsiaTheme="minorEastAsia"/>
                <w:color w:val="000000"/>
                <w:sz w:val="24"/>
              </w:rPr>
            </w:pPr>
            <w:r>
              <w:rPr>
                <w:rFonts w:eastAsiaTheme="minorEastAsia"/>
                <w:color w:val="000000" w:themeColor="text1"/>
                <w:sz w:val="24"/>
                <w14:textFill>
                  <w14:solidFill>
                    <w14:schemeClr w14:val="tx1"/>
                  </w14:solidFill>
                </w14:textFill>
              </w:rPr>
              <w:t>100.00</w:t>
            </w:r>
          </w:p>
        </w:tc>
      </w:tr>
    </w:tbl>
    <w:p>
      <w:pPr>
        <w:numPr>
          <w:ilvl w:val="0"/>
          <w:numId w:val="2"/>
        </w:numPr>
        <w:autoSpaceDE w:val="0"/>
        <w:autoSpaceDN w:val="0"/>
        <w:adjustRightInd w:val="0"/>
        <w:spacing w:before="100" w:beforeAutospacing="1" w:after="100" w:afterAutospacing="1" w:line="360" w:lineRule="auto"/>
        <w:contextualSpacing/>
        <w:jc w:val="left"/>
        <w:rPr>
          <w:kern w:val="0"/>
          <w:sz w:val="24"/>
        </w:rPr>
      </w:pPr>
      <w:r>
        <w:rPr>
          <w:kern w:val="0"/>
          <w:sz w:val="24"/>
        </w:rPr>
        <w:t>报告期末按行业分类的股票投资组合</w:t>
      </w:r>
    </w:p>
    <w:p>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2.1积极投资按行业分类的股票投资组合</w:t>
      </w:r>
    </w:p>
    <w:p>
      <w:pPr>
        <w:autoSpaceDE w:val="0"/>
        <w:autoSpaceDN w:val="0"/>
        <w:adjustRightInd w:val="0"/>
        <w:spacing w:before="100" w:beforeAutospacing="1" w:after="100" w:afterAutospacing="1" w:line="360" w:lineRule="auto"/>
        <w:ind w:firstLine="420"/>
        <w:contextualSpacing/>
        <w:jc w:val="left"/>
        <w:rPr>
          <w:kern w:val="0"/>
          <w:sz w:val="24"/>
        </w:rPr>
      </w:pPr>
      <w:r>
        <w:rPr>
          <w:rFonts w:hint="eastAsia"/>
          <w:kern w:val="0"/>
          <w:sz w:val="24"/>
        </w:rPr>
        <w:t>本基金本报告期末未持有积极投资的股票。</w:t>
      </w:r>
    </w:p>
    <w:p>
      <w:pPr>
        <w:adjustRightInd w:val="0"/>
        <w:spacing w:line="360" w:lineRule="auto"/>
        <w:ind w:firstLine="480" w:firstLineChars="200"/>
        <w:contextualSpacing/>
        <w:rPr>
          <w:sz w:val="24"/>
          <w:szCs w:val="24"/>
        </w:rPr>
      </w:pPr>
      <w:r>
        <w:rPr>
          <w:kern w:val="0"/>
          <w:sz w:val="24"/>
        </w:rPr>
        <w:t>2.2指数投资按行业分类的股票投资组合</w:t>
      </w:r>
    </w:p>
    <w:tbl>
      <w:tblPr>
        <w:tblStyle w:val="28"/>
        <w:tblW w:w="873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691"/>
        <w:gridCol w:w="2710"/>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contextualSpacing/>
              <w:jc w:val="center"/>
              <w:rPr>
                <w:rFonts w:eastAsiaTheme="minorEastAsia"/>
                <w:sz w:val="24"/>
              </w:rPr>
            </w:pPr>
            <w:r>
              <w:rPr>
                <w:rFonts w:eastAsiaTheme="minorEastAsia"/>
                <w:sz w:val="24"/>
              </w:rPr>
              <w:t>代码</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rFonts w:eastAsiaTheme="minorEastAsia"/>
                <w:sz w:val="24"/>
              </w:rPr>
              <w:t>行业类别</w:t>
            </w:r>
          </w:p>
        </w:tc>
        <w:tc>
          <w:tcPr>
            <w:tcW w:w="2710" w:type="dxa"/>
            <w:tcBorders>
              <w:top w:val="single" w:color="000000" w:sz="4" w:space="0"/>
              <w:left w:val="single" w:color="auto" w:sz="4" w:space="0"/>
              <w:bottom w:val="single" w:color="000000" w:sz="4" w:space="0"/>
              <w:right w:val="single" w:color="000000" w:sz="4" w:space="0"/>
            </w:tcBorders>
            <w:vAlign w:val="center"/>
          </w:tcPr>
          <w:p>
            <w:pPr>
              <w:adjustRightInd w:val="0"/>
              <w:spacing w:line="360" w:lineRule="auto"/>
              <w:contextualSpacing/>
              <w:jc w:val="center"/>
              <w:rPr>
                <w:rFonts w:eastAsiaTheme="minorEastAsia"/>
                <w:sz w:val="24"/>
              </w:rPr>
            </w:pPr>
            <w:r>
              <w:rPr>
                <w:rFonts w:eastAsiaTheme="minorEastAsia"/>
                <w:sz w:val="24"/>
              </w:rPr>
              <w:t>公允价值（元）</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rFonts w:eastAsiaTheme="minorEastAsia"/>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A</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农、林、牧、渔业</w:t>
            </w:r>
          </w:p>
        </w:tc>
        <w:tc>
          <w:tcPr>
            <w:tcW w:w="2710"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29" w:line="360" w:lineRule="auto"/>
              <w:ind w:left="15"/>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before="29" w:line="360" w:lineRule="auto"/>
              <w:ind w:left="15"/>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B</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采矿业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C</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制造业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29,380,374.08</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30.15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D</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电力、热力、燃气及水生产和供应业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13,791,149.72</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E</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建筑业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3,191,460.32</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F</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批发和零售业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G</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交通运输、仓储和邮政业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H</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住宿和餐饮业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sz w:val="24"/>
              </w:rPr>
            </w:pPr>
            <w:r>
              <w:rPr>
                <w:sz w:val="24"/>
              </w:rPr>
              <w:t>I</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sz w:val="24"/>
              </w:rPr>
            </w:pPr>
            <w:r>
              <w:rPr>
                <w:sz w:val="24"/>
              </w:rPr>
              <w:t>信息传输、软件和信息技术服务业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J</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color w:val="000000"/>
                <w:sz w:val="24"/>
              </w:rPr>
            </w:pPr>
            <w:r>
              <w:rPr>
                <w:color w:val="000000"/>
                <w:sz w:val="24"/>
              </w:rPr>
              <w:t>金融业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K</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color w:val="000000"/>
                <w:sz w:val="24"/>
              </w:rPr>
            </w:pPr>
            <w:r>
              <w:rPr>
                <w:color w:val="000000"/>
                <w:sz w:val="24"/>
              </w:rPr>
              <w:t>房地产业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L</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color w:val="000000"/>
                <w:sz w:val="24"/>
              </w:rPr>
            </w:pPr>
            <w:r>
              <w:rPr>
                <w:color w:val="000000"/>
                <w:sz w:val="24"/>
              </w:rPr>
              <w:t>租赁和商务服务业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M</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rPr>
                <w:rFonts w:eastAsiaTheme="minorEastAsia"/>
                <w:color w:val="000000"/>
                <w:sz w:val="24"/>
              </w:rPr>
            </w:pPr>
            <w:r>
              <w:rPr>
                <w:color w:val="000000"/>
                <w:sz w:val="24"/>
              </w:rPr>
              <w:t>科学研究和技术服务业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1,427,231.00</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N</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水利、环境和公共设施管理业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42,665,749.04</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43.78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O</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居民服务、修理和其他服务业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P</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教育</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Q</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卫生和社会工作</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R</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文化、体育和娱乐业</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r>
              <w:rPr>
                <w:color w:val="000000"/>
                <w:sz w:val="24"/>
              </w:rPr>
              <w:t>S</w:t>
            </w: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综合</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360" w:lineRule="auto"/>
              <w:contextualSpacing/>
              <w:jc w:val="center"/>
              <w:rPr>
                <w:rFonts w:eastAsiaTheme="minorEastAsia"/>
                <w:color w:val="000000"/>
                <w:sz w:val="24"/>
              </w:rPr>
            </w:pPr>
          </w:p>
        </w:tc>
        <w:tc>
          <w:tcPr>
            <w:tcW w:w="3691"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adjustRightInd w:val="0"/>
              <w:spacing w:line="360" w:lineRule="auto"/>
              <w:contextualSpacing/>
              <w:jc w:val="left"/>
              <w:rPr>
                <w:rFonts w:eastAsiaTheme="minorEastAsia"/>
                <w:color w:val="000000"/>
                <w:sz w:val="24"/>
              </w:rPr>
            </w:pPr>
            <w:r>
              <w:rPr>
                <w:color w:val="000000"/>
                <w:sz w:val="24"/>
              </w:rPr>
              <w:t>合计</w:t>
            </w:r>
          </w:p>
        </w:tc>
        <w:tc>
          <w:tcPr>
            <w:tcW w:w="2710" w:type="dxa"/>
            <w:tcBorders>
              <w:top w:val="single" w:color="000000" w:sz="4" w:space="0"/>
              <w:left w:val="single" w:color="auto" w:sz="4" w:space="0"/>
              <w:bottom w:val="single" w:color="000000" w:sz="4" w:space="0"/>
              <w:right w:val="single" w:color="000000" w:sz="4" w:space="0"/>
            </w:tcBorders>
            <w:vAlign w:val="center"/>
          </w:tcPr>
          <w:p>
            <w:pPr>
              <w:spacing w:line="360" w:lineRule="auto"/>
              <w:contextualSpacing/>
              <w:jc w:val="right"/>
              <w:rPr>
                <w:rFonts w:eastAsiaTheme="minorEastAsia"/>
                <w:sz w:val="24"/>
              </w:rPr>
            </w:pPr>
            <w:r>
              <w:rPr>
                <w:sz w:val="24"/>
              </w:rPr>
              <w:t>90,455,964.16</w:t>
            </w:r>
          </w:p>
        </w:tc>
        <w:tc>
          <w:tcPr>
            <w:tcW w:w="17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contextualSpacing/>
              <w:jc w:val="right"/>
              <w:rPr>
                <w:rFonts w:eastAsiaTheme="minorEastAsia"/>
                <w:sz w:val="24"/>
              </w:rPr>
            </w:pPr>
            <w:r>
              <w:rPr>
                <w:sz w:val="24"/>
              </w:rPr>
              <w:t>92.83</w:t>
            </w:r>
          </w:p>
        </w:tc>
      </w:tr>
    </w:tbl>
    <w:p>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Pr>
          <w:rFonts w:hint="eastAsia"/>
          <w:kern w:val="0"/>
          <w:sz w:val="24"/>
        </w:rPr>
        <w:t>.3报告期末按行业分类的港股通投资股票投资组合</w:t>
      </w:r>
    </w:p>
    <w:p>
      <w:pPr>
        <w:autoSpaceDE w:val="0"/>
        <w:autoSpaceDN w:val="0"/>
        <w:adjustRightInd w:val="0"/>
        <w:spacing w:before="100" w:beforeAutospacing="1" w:after="100" w:afterAutospacing="1" w:line="360" w:lineRule="auto"/>
        <w:ind w:left="482"/>
        <w:contextualSpacing/>
        <w:jc w:val="left"/>
        <w:rPr>
          <w:color w:val="000000"/>
          <w:sz w:val="18"/>
        </w:rPr>
      </w:pPr>
      <w:r>
        <w:rPr>
          <w:rFonts w:hint="eastAsia"/>
          <w:kern w:val="0"/>
          <w:sz w:val="24"/>
        </w:rPr>
        <w:t>本基金本报告期末未持有通过港股通投资的股票。</w:t>
      </w:r>
    </w:p>
    <w:p>
      <w:pPr>
        <w:numPr>
          <w:ilvl w:val="0"/>
          <w:numId w:val="2"/>
        </w:numPr>
        <w:autoSpaceDE w:val="0"/>
        <w:autoSpaceDN w:val="0"/>
        <w:adjustRightInd w:val="0"/>
        <w:spacing w:before="100" w:beforeAutospacing="1" w:after="100" w:afterAutospacing="1" w:line="360" w:lineRule="auto"/>
        <w:contextualSpacing/>
        <w:jc w:val="left"/>
        <w:rPr>
          <w:kern w:val="0"/>
          <w:sz w:val="24"/>
        </w:rPr>
      </w:pPr>
      <w:r>
        <w:rPr>
          <w:kern w:val="0"/>
          <w:sz w:val="24"/>
        </w:rPr>
        <w:t>报告期末按公允价值占基金资产净值比例大小排序的股票投资明细</w:t>
      </w:r>
    </w:p>
    <w:p>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3.1</w:t>
      </w:r>
      <w:r>
        <w:rPr>
          <w:rFonts w:hint="eastAsia"/>
          <w:kern w:val="0"/>
          <w:sz w:val="24"/>
        </w:rPr>
        <w:t>报告</w:t>
      </w:r>
      <w:r>
        <w:rPr>
          <w:kern w:val="0"/>
          <w:sz w:val="24"/>
        </w:rPr>
        <w:t>期末指数投资按公允价值占基金资产净值比例大小排序的前十名股票投资明细</w:t>
      </w:r>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序号</w:t>
            </w:r>
          </w:p>
        </w:tc>
        <w:tc>
          <w:tcPr>
            <w:tcW w:w="1276"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股票代码</w:t>
            </w:r>
          </w:p>
        </w:tc>
        <w:tc>
          <w:tcPr>
            <w:tcW w:w="1701"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股票名称</w:t>
            </w:r>
          </w:p>
        </w:tc>
        <w:tc>
          <w:tcPr>
            <w:tcW w:w="1276"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数量(股)</w:t>
            </w:r>
          </w:p>
        </w:tc>
        <w:tc>
          <w:tcPr>
            <w:tcW w:w="1842" w:type="dxa"/>
            <w:vAlign w:val="center"/>
          </w:tcPr>
          <w:p>
            <w:pPr>
              <w:autoSpaceDE w:val="0"/>
              <w:autoSpaceDN w:val="0"/>
              <w:adjustRightInd w:val="0"/>
              <w:spacing w:before="29" w:line="360" w:lineRule="auto"/>
              <w:ind w:left="17"/>
              <w:contextualSpacing/>
              <w:jc w:val="center"/>
              <w:rPr>
                <w:rFonts w:eastAsiaTheme="minorEastAsia"/>
                <w:color w:val="000000"/>
                <w:sz w:val="24"/>
              </w:rPr>
            </w:pPr>
            <w:r>
              <w:rPr>
                <w:rFonts w:eastAsiaTheme="minorEastAsia"/>
                <w:color w:val="000000"/>
                <w:sz w:val="24"/>
              </w:rPr>
              <w:t>公允价值(元)</w:t>
            </w:r>
          </w:p>
        </w:tc>
        <w:tc>
          <w:tcPr>
            <w:tcW w:w="1985" w:type="dxa"/>
            <w:vAlign w:val="center"/>
          </w:tcPr>
          <w:p>
            <w:pPr>
              <w:spacing w:before="29" w:line="360" w:lineRule="auto"/>
              <w:ind w:left="17"/>
              <w:contextualSpacing/>
              <w:jc w:val="center"/>
              <w:rPr>
                <w:rFonts w:eastAsiaTheme="minorEastAsia"/>
                <w:color w:val="000000"/>
                <w:sz w:val="24"/>
              </w:rPr>
            </w:pPr>
            <w:r>
              <w:rPr>
                <w:rFonts w:eastAsiaTheme="minorEastAsia"/>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1</w:t>
            </w:r>
          </w:p>
        </w:tc>
        <w:tc>
          <w:tcPr>
            <w:tcW w:w="1276" w:type="dxa"/>
            <w:vAlign w:val="center"/>
          </w:tcPr>
          <w:p>
            <w:pPr>
              <w:spacing w:line="360" w:lineRule="auto"/>
              <w:contextualSpacing/>
              <w:jc w:val="center"/>
            </w:pPr>
            <w:r>
              <w:rPr>
                <w:color w:val="000000"/>
                <w:sz w:val="24"/>
              </w:rPr>
              <w:t>603568</w:t>
            </w:r>
          </w:p>
        </w:tc>
        <w:tc>
          <w:tcPr>
            <w:tcW w:w="1701" w:type="dxa"/>
            <w:vAlign w:val="center"/>
          </w:tcPr>
          <w:p>
            <w:pPr>
              <w:spacing w:line="360" w:lineRule="auto"/>
              <w:contextualSpacing/>
              <w:jc w:val="center"/>
            </w:pPr>
            <w:r>
              <w:rPr>
                <w:color w:val="000000"/>
                <w:sz w:val="24"/>
              </w:rPr>
              <w:t>伟明环保</w:t>
            </w:r>
          </w:p>
        </w:tc>
        <w:tc>
          <w:tcPr>
            <w:tcW w:w="1276" w:type="dxa"/>
            <w:vAlign w:val="center"/>
          </w:tcPr>
          <w:p>
            <w:pPr>
              <w:spacing w:line="360" w:lineRule="auto"/>
              <w:contextualSpacing/>
              <w:jc w:val="right"/>
            </w:pPr>
            <w:r>
              <w:rPr>
                <w:color w:val="000000"/>
                <w:sz w:val="24"/>
              </w:rPr>
              <w:t>83,458</w:t>
            </w:r>
          </w:p>
        </w:tc>
        <w:tc>
          <w:tcPr>
            <w:tcW w:w="1842" w:type="dxa"/>
            <w:vAlign w:val="center"/>
          </w:tcPr>
          <w:p>
            <w:pPr>
              <w:spacing w:line="360" w:lineRule="auto"/>
              <w:contextualSpacing/>
              <w:jc w:val="right"/>
            </w:pPr>
            <w:r>
              <w:rPr>
                <w:color w:val="000000"/>
                <w:sz w:val="24"/>
              </w:rPr>
              <w:t>2,380,222.16</w:t>
            </w:r>
          </w:p>
        </w:tc>
        <w:tc>
          <w:tcPr>
            <w:tcW w:w="1985" w:type="dxa"/>
            <w:vAlign w:val="center"/>
          </w:tcPr>
          <w:p>
            <w:pPr>
              <w:spacing w:line="360" w:lineRule="auto"/>
              <w:contextualSpacing/>
              <w:jc w:val="right"/>
            </w:pPr>
            <w:r>
              <w:rPr>
                <w:color w:val="000000"/>
                <w:sz w:val="24"/>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2</w:t>
            </w:r>
          </w:p>
        </w:tc>
        <w:tc>
          <w:tcPr>
            <w:tcW w:w="1276" w:type="dxa"/>
            <w:vAlign w:val="center"/>
          </w:tcPr>
          <w:p>
            <w:pPr>
              <w:spacing w:line="360" w:lineRule="auto"/>
              <w:contextualSpacing/>
              <w:jc w:val="center"/>
            </w:pPr>
            <w:r>
              <w:rPr>
                <w:color w:val="000000"/>
                <w:sz w:val="24"/>
              </w:rPr>
              <w:t>603686</w:t>
            </w:r>
          </w:p>
        </w:tc>
        <w:tc>
          <w:tcPr>
            <w:tcW w:w="1701" w:type="dxa"/>
            <w:vAlign w:val="center"/>
          </w:tcPr>
          <w:p>
            <w:pPr>
              <w:spacing w:line="360" w:lineRule="auto"/>
              <w:contextualSpacing/>
              <w:jc w:val="center"/>
            </w:pPr>
            <w:r>
              <w:rPr>
                <w:color w:val="000000"/>
                <w:sz w:val="24"/>
              </w:rPr>
              <w:t>龙马环卫</w:t>
            </w:r>
          </w:p>
        </w:tc>
        <w:tc>
          <w:tcPr>
            <w:tcW w:w="1276" w:type="dxa"/>
            <w:vAlign w:val="center"/>
          </w:tcPr>
          <w:p>
            <w:pPr>
              <w:spacing w:line="360" w:lineRule="auto"/>
              <w:contextualSpacing/>
              <w:jc w:val="right"/>
            </w:pPr>
            <w:r>
              <w:rPr>
                <w:color w:val="000000"/>
                <w:sz w:val="24"/>
              </w:rPr>
              <w:t>171,320</w:t>
            </w:r>
          </w:p>
        </w:tc>
        <w:tc>
          <w:tcPr>
            <w:tcW w:w="1842" w:type="dxa"/>
            <w:vAlign w:val="center"/>
          </w:tcPr>
          <w:p>
            <w:pPr>
              <w:spacing w:line="360" w:lineRule="auto"/>
              <w:contextualSpacing/>
              <w:jc w:val="right"/>
            </w:pPr>
            <w:r>
              <w:rPr>
                <w:color w:val="000000"/>
                <w:sz w:val="24"/>
              </w:rPr>
              <w:t>2,362,502.80</w:t>
            </w:r>
          </w:p>
        </w:tc>
        <w:tc>
          <w:tcPr>
            <w:tcW w:w="1985" w:type="dxa"/>
            <w:vAlign w:val="center"/>
          </w:tcPr>
          <w:p>
            <w:pPr>
              <w:spacing w:line="360" w:lineRule="auto"/>
              <w:contextualSpacing/>
              <w:jc w:val="right"/>
            </w:pPr>
            <w:r>
              <w:rPr>
                <w:color w:val="000000"/>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3</w:t>
            </w:r>
          </w:p>
        </w:tc>
        <w:tc>
          <w:tcPr>
            <w:tcW w:w="1276" w:type="dxa"/>
            <w:vAlign w:val="center"/>
          </w:tcPr>
          <w:p>
            <w:pPr>
              <w:spacing w:line="360" w:lineRule="auto"/>
              <w:contextualSpacing/>
              <w:jc w:val="center"/>
            </w:pPr>
            <w:r>
              <w:rPr>
                <w:color w:val="000000"/>
                <w:sz w:val="24"/>
              </w:rPr>
              <w:t>300070</w:t>
            </w:r>
          </w:p>
        </w:tc>
        <w:tc>
          <w:tcPr>
            <w:tcW w:w="1701" w:type="dxa"/>
            <w:vAlign w:val="center"/>
          </w:tcPr>
          <w:p>
            <w:pPr>
              <w:spacing w:line="360" w:lineRule="auto"/>
              <w:contextualSpacing/>
              <w:jc w:val="center"/>
            </w:pPr>
            <w:r>
              <w:rPr>
                <w:color w:val="000000"/>
                <w:sz w:val="24"/>
              </w:rPr>
              <w:t>碧水源</w:t>
            </w:r>
          </w:p>
        </w:tc>
        <w:tc>
          <w:tcPr>
            <w:tcW w:w="1276" w:type="dxa"/>
            <w:vAlign w:val="center"/>
          </w:tcPr>
          <w:p>
            <w:pPr>
              <w:spacing w:line="360" w:lineRule="auto"/>
              <w:contextualSpacing/>
              <w:jc w:val="right"/>
            </w:pPr>
            <w:r>
              <w:rPr>
                <w:color w:val="000000"/>
                <w:sz w:val="24"/>
              </w:rPr>
              <w:t>242,215</w:t>
            </w:r>
          </w:p>
        </w:tc>
        <w:tc>
          <w:tcPr>
            <w:tcW w:w="1842" w:type="dxa"/>
            <w:vAlign w:val="center"/>
          </w:tcPr>
          <w:p>
            <w:pPr>
              <w:spacing w:line="360" w:lineRule="auto"/>
              <w:contextualSpacing/>
              <w:jc w:val="right"/>
            </w:pPr>
            <w:r>
              <w:rPr>
                <w:color w:val="000000"/>
                <w:sz w:val="24"/>
              </w:rPr>
              <w:t>2,233,222.30</w:t>
            </w:r>
          </w:p>
        </w:tc>
        <w:tc>
          <w:tcPr>
            <w:tcW w:w="1985" w:type="dxa"/>
            <w:vAlign w:val="center"/>
          </w:tcPr>
          <w:p>
            <w:pPr>
              <w:spacing w:line="360" w:lineRule="auto"/>
              <w:contextualSpacing/>
              <w:jc w:val="right"/>
            </w:pPr>
            <w:r>
              <w:rPr>
                <w:color w:val="000000"/>
                <w:sz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4</w:t>
            </w:r>
          </w:p>
        </w:tc>
        <w:tc>
          <w:tcPr>
            <w:tcW w:w="1276" w:type="dxa"/>
            <w:vAlign w:val="center"/>
          </w:tcPr>
          <w:p>
            <w:pPr>
              <w:spacing w:line="360" w:lineRule="auto"/>
              <w:contextualSpacing/>
              <w:jc w:val="center"/>
            </w:pPr>
            <w:r>
              <w:rPr>
                <w:color w:val="000000"/>
                <w:sz w:val="24"/>
              </w:rPr>
              <w:t>000925</w:t>
            </w:r>
          </w:p>
        </w:tc>
        <w:tc>
          <w:tcPr>
            <w:tcW w:w="1701" w:type="dxa"/>
            <w:vAlign w:val="center"/>
          </w:tcPr>
          <w:p>
            <w:pPr>
              <w:spacing w:line="360" w:lineRule="auto"/>
              <w:contextualSpacing/>
              <w:jc w:val="center"/>
            </w:pPr>
            <w:r>
              <w:rPr>
                <w:color w:val="000000"/>
                <w:sz w:val="24"/>
              </w:rPr>
              <w:t>众合科技</w:t>
            </w:r>
          </w:p>
        </w:tc>
        <w:tc>
          <w:tcPr>
            <w:tcW w:w="1276" w:type="dxa"/>
            <w:vAlign w:val="center"/>
          </w:tcPr>
          <w:p>
            <w:pPr>
              <w:spacing w:line="360" w:lineRule="auto"/>
              <w:contextualSpacing/>
              <w:jc w:val="right"/>
            </w:pPr>
            <w:r>
              <w:rPr>
                <w:color w:val="000000"/>
                <w:sz w:val="24"/>
              </w:rPr>
              <w:t>272,180</w:t>
            </w:r>
          </w:p>
        </w:tc>
        <w:tc>
          <w:tcPr>
            <w:tcW w:w="1842" w:type="dxa"/>
            <w:vAlign w:val="center"/>
          </w:tcPr>
          <w:p>
            <w:pPr>
              <w:spacing w:line="360" w:lineRule="auto"/>
              <w:contextualSpacing/>
              <w:jc w:val="right"/>
            </w:pPr>
            <w:r>
              <w:rPr>
                <w:color w:val="000000"/>
                <w:sz w:val="24"/>
              </w:rPr>
              <w:t>2,231,876.00</w:t>
            </w:r>
          </w:p>
        </w:tc>
        <w:tc>
          <w:tcPr>
            <w:tcW w:w="1985" w:type="dxa"/>
            <w:vAlign w:val="center"/>
          </w:tcPr>
          <w:p>
            <w:pPr>
              <w:spacing w:line="360" w:lineRule="auto"/>
              <w:contextualSpacing/>
              <w:jc w:val="right"/>
            </w:pPr>
            <w:r>
              <w:rPr>
                <w:color w:val="000000"/>
                <w:sz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5</w:t>
            </w:r>
          </w:p>
        </w:tc>
        <w:tc>
          <w:tcPr>
            <w:tcW w:w="1276" w:type="dxa"/>
            <w:vAlign w:val="center"/>
          </w:tcPr>
          <w:p>
            <w:pPr>
              <w:spacing w:line="360" w:lineRule="auto"/>
              <w:contextualSpacing/>
              <w:jc w:val="center"/>
            </w:pPr>
            <w:r>
              <w:rPr>
                <w:color w:val="000000"/>
                <w:sz w:val="24"/>
              </w:rPr>
              <w:t>600323</w:t>
            </w:r>
          </w:p>
        </w:tc>
        <w:tc>
          <w:tcPr>
            <w:tcW w:w="1701" w:type="dxa"/>
            <w:vAlign w:val="center"/>
          </w:tcPr>
          <w:p>
            <w:pPr>
              <w:spacing w:line="360" w:lineRule="auto"/>
              <w:contextualSpacing/>
              <w:jc w:val="center"/>
            </w:pPr>
            <w:r>
              <w:rPr>
                <w:color w:val="000000"/>
                <w:sz w:val="24"/>
              </w:rPr>
              <w:t>瀚蓝环境</w:t>
            </w:r>
          </w:p>
        </w:tc>
        <w:tc>
          <w:tcPr>
            <w:tcW w:w="1276" w:type="dxa"/>
            <w:vAlign w:val="center"/>
          </w:tcPr>
          <w:p>
            <w:pPr>
              <w:spacing w:line="360" w:lineRule="auto"/>
              <w:contextualSpacing/>
              <w:jc w:val="right"/>
            </w:pPr>
            <w:r>
              <w:rPr>
                <w:color w:val="000000"/>
                <w:sz w:val="24"/>
              </w:rPr>
              <w:t>108,687</w:t>
            </w:r>
          </w:p>
        </w:tc>
        <w:tc>
          <w:tcPr>
            <w:tcW w:w="1842" w:type="dxa"/>
            <w:vAlign w:val="center"/>
          </w:tcPr>
          <w:p>
            <w:pPr>
              <w:spacing w:line="360" w:lineRule="auto"/>
              <w:contextualSpacing/>
              <w:jc w:val="right"/>
            </w:pPr>
            <w:r>
              <w:rPr>
                <w:color w:val="000000"/>
                <w:sz w:val="24"/>
              </w:rPr>
              <w:t>2,169,392.52</w:t>
            </w:r>
          </w:p>
        </w:tc>
        <w:tc>
          <w:tcPr>
            <w:tcW w:w="1985" w:type="dxa"/>
            <w:vAlign w:val="center"/>
          </w:tcPr>
          <w:p>
            <w:pPr>
              <w:spacing w:line="360" w:lineRule="auto"/>
              <w:contextualSpacing/>
              <w:jc w:val="right"/>
            </w:pPr>
            <w:r>
              <w:rPr>
                <w:color w:val="000000"/>
                <w:sz w:val="24"/>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6</w:t>
            </w:r>
          </w:p>
        </w:tc>
        <w:tc>
          <w:tcPr>
            <w:tcW w:w="1276" w:type="dxa"/>
            <w:vAlign w:val="center"/>
          </w:tcPr>
          <w:p>
            <w:pPr>
              <w:spacing w:line="360" w:lineRule="auto"/>
              <w:contextualSpacing/>
              <w:jc w:val="center"/>
            </w:pPr>
            <w:r>
              <w:rPr>
                <w:color w:val="000000"/>
                <w:sz w:val="24"/>
              </w:rPr>
              <w:t>603588</w:t>
            </w:r>
          </w:p>
        </w:tc>
        <w:tc>
          <w:tcPr>
            <w:tcW w:w="1701" w:type="dxa"/>
            <w:vAlign w:val="center"/>
          </w:tcPr>
          <w:p>
            <w:pPr>
              <w:spacing w:line="360" w:lineRule="auto"/>
              <w:contextualSpacing/>
              <w:jc w:val="center"/>
            </w:pPr>
            <w:r>
              <w:rPr>
                <w:color w:val="000000"/>
                <w:sz w:val="24"/>
              </w:rPr>
              <w:t>高能环境</w:t>
            </w:r>
          </w:p>
        </w:tc>
        <w:tc>
          <w:tcPr>
            <w:tcW w:w="1276" w:type="dxa"/>
            <w:vAlign w:val="center"/>
          </w:tcPr>
          <w:p>
            <w:pPr>
              <w:spacing w:line="360" w:lineRule="auto"/>
              <w:contextualSpacing/>
              <w:jc w:val="right"/>
            </w:pPr>
            <w:r>
              <w:rPr>
                <w:color w:val="000000"/>
                <w:sz w:val="24"/>
              </w:rPr>
              <w:t>197,704</w:t>
            </w:r>
          </w:p>
        </w:tc>
        <w:tc>
          <w:tcPr>
            <w:tcW w:w="1842" w:type="dxa"/>
            <w:vAlign w:val="center"/>
          </w:tcPr>
          <w:p>
            <w:pPr>
              <w:spacing w:line="360" w:lineRule="auto"/>
              <w:contextualSpacing/>
              <w:jc w:val="right"/>
            </w:pPr>
            <w:r>
              <w:rPr>
                <w:color w:val="000000"/>
                <w:sz w:val="24"/>
              </w:rPr>
              <w:t>2,151,019.52</w:t>
            </w:r>
          </w:p>
        </w:tc>
        <w:tc>
          <w:tcPr>
            <w:tcW w:w="1985" w:type="dxa"/>
            <w:vAlign w:val="center"/>
          </w:tcPr>
          <w:p>
            <w:pPr>
              <w:spacing w:line="360" w:lineRule="auto"/>
              <w:contextualSpacing/>
              <w:jc w:val="right"/>
            </w:pPr>
            <w:r>
              <w:rPr>
                <w:color w:val="000000"/>
                <w:sz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7</w:t>
            </w:r>
          </w:p>
        </w:tc>
        <w:tc>
          <w:tcPr>
            <w:tcW w:w="1276" w:type="dxa"/>
            <w:vAlign w:val="center"/>
          </w:tcPr>
          <w:p>
            <w:pPr>
              <w:spacing w:line="360" w:lineRule="auto"/>
              <w:contextualSpacing/>
              <w:jc w:val="center"/>
            </w:pPr>
            <w:r>
              <w:rPr>
                <w:color w:val="000000"/>
                <w:sz w:val="24"/>
              </w:rPr>
              <w:t>300187</w:t>
            </w:r>
          </w:p>
        </w:tc>
        <w:tc>
          <w:tcPr>
            <w:tcW w:w="1701" w:type="dxa"/>
            <w:vAlign w:val="center"/>
          </w:tcPr>
          <w:p>
            <w:pPr>
              <w:spacing w:line="360" w:lineRule="auto"/>
              <w:contextualSpacing/>
              <w:jc w:val="center"/>
            </w:pPr>
            <w:r>
              <w:rPr>
                <w:color w:val="000000"/>
                <w:sz w:val="24"/>
              </w:rPr>
              <w:t>永清环保</w:t>
            </w:r>
          </w:p>
        </w:tc>
        <w:tc>
          <w:tcPr>
            <w:tcW w:w="1276" w:type="dxa"/>
            <w:vAlign w:val="center"/>
          </w:tcPr>
          <w:p>
            <w:pPr>
              <w:spacing w:line="360" w:lineRule="auto"/>
              <w:contextualSpacing/>
              <w:jc w:val="right"/>
            </w:pPr>
            <w:r>
              <w:rPr>
                <w:color w:val="000000"/>
                <w:sz w:val="24"/>
              </w:rPr>
              <w:t>392,000</w:t>
            </w:r>
          </w:p>
        </w:tc>
        <w:tc>
          <w:tcPr>
            <w:tcW w:w="1842" w:type="dxa"/>
            <w:vAlign w:val="center"/>
          </w:tcPr>
          <w:p>
            <w:pPr>
              <w:spacing w:line="360" w:lineRule="auto"/>
              <w:contextualSpacing/>
              <w:jc w:val="right"/>
            </w:pPr>
            <w:r>
              <w:rPr>
                <w:color w:val="000000"/>
                <w:sz w:val="24"/>
              </w:rPr>
              <w:t>2,140,320.00</w:t>
            </w:r>
          </w:p>
        </w:tc>
        <w:tc>
          <w:tcPr>
            <w:tcW w:w="1985" w:type="dxa"/>
            <w:vAlign w:val="center"/>
          </w:tcPr>
          <w:p>
            <w:pPr>
              <w:spacing w:line="360" w:lineRule="auto"/>
              <w:contextualSpacing/>
              <w:jc w:val="right"/>
            </w:pPr>
            <w:r>
              <w:rPr>
                <w:color w:val="000000"/>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8</w:t>
            </w:r>
          </w:p>
        </w:tc>
        <w:tc>
          <w:tcPr>
            <w:tcW w:w="1276" w:type="dxa"/>
            <w:vAlign w:val="center"/>
          </w:tcPr>
          <w:p>
            <w:pPr>
              <w:spacing w:line="360" w:lineRule="auto"/>
              <w:contextualSpacing/>
              <w:jc w:val="center"/>
            </w:pPr>
            <w:r>
              <w:rPr>
                <w:color w:val="000000"/>
                <w:sz w:val="24"/>
              </w:rPr>
              <w:t>002549</w:t>
            </w:r>
          </w:p>
        </w:tc>
        <w:tc>
          <w:tcPr>
            <w:tcW w:w="1701" w:type="dxa"/>
            <w:vAlign w:val="center"/>
          </w:tcPr>
          <w:p>
            <w:pPr>
              <w:spacing w:line="360" w:lineRule="auto"/>
              <w:contextualSpacing/>
              <w:jc w:val="center"/>
            </w:pPr>
            <w:r>
              <w:rPr>
                <w:color w:val="000000"/>
                <w:sz w:val="24"/>
              </w:rPr>
              <w:t>凯美特气</w:t>
            </w:r>
          </w:p>
        </w:tc>
        <w:tc>
          <w:tcPr>
            <w:tcW w:w="1276" w:type="dxa"/>
            <w:vAlign w:val="center"/>
          </w:tcPr>
          <w:p>
            <w:pPr>
              <w:spacing w:line="360" w:lineRule="auto"/>
              <w:contextualSpacing/>
              <w:jc w:val="right"/>
            </w:pPr>
            <w:r>
              <w:rPr>
                <w:color w:val="000000"/>
                <w:sz w:val="24"/>
              </w:rPr>
              <w:t>345,900</w:t>
            </w:r>
          </w:p>
        </w:tc>
        <w:tc>
          <w:tcPr>
            <w:tcW w:w="1842" w:type="dxa"/>
            <w:vAlign w:val="center"/>
          </w:tcPr>
          <w:p>
            <w:pPr>
              <w:spacing w:line="360" w:lineRule="auto"/>
              <w:contextualSpacing/>
              <w:jc w:val="right"/>
            </w:pPr>
            <w:r>
              <w:rPr>
                <w:color w:val="000000"/>
                <w:sz w:val="24"/>
              </w:rPr>
              <w:t>2,137,662.00</w:t>
            </w:r>
          </w:p>
        </w:tc>
        <w:tc>
          <w:tcPr>
            <w:tcW w:w="1985" w:type="dxa"/>
            <w:vAlign w:val="center"/>
          </w:tcPr>
          <w:p>
            <w:pPr>
              <w:spacing w:line="360" w:lineRule="auto"/>
              <w:contextualSpacing/>
              <w:jc w:val="right"/>
            </w:pPr>
            <w:r>
              <w:rPr>
                <w:color w:val="000000"/>
                <w:sz w:val="24"/>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9</w:t>
            </w:r>
          </w:p>
        </w:tc>
        <w:tc>
          <w:tcPr>
            <w:tcW w:w="1276" w:type="dxa"/>
            <w:vAlign w:val="center"/>
          </w:tcPr>
          <w:p>
            <w:pPr>
              <w:spacing w:line="360" w:lineRule="auto"/>
              <w:contextualSpacing/>
              <w:jc w:val="center"/>
            </w:pPr>
            <w:r>
              <w:rPr>
                <w:color w:val="000000"/>
                <w:sz w:val="24"/>
              </w:rPr>
              <w:t>002341</w:t>
            </w:r>
          </w:p>
        </w:tc>
        <w:tc>
          <w:tcPr>
            <w:tcW w:w="1701" w:type="dxa"/>
            <w:vAlign w:val="center"/>
          </w:tcPr>
          <w:p>
            <w:pPr>
              <w:spacing w:line="360" w:lineRule="auto"/>
              <w:contextualSpacing/>
              <w:jc w:val="center"/>
            </w:pPr>
            <w:r>
              <w:rPr>
                <w:color w:val="000000"/>
                <w:sz w:val="24"/>
              </w:rPr>
              <w:t>新纶科技</w:t>
            </w:r>
          </w:p>
        </w:tc>
        <w:tc>
          <w:tcPr>
            <w:tcW w:w="1276" w:type="dxa"/>
            <w:vAlign w:val="center"/>
          </w:tcPr>
          <w:p>
            <w:pPr>
              <w:spacing w:line="360" w:lineRule="auto"/>
              <w:contextualSpacing/>
              <w:jc w:val="right"/>
            </w:pPr>
            <w:r>
              <w:rPr>
                <w:color w:val="000000"/>
                <w:sz w:val="24"/>
              </w:rPr>
              <w:t>337,000</w:t>
            </w:r>
          </w:p>
        </w:tc>
        <w:tc>
          <w:tcPr>
            <w:tcW w:w="1842" w:type="dxa"/>
            <w:vAlign w:val="center"/>
          </w:tcPr>
          <w:p>
            <w:pPr>
              <w:spacing w:line="360" w:lineRule="auto"/>
              <w:contextualSpacing/>
              <w:jc w:val="right"/>
            </w:pPr>
            <w:r>
              <w:rPr>
                <w:color w:val="000000"/>
                <w:sz w:val="24"/>
              </w:rPr>
              <w:t>2,136,580.00</w:t>
            </w:r>
          </w:p>
        </w:tc>
        <w:tc>
          <w:tcPr>
            <w:tcW w:w="1985" w:type="dxa"/>
            <w:vAlign w:val="center"/>
          </w:tcPr>
          <w:p>
            <w:pPr>
              <w:spacing w:line="360" w:lineRule="auto"/>
              <w:contextualSpacing/>
              <w:jc w:val="right"/>
            </w:pPr>
            <w:r>
              <w:rPr>
                <w:color w:val="000000"/>
                <w:sz w:val="24"/>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contextualSpacing/>
              <w:jc w:val="center"/>
            </w:pPr>
            <w:r>
              <w:rPr>
                <w:color w:val="000000"/>
                <w:sz w:val="24"/>
              </w:rPr>
              <w:t>10</w:t>
            </w:r>
          </w:p>
        </w:tc>
        <w:tc>
          <w:tcPr>
            <w:tcW w:w="1276" w:type="dxa"/>
            <w:vAlign w:val="center"/>
          </w:tcPr>
          <w:p>
            <w:pPr>
              <w:spacing w:line="360" w:lineRule="auto"/>
              <w:contextualSpacing/>
              <w:jc w:val="center"/>
            </w:pPr>
            <w:r>
              <w:rPr>
                <w:color w:val="000000"/>
                <w:sz w:val="24"/>
              </w:rPr>
              <w:t>300140</w:t>
            </w:r>
          </w:p>
        </w:tc>
        <w:tc>
          <w:tcPr>
            <w:tcW w:w="1701" w:type="dxa"/>
            <w:vAlign w:val="center"/>
          </w:tcPr>
          <w:p>
            <w:pPr>
              <w:spacing w:line="360" w:lineRule="auto"/>
              <w:contextualSpacing/>
              <w:jc w:val="center"/>
            </w:pPr>
            <w:r>
              <w:rPr>
                <w:color w:val="000000"/>
                <w:sz w:val="24"/>
              </w:rPr>
              <w:t>中环装备</w:t>
            </w:r>
          </w:p>
        </w:tc>
        <w:tc>
          <w:tcPr>
            <w:tcW w:w="1276" w:type="dxa"/>
            <w:vAlign w:val="center"/>
          </w:tcPr>
          <w:p>
            <w:pPr>
              <w:spacing w:line="360" w:lineRule="auto"/>
              <w:contextualSpacing/>
              <w:jc w:val="right"/>
            </w:pPr>
            <w:r>
              <w:rPr>
                <w:color w:val="000000"/>
                <w:sz w:val="24"/>
              </w:rPr>
              <w:t>182,800</w:t>
            </w:r>
          </w:p>
        </w:tc>
        <w:tc>
          <w:tcPr>
            <w:tcW w:w="1842" w:type="dxa"/>
            <w:vAlign w:val="center"/>
          </w:tcPr>
          <w:p>
            <w:pPr>
              <w:spacing w:line="360" w:lineRule="auto"/>
              <w:contextualSpacing/>
              <w:jc w:val="right"/>
            </w:pPr>
            <w:r>
              <w:rPr>
                <w:color w:val="000000"/>
                <w:sz w:val="24"/>
              </w:rPr>
              <w:t>2,069,296.00</w:t>
            </w:r>
          </w:p>
        </w:tc>
        <w:tc>
          <w:tcPr>
            <w:tcW w:w="1985" w:type="dxa"/>
            <w:vAlign w:val="center"/>
          </w:tcPr>
          <w:p>
            <w:pPr>
              <w:spacing w:line="360" w:lineRule="auto"/>
              <w:contextualSpacing/>
              <w:jc w:val="right"/>
            </w:pPr>
            <w:r>
              <w:rPr>
                <w:color w:val="000000"/>
                <w:sz w:val="24"/>
              </w:rPr>
              <w:t>2.12</w:t>
            </w:r>
          </w:p>
        </w:tc>
      </w:tr>
    </w:tbl>
    <w:p>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3.2报告期末积极投资按公允价值占基金资产净值比例大小排序的前五名股票投资明细</w:t>
      </w:r>
    </w:p>
    <w:p>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本基金本报告期末未持有积极投资股票。</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p>
      <w:pPr>
        <w:pStyle w:val="51"/>
        <w:autoSpaceDE w:val="0"/>
        <w:autoSpaceDN w:val="0"/>
        <w:adjustRightInd w:val="0"/>
        <w:spacing w:before="29" w:line="288" w:lineRule="auto"/>
        <w:ind w:left="482" w:right="120" w:firstLine="0" w:firstLineChars="0"/>
        <w:jc w:val="right"/>
        <w:rPr>
          <w:color w:val="000000"/>
          <w:kern w:val="0"/>
          <w:sz w:val="24"/>
        </w:rPr>
      </w:pPr>
      <w:r>
        <w:rPr>
          <w:rFonts w:hint="eastAsia"/>
          <w:color w:val="000000"/>
          <w:kern w:val="0"/>
          <w:sz w:val="24"/>
        </w:rPr>
        <w:t>金额单位：人民币元</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48"/>
        <w:gridCol w:w="280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序号</w:t>
            </w:r>
          </w:p>
        </w:tc>
        <w:tc>
          <w:tcPr>
            <w:tcW w:w="2948" w:type="dxa"/>
            <w:shd w:val="clear" w:color="auto" w:fill="auto"/>
            <w:vAlign w:val="center"/>
          </w:tcPr>
          <w:p>
            <w:pPr>
              <w:spacing w:before="29" w:line="288" w:lineRule="auto"/>
              <w:ind w:left="17"/>
              <w:jc w:val="center"/>
              <w:rPr>
                <w:color w:val="000000"/>
                <w:sz w:val="24"/>
              </w:rPr>
            </w:pPr>
            <w:r>
              <w:rPr>
                <w:color w:val="000000"/>
                <w:sz w:val="24"/>
              </w:rPr>
              <w:t>债券品种</w:t>
            </w:r>
          </w:p>
        </w:tc>
        <w:tc>
          <w:tcPr>
            <w:tcW w:w="2801" w:type="dxa"/>
            <w:shd w:val="clear" w:color="auto" w:fill="auto"/>
            <w:vAlign w:val="center"/>
          </w:tcPr>
          <w:p>
            <w:pPr>
              <w:spacing w:before="29" w:line="288" w:lineRule="auto"/>
              <w:ind w:left="17"/>
              <w:jc w:val="center"/>
              <w:rPr>
                <w:color w:val="000000"/>
                <w:sz w:val="24"/>
              </w:rPr>
            </w:pPr>
            <w:r>
              <w:rPr>
                <w:color w:val="000000"/>
                <w:sz w:val="24"/>
              </w:rPr>
              <w:t>公允价值</w:t>
            </w:r>
          </w:p>
        </w:tc>
        <w:tc>
          <w:tcPr>
            <w:tcW w:w="1827" w:type="dxa"/>
            <w:shd w:val="clear" w:color="auto" w:fill="auto"/>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1</w:t>
            </w:r>
          </w:p>
        </w:tc>
        <w:tc>
          <w:tcPr>
            <w:tcW w:w="2948" w:type="dxa"/>
            <w:shd w:val="clear" w:color="auto" w:fill="auto"/>
            <w:vAlign w:val="center"/>
          </w:tcPr>
          <w:p>
            <w:pPr>
              <w:spacing w:before="29" w:line="288" w:lineRule="auto"/>
              <w:ind w:left="17"/>
              <w:jc w:val="left"/>
              <w:rPr>
                <w:color w:val="000000"/>
                <w:sz w:val="24"/>
              </w:rPr>
            </w:pPr>
            <w:r>
              <w:rPr>
                <w:color w:val="000000"/>
                <w:sz w:val="24"/>
              </w:rPr>
              <w:t>国家债券</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2</w:t>
            </w:r>
          </w:p>
        </w:tc>
        <w:tc>
          <w:tcPr>
            <w:tcW w:w="2948" w:type="dxa"/>
            <w:shd w:val="clear" w:color="auto" w:fill="auto"/>
            <w:vAlign w:val="center"/>
          </w:tcPr>
          <w:p>
            <w:pPr>
              <w:spacing w:before="29" w:line="288" w:lineRule="auto"/>
              <w:ind w:left="17"/>
              <w:jc w:val="left"/>
              <w:rPr>
                <w:color w:val="000000"/>
                <w:sz w:val="24"/>
              </w:rPr>
            </w:pPr>
            <w:r>
              <w:rPr>
                <w:color w:val="000000"/>
                <w:sz w:val="24"/>
              </w:rPr>
              <w:t>央行票据</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3</w:t>
            </w:r>
          </w:p>
        </w:tc>
        <w:tc>
          <w:tcPr>
            <w:tcW w:w="2948" w:type="dxa"/>
            <w:shd w:val="clear" w:color="auto" w:fill="auto"/>
            <w:vAlign w:val="center"/>
          </w:tcPr>
          <w:p>
            <w:pPr>
              <w:spacing w:before="29" w:line="288" w:lineRule="auto"/>
              <w:ind w:left="17"/>
              <w:jc w:val="left"/>
              <w:rPr>
                <w:color w:val="000000"/>
                <w:sz w:val="24"/>
              </w:rPr>
            </w:pPr>
            <w:r>
              <w:rPr>
                <w:color w:val="000000"/>
                <w:sz w:val="24"/>
              </w:rPr>
              <w:t>金融债券</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p>
        </w:tc>
        <w:tc>
          <w:tcPr>
            <w:tcW w:w="2948" w:type="dxa"/>
            <w:shd w:val="clear" w:color="auto" w:fill="auto"/>
            <w:vAlign w:val="center"/>
          </w:tcPr>
          <w:p>
            <w:pPr>
              <w:spacing w:before="29" w:line="288" w:lineRule="auto"/>
              <w:ind w:left="17"/>
              <w:jc w:val="left"/>
              <w:rPr>
                <w:color w:val="000000"/>
                <w:sz w:val="24"/>
              </w:rPr>
            </w:pPr>
            <w:r>
              <w:rPr>
                <w:color w:val="000000"/>
                <w:sz w:val="24"/>
              </w:rPr>
              <w:t>其中：政策性金融债</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4</w:t>
            </w:r>
          </w:p>
        </w:tc>
        <w:tc>
          <w:tcPr>
            <w:tcW w:w="2948" w:type="dxa"/>
            <w:shd w:val="clear" w:color="auto" w:fill="auto"/>
            <w:vAlign w:val="center"/>
          </w:tcPr>
          <w:p>
            <w:pPr>
              <w:spacing w:before="29" w:line="288" w:lineRule="auto"/>
              <w:ind w:left="17"/>
              <w:jc w:val="left"/>
              <w:rPr>
                <w:color w:val="000000"/>
                <w:sz w:val="24"/>
              </w:rPr>
            </w:pPr>
            <w:r>
              <w:rPr>
                <w:color w:val="000000"/>
                <w:sz w:val="24"/>
              </w:rPr>
              <w:t>企业债券</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5</w:t>
            </w:r>
          </w:p>
        </w:tc>
        <w:tc>
          <w:tcPr>
            <w:tcW w:w="2948" w:type="dxa"/>
            <w:shd w:val="clear" w:color="auto" w:fill="auto"/>
            <w:vAlign w:val="center"/>
          </w:tcPr>
          <w:p>
            <w:pPr>
              <w:spacing w:before="29" w:line="288" w:lineRule="auto"/>
              <w:ind w:left="17"/>
              <w:jc w:val="left"/>
              <w:rPr>
                <w:color w:val="000000"/>
                <w:sz w:val="24"/>
              </w:rPr>
            </w:pPr>
            <w:r>
              <w:rPr>
                <w:color w:val="000000"/>
                <w:sz w:val="24"/>
              </w:rPr>
              <w:t>企业短期融资券</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6</w:t>
            </w:r>
          </w:p>
        </w:tc>
        <w:tc>
          <w:tcPr>
            <w:tcW w:w="2948" w:type="dxa"/>
            <w:shd w:val="clear" w:color="auto" w:fill="auto"/>
            <w:vAlign w:val="center"/>
          </w:tcPr>
          <w:p>
            <w:pPr>
              <w:spacing w:before="29" w:line="288" w:lineRule="auto"/>
              <w:ind w:left="17"/>
              <w:jc w:val="left"/>
              <w:rPr>
                <w:color w:val="000000"/>
                <w:sz w:val="24"/>
              </w:rPr>
            </w:pPr>
            <w:r>
              <w:rPr>
                <w:color w:val="000000"/>
                <w:sz w:val="24"/>
              </w:rPr>
              <w:t>中期票据</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7</w:t>
            </w:r>
          </w:p>
        </w:tc>
        <w:tc>
          <w:tcPr>
            <w:tcW w:w="2948" w:type="dxa"/>
            <w:shd w:val="clear" w:color="auto" w:fill="auto"/>
            <w:vAlign w:val="center"/>
          </w:tcPr>
          <w:p>
            <w:pPr>
              <w:spacing w:before="29" w:line="288" w:lineRule="auto"/>
              <w:ind w:left="17"/>
              <w:jc w:val="left"/>
              <w:rPr>
                <w:color w:val="000000"/>
                <w:sz w:val="24"/>
              </w:rPr>
            </w:pPr>
            <w:r>
              <w:rPr>
                <w:color w:val="000000"/>
                <w:sz w:val="24"/>
              </w:rPr>
              <w:t>可转债</w:t>
            </w:r>
            <w:r>
              <w:rPr>
                <w:rFonts w:hint="eastAsia"/>
                <w:sz w:val="24"/>
              </w:rPr>
              <w:t>（可交换债）</w:t>
            </w:r>
          </w:p>
        </w:tc>
        <w:tc>
          <w:tcPr>
            <w:tcW w:w="2801" w:type="dxa"/>
            <w:shd w:val="clear" w:color="auto" w:fill="auto"/>
            <w:vAlign w:val="center"/>
          </w:tcPr>
          <w:p>
            <w:pPr>
              <w:spacing w:before="29" w:line="288" w:lineRule="auto"/>
              <w:ind w:left="17"/>
              <w:jc w:val="right"/>
              <w:rPr>
                <w:color w:val="000000"/>
                <w:sz w:val="24"/>
              </w:rPr>
            </w:pPr>
            <w:r>
              <w:rPr>
                <w:color w:val="000000"/>
                <w:sz w:val="24"/>
              </w:rPr>
              <w:t>354,000.00</w:t>
            </w:r>
          </w:p>
        </w:tc>
        <w:tc>
          <w:tcPr>
            <w:tcW w:w="1827" w:type="dxa"/>
            <w:shd w:val="clear" w:color="auto" w:fill="auto"/>
            <w:vAlign w:val="center"/>
          </w:tcPr>
          <w:p>
            <w:pPr>
              <w:spacing w:before="29" w:line="288" w:lineRule="auto"/>
              <w:ind w:left="17"/>
              <w:jc w:val="right"/>
              <w:rPr>
                <w:color w:val="000000"/>
                <w:sz w:val="24"/>
              </w:rPr>
            </w:pPr>
            <w:r>
              <w:rPr>
                <w:color w:val="000000"/>
                <w:sz w:val="24"/>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rFonts w:hint="eastAsia"/>
                <w:color w:val="000000"/>
                <w:sz w:val="24"/>
              </w:rPr>
              <w:t>8</w:t>
            </w:r>
          </w:p>
        </w:tc>
        <w:tc>
          <w:tcPr>
            <w:tcW w:w="2948" w:type="dxa"/>
            <w:shd w:val="clear" w:color="auto" w:fill="auto"/>
            <w:vAlign w:val="center"/>
          </w:tcPr>
          <w:p>
            <w:pPr>
              <w:spacing w:before="29" w:line="288" w:lineRule="auto"/>
              <w:ind w:left="17"/>
              <w:jc w:val="left"/>
              <w:rPr>
                <w:color w:val="000000"/>
                <w:sz w:val="24"/>
              </w:rPr>
            </w:pPr>
            <w:r>
              <w:rPr>
                <w:rFonts w:hint="eastAsia"/>
                <w:color w:val="000000"/>
                <w:sz w:val="24"/>
              </w:rPr>
              <w:t>同业存单</w:t>
            </w:r>
          </w:p>
        </w:tc>
        <w:tc>
          <w:tcPr>
            <w:tcW w:w="2801" w:type="dxa"/>
            <w:shd w:val="clear" w:color="auto" w:fill="auto"/>
            <w:vAlign w:val="center"/>
          </w:tcPr>
          <w:p>
            <w:pPr>
              <w:spacing w:before="29" w:line="288" w:lineRule="auto"/>
              <w:ind w:left="17"/>
              <w:jc w:val="right"/>
              <w:rPr>
                <w:color w:val="000000"/>
                <w:sz w:val="24"/>
              </w:rPr>
            </w:pPr>
            <w:r>
              <w:rPr>
                <w:rFonts w:hint="eastAsia"/>
                <w:color w:val="000000"/>
                <w:sz w:val="24"/>
              </w:rPr>
              <w:t>-</w:t>
            </w:r>
          </w:p>
        </w:tc>
        <w:tc>
          <w:tcPr>
            <w:tcW w:w="1827" w:type="dxa"/>
            <w:shd w:val="clear" w:color="auto" w:fill="auto"/>
            <w:vAlign w:val="center"/>
          </w:tcPr>
          <w:p>
            <w:pPr>
              <w:spacing w:before="29" w:line="288" w:lineRule="auto"/>
              <w:ind w:left="17"/>
              <w:jc w:val="right"/>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9</w:t>
            </w:r>
          </w:p>
        </w:tc>
        <w:tc>
          <w:tcPr>
            <w:tcW w:w="2948" w:type="dxa"/>
            <w:shd w:val="clear" w:color="auto" w:fill="auto"/>
            <w:vAlign w:val="center"/>
          </w:tcPr>
          <w:p>
            <w:pPr>
              <w:spacing w:before="29" w:line="288" w:lineRule="auto"/>
              <w:ind w:left="17"/>
              <w:jc w:val="left"/>
              <w:rPr>
                <w:color w:val="000000"/>
                <w:sz w:val="24"/>
              </w:rPr>
            </w:pPr>
            <w:r>
              <w:rPr>
                <w:color w:val="000000"/>
                <w:sz w:val="24"/>
              </w:rPr>
              <w:t>其他</w:t>
            </w:r>
          </w:p>
        </w:tc>
        <w:tc>
          <w:tcPr>
            <w:tcW w:w="2801" w:type="dxa"/>
            <w:shd w:val="clear" w:color="auto" w:fill="auto"/>
            <w:vAlign w:val="center"/>
          </w:tcPr>
          <w:p>
            <w:pPr>
              <w:spacing w:before="29" w:line="288" w:lineRule="auto"/>
              <w:ind w:left="17"/>
              <w:jc w:val="right"/>
              <w:rPr>
                <w:color w:val="000000"/>
                <w:sz w:val="24"/>
              </w:rPr>
            </w:pPr>
            <w:r>
              <w:rPr>
                <w:color w:val="000000"/>
                <w:sz w:val="24"/>
              </w:rPr>
              <w:t>-</w:t>
            </w:r>
          </w:p>
        </w:tc>
        <w:tc>
          <w:tcPr>
            <w:tcW w:w="1827" w:type="dxa"/>
            <w:shd w:val="clear" w:color="auto" w:fill="auto"/>
            <w:vAlign w:val="center"/>
          </w:tcPr>
          <w:p>
            <w:pPr>
              <w:spacing w:before="29" w:line="288" w:lineRule="auto"/>
              <w:ind w:left="17"/>
              <w:jc w:val="right"/>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spacing w:before="29" w:line="288" w:lineRule="auto"/>
              <w:ind w:left="17"/>
              <w:jc w:val="center"/>
              <w:rPr>
                <w:color w:val="000000"/>
                <w:sz w:val="24"/>
              </w:rPr>
            </w:pPr>
            <w:r>
              <w:rPr>
                <w:color w:val="000000"/>
                <w:sz w:val="24"/>
              </w:rPr>
              <w:t>10</w:t>
            </w:r>
          </w:p>
        </w:tc>
        <w:tc>
          <w:tcPr>
            <w:tcW w:w="2948" w:type="dxa"/>
            <w:shd w:val="clear" w:color="auto" w:fill="auto"/>
            <w:vAlign w:val="center"/>
          </w:tcPr>
          <w:p>
            <w:pPr>
              <w:spacing w:before="29" w:line="288" w:lineRule="auto"/>
              <w:ind w:left="17"/>
              <w:jc w:val="left"/>
              <w:rPr>
                <w:color w:val="000000"/>
                <w:sz w:val="24"/>
              </w:rPr>
            </w:pPr>
            <w:r>
              <w:rPr>
                <w:color w:val="000000"/>
                <w:sz w:val="24"/>
              </w:rPr>
              <w:t>合计</w:t>
            </w:r>
          </w:p>
        </w:tc>
        <w:tc>
          <w:tcPr>
            <w:tcW w:w="2801" w:type="dxa"/>
            <w:shd w:val="clear" w:color="auto" w:fill="auto"/>
            <w:vAlign w:val="center"/>
          </w:tcPr>
          <w:p>
            <w:pPr>
              <w:spacing w:before="29" w:line="288" w:lineRule="auto"/>
              <w:ind w:left="17"/>
              <w:jc w:val="right"/>
              <w:rPr>
                <w:color w:val="000000"/>
                <w:sz w:val="24"/>
              </w:rPr>
            </w:pPr>
            <w:r>
              <w:rPr>
                <w:color w:val="000000"/>
                <w:sz w:val="24"/>
              </w:rPr>
              <w:t>354,000.00</w:t>
            </w:r>
          </w:p>
        </w:tc>
        <w:tc>
          <w:tcPr>
            <w:tcW w:w="1827" w:type="dxa"/>
            <w:shd w:val="clear" w:color="auto" w:fill="auto"/>
            <w:vAlign w:val="center"/>
          </w:tcPr>
          <w:p>
            <w:pPr>
              <w:spacing w:before="29" w:line="288" w:lineRule="auto"/>
              <w:ind w:left="17"/>
              <w:jc w:val="right"/>
              <w:rPr>
                <w:color w:val="000000"/>
                <w:sz w:val="24"/>
              </w:rPr>
            </w:pPr>
            <w:r>
              <w:rPr>
                <w:color w:val="000000"/>
                <w:sz w:val="24"/>
              </w:rPr>
              <w:t>0.36</w:t>
            </w:r>
          </w:p>
        </w:tc>
      </w:tr>
    </w:tbl>
    <w:p>
      <w:pPr>
        <w:spacing w:line="360" w:lineRule="auto"/>
        <w:ind w:right="-178" w:rightChars="-85"/>
        <w:contextualSpacing/>
        <w:rPr>
          <w:sz w:val="24"/>
        </w:rPr>
      </w:pP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p>
      <w:pPr>
        <w:pStyle w:val="51"/>
        <w:autoSpaceDE w:val="0"/>
        <w:autoSpaceDN w:val="0"/>
        <w:adjustRightInd w:val="0"/>
        <w:spacing w:before="29" w:line="288" w:lineRule="auto"/>
        <w:ind w:left="482" w:right="120" w:firstLine="0" w:firstLineChars="0"/>
        <w:jc w:val="right"/>
        <w:rPr>
          <w:color w:val="000000"/>
          <w:kern w:val="0"/>
          <w:sz w:val="24"/>
        </w:rPr>
      </w:pPr>
      <w:r>
        <w:rPr>
          <w:rFonts w:hint="eastAsia"/>
          <w:color w:val="000000"/>
          <w:kern w:val="0"/>
          <w:sz w:val="24"/>
        </w:rPr>
        <w:t>金额单位：人民币元</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02"/>
        <w:gridCol w:w="1362"/>
        <w:gridCol w:w="1333"/>
        <w:gridCol w:w="1483"/>
        <w:gridCol w:w="171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252" w:type="dxa"/>
            <w:shd w:val="clear" w:color="auto" w:fill="auto"/>
            <w:vAlign w:val="center"/>
          </w:tcPr>
          <w:p>
            <w:pPr>
              <w:spacing w:before="29" w:line="288" w:lineRule="auto"/>
              <w:ind w:left="17"/>
              <w:jc w:val="center"/>
              <w:rPr>
                <w:color w:val="000000"/>
                <w:sz w:val="24"/>
              </w:rPr>
            </w:pPr>
            <w:r>
              <w:rPr>
                <w:color w:val="000000"/>
                <w:sz w:val="24"/>
              </w:rPr>
              <w:t>序号</w:t>
            </w:r>
          </w:p>
        </w:tc>
        <w:tc>
          <w:tcPr>
            <w:tcW w:w="1310" w:type="dxa"/>
            <w:shd w:val="clear" w:color="auto" w:fill="auto"/>
            <w:vAlign w:val="center"/>
          </w:tcPr>
          <w:p>
            <w:pPr>
              <w:spacing w:before="29" w:line="288" w:lineRule="auto"/>
              <w:ind w:left="17"/>
              <w:jc w:val="center"/>
              <w:rPr>
                <w:color w:val="000000"/>
                <w:sz w:val="24"/>
              </w:rPr>
            </w:pPr>
            <w:r>
              <w:rPr>
                <w:color w:val="000000"/>
                <w:sz w:val="24"/>
              </w:rPr>
              <w:t>债券代码</w:t>
            </w:r>
          </w:p>
        </w:tc>
        <w:tc>
          <w:tcPr>
            <w:tcW w:w="1282" w:type="dxa"/>
            <w:shd w:val="clear" w:color="auto" w:fill="auto"/>
            <w:vAlign w:val="center"/>
          </w:tcPr>
          <w:p>
            <w:pPr>
              <w:spacing w:before="29" w:line="288" w:lineRule="auto"/>
              <w:ind w:left="17"/>
              <w:jc w:val="center"/>
              <w:rPr>
                <w:color w:val="000000"/>
                <w:sz w:val="24"/>
              </w:rPr>
            </w:pPr>
            <w:r>
              <w:rPr>
                <w:color w:val="000000"/>
                <w:sz w:val="24"/>
              </w:rPr>
              <w:t>债券名称</w:t>
            </w:r>
          </w:p>
        </w:tc>
        <w:tc>
          <w:tcPr>
            <w:tcW w:w="1426" w:type="dxa"/>
            <w:shd w:val="clear" w:color="auto" w:fill="auto"/>
            <w:vAlign w:val="center"/>
          </w:tcPr>
          <w:p>
            <w:pPr>
              <w:spacing w:before="29" w:line="288" w:lineRule="auto"/>
              <w:ind w:left="17"/>
              <w:jc w:val="center"/>
              <w:rPr>
                <w:color w:val="000000"/>
                <w:sz w:val="24"/>
              </w:rPr>
            </w:pPr>
            <w:r>
              <w:rPr>
                <w:color w:val="000000"/>
                <w:sz w:val="24"/>
              </w:rPr>
              <w:t>数量(张)</w:t>
            </w:r>
          </w:p>
        </w:tc>
        <w:tc>
          <w:tcPr>
            <w:tcW w:w="1646" w:type="dxa"/>
            <w:shd w:val="clear" w:color="auto" w:fill="auto"/>
            <w:vAlign w:val="center"/>
          </w:tcPr>
          <w:p>
            <w:pPr>
              <w:spacing w:before="29" w:line="288" w:lineRule="auto"/>
              <w:ind w:left="17"/>
              <w:jc w:val="center"/>
              <w:rPr>
                <w:color w:val="000000"/>
                <w:sz w:val="24"/>
              </w:rPr>
            </w:pPr>
            <w:r>
              <w:rPr>
                <w:color w:val="000000"/>
                <w:sz w:val="24"/>
              </w:rPr>
              <w:t>公允价值</w:t>
            </w:r>
          </w:p>
        </w:tc>
        <w:tc>
          <w:tcPr>
            <w:tcW w:w="1612" w:type="dxa"/>
            <w:shd w:val="clear" w:color="auto" w:fill="auto"/>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302" w:type="dxa"/>
            <w:vAlign w:val="center"/>
          </w:tcPr>
          <w:p>
            <w:pPr>
              <w:jc w:val="center"/>
            </w:pPr>
            <w:r>
              <w:rPr>
                <w:color w:val="000000"/>
                <w:sz w:val="24"/>
              </w:rPr>
              <w:t>1</w:t>
            </w:r>
          </w:p>
        </w:tc>
        <w:tc>
          <w:tcPr>
            <w:tcW w:w="1362" w:type="dxa"/>
            <w:vAlign w:val="center"/>
          </w:tcPr>
          <w:p>
            <w:pPr>
              <w:jc w:val="center"/>
            </w:pPr>
            <w:r>
              <w:rPr>
                <w:color w:val="000000"/>
                <w:sz w:val="24"/>
              </w:rPr>
              <w:t>110068</w:t>
            </w:r>
          </w:p>
        </w:tc>
        <w:tc>
          <w:tcPr>
            <w:tcW w:w="1333" w:type="dxa"/>
            <w:vAlign w:val="center"/>
          </w:tcPr>
          <w:p>
            <w:pPr>
              <w:jc w:val="center"/>
            </w:pPr>
            <w:r>
              <w:rPr>
                <w:color w:val="000000"/>
                <w:sz w:val="24"/>
              </w:rPr>
              <w:t>龙净转债</w:t>
            </w:r>
          </w:p>
        </w:tc>
        <w:tc>
          <w:tcPr>
            <w:tcW w:w="1483" w:type="dxa"/>
            <w:vAlign w:val="center"/>
          </w:tcPr>
          <w:p>
            <w:pPr>
              <w:jc w:val="right"/>
            </w:pPr>
            <w:r>
              <w:rPr>
                <w:color w:val="000000"/>
                <w:sz w:val="24"/>
              </w:rPr>
              <w:t>3,540</w:t>
            </w:r>
          </w:p>
        </w:tc>
        <w:tc>
          <w:tcPr>
            <w:tcW w:w="1712" w:type="dxa"/>
            <w:vAlign w:val="center"/>
          </w:tcPr>
          <w:p>
            <w:pPr>
              <w:jc w:val="right"/>
            </w:pPr>
            <w:r>
              <w:rPr>
                <w:color w:val="000000"/>
                <w:sz w:val="24"/>
              </w:rPr>
              <w:t>354,000.00</w:t>
            </w:r>
          </w:p>
        </w:tc>
        <w:tc>
          <w:tcPr>
            <w:tcW w:w="1676" w:type="dxa"/>
            <w:vAlign w:val="center"/>
          </w:tcPr>
          <w:p>
            <w:pPr>
              <w:jc w:val="right"/>
            </w:pPr>
            <w:r>
              <w:rPr>
                <w:color w:val="000000"/>
                <w:sz w:val="24"/>
              </w:rPr>
              <w:t>0.36</w:t>
            </w:r>
          </w:p>
        </w:tc>
      </w:tr>
    </w:tbl>
    <w:p>
      <w:pPr>
        <w:spacing w:line="360" w:lineRule="auto"/>
        <w:ind w:right="-178" w:rightChars="-85"/>
        <w:contextualSpacing/>
        <w:rPr>
          <w:sz w:val="24"/>
        </w:rPr>
      </w:pP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pPr>
        <w:spacing w:line="360" w:lineRule="auto"/>
        <w:ind w:right="-178" w:rightChars="-85" w:firstLine="480" w:firstLineChars="200"/>
        <w:contextualSpacing/>
        <w:rPr>
          <w:sz w:val="24"/>
        </w:rPr>
      </w:pPr>
      <w:r>
        <w:rPr>
          <w:sz w:val="24"/>
        </w:rPr>
        <w:t xml:space="preserve">本基金本报告期末未持有资产支持证券。  </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pPr>
        <w:spacing w:line="360" w:lineRule="auto"/>
        <w:ind w:right="-178" w:rightChars="-85" w:firstLine="480" w:firstLineChars="200"/>
        <w:contextualSpacing/>
        <w:rPr>
          <w:sz w:val="24"/>
        </w:rPr>
      </w:pPr>
      <w:r>
        <w:rPr>
          <w:sz w:val="24"/>
        </w:rPr>
        <w:t>本基金本报告期末未持有贵金属。</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pPr>
        <w:spacing w:line="360" w:lineRule="auto"/>
        <w:ind w:right="-178" w:rightChars="-85" w:firstLine="480" w:firstLineChars="200"/>
        <w:contextualSpacing/>
        <w:rPr>
          <w:sz w:val="24"/>
        </w:rPr>
      </w:pPr>
      <w:r>
        <w:rPr>
          <w:sz w:val="24"/>
        </w:rPr>
        <w:t>本基金本报告期末未持有权证。</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pPr>
        <w:spacing w:line="360" w:lineRule="auto"/>
        <w:ind w:right="-178" w:rightChars="-85" w:firstLine="480" w:firstLineChars="200"/>
        <w:contextualSpacing/>
      </w:pPr>
      <w:r>
        <w:rPr>
          <w:sz w:val="24"/>
        </w:rPr>
        <w:t>本基金本报告期末未持有股指期货。</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pPr>
        <w:spacing w:line="360" w:lineRule="auto"/>
        <w:ind w:right="-178" w:rightChars="-85" w:firstLine="480" w:firstLineChars="200"/>
        <w:contextualSpacing/>
        <w:rPr>
          <w:sz w:val="24"/>
        </w:rPr>
      </w:pPr>
      <w:r>
        <w:rPr>
          <w:sz w:val="24"/>
        </w:rPr>
        <w:t>本基金本报告期末未持有国债期货。</w:t>
      </w:r>
    </w:p>
    <w:p>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投资组合报告附注</w:t>
      </w:r>
    </w:p>
    <w:p>
      <w:pPr>
        <w:spacing w:line="360" w:lineRule="auto"/>
        <w:ind w:right="-178" w:rightChars="-85" w:firstLine="480" w:firstLineChars="200"/>
        <w:contextualSpacing/>
        <w:rPr>
          <w:sz w:val="24"/>
        </w:rPr>
      </w:pPr>
      <w:r>
        <w:rPr>
          <w:rFonts w:hint="eastAsia"/>
          <w:sz w:val="24"/>
        </w:rPr>
        <w:t>（</w:t>
      </w:r>
      <w:r>
        <w:rPr>
          <w:sz w:val="24"/>
        </w:rPr>
        <w:t>1</w:t>
      </w:r>
      <w:r>
        <w:rPr>
          <w:rFonts w:hint="eastAsia"/>
          <w:sz w:val="24"/>
        </w:rPr>
        <w:t>）报告期内本基金投资的前十名证券的发行主体未被监管部门立案调查，在本报告编制日前一年内本基金投资的前十名证券的发行主体未受到公开谴责和处罚。</w:t>
      </w:r>
    </w:p>
    <w:p>
      <w:pPr>
        <w:spacing w:line="360" w:lineRule="auto"/>
        <w:ind w:right="-178" w:rightChars="-85" w:firstLine="480" w:firstLineChars="200"/>
        <w:contextualSpacing/>
        <w:rPr>
          <w:sz w:val="24"/>
        </w:rPr>
      </w:pPr>
      <w:r>
        <w:rPr>
          <w:rFonts w:hint="eastAsia"/>
          <w:sz w:val="24"/>
        </w:rPr>
        <w:t>（</w:t>
      </w:r>
      <w:r>
        <w:rPr>
          <w:sz w:val="24"/>
        </w:rPr>
        <w:t>2</w:t>
      </w:r>
      <w:r>
        <w:rPr>
          <w:rFonts w:hint="eastAsia"/>
          <w:sz w:val="24"/>
        </w:rPr>
        <w:t>）本基金投资的前十名股票中，没有超出基金合同规定的备选股票库之外的股票。</w:t>
      </w:r>
    </w:p>
    <w:p>
      <w:pPr>
        <w:spacing w:line="360" w:lineRule="auto"/>
        <w:ind w:right="-178" w:rightChars="-85" w:firstLine="480" w:firstLineChars="200"/>
        <w:contextualSpacing/>
        <w:rPr>
          <w:sz w:val="24"/>
        </w:rPr>
      </w:pPr>
      <w:r>
        <w:rPr>
          <w:rFonts w:hint="eastAsia"/>
          <w:sz w:val="24"/>
        </w:rPr>
        <w:t>（</w:t>
      </w:r>
      <w:r>
        <w:rPr>
          <w:sz w:val="24"/>
        </w:rPr>
        <w:t>3</w:t>
      </w:r>
      <w:r>
        <w:rPr>
          <w:rFonts w:hint="eastAsia"/>
          <w:sz w:val="24"/>
        </w:rPr>
        <w:t>）其他各项资产构成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61"/>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val="0"/>
              <w:autoSpaceDN w:val="0"/>
              <w:adjustRightInd w:val="0"/>
              <w:spacing w:line="360" w:lineRule="auto"/>
              <w:contextualSpacing/>
              <w:jc w:val="center"/>
              <w:rPr>
                <w:rFonts w:eastAsiaTheme="minorEastAsia"/>
                <w:color w:val="000000"/>
                <w:sz w:val="24"/>
              </w:rPr>
            </w:pPr>
            <w:r>
              <w:rPr>
                <w:rFonts w:eastAsiaTheme="minorEastAsia"/>
                <w:color w:val="000000"/>
                <w:sz w:val="24"/>
              </w:rPr>
              <w:t>序号</w:t>
            </w:r>
          </w:p>
        </w:tc>
        <w:tc>
          <w:tcPr>
            <w:tcW w:w="2761" w:type="dxa"/>
          </w:tcPr>
          <w:p>
            <w:pPr>
              <w:autoSpaceDE w:val="0"/>
              <w:autoSpaceDN w:val="0"/>
              <w:adjustRightInd w:val="0"/>
              <w:spacing w:line="360" w:lineRule="auto"/>
              <w:contextualSpacing/>
              <w:jc w:val="center"/>
              <w:rPr>
                <w:rFonts w:eastAsiaTheme="minorEastAsia"/>
                <w:color w:val="000000"/>
                <w:sz w:val="24"/>
              </w:rPr>
            </w:pPr>
            <w:r>
              <w:rPr>
                <w:rFonts w:eastAsiaTheme="minorEastAsia"/>
                <w:color w:val="000000"/>
                <w:sz w:val="24"/>
              </w:rPr>
              <w:t>名称</w:t>
            </w:r>
          </w:p>
        </w:tc>
        <w:tc>
          <w:tcPr>
            <w:tcW w:w="4808" w:type="dxa"/>
          </w:tcPr>
          <w:p>
            <w:pPr>
              <w:autoSpaceDE w:val="0"/>
              <w:autoSpaceDN w:val="0"/>
              <w:adjustRightInd w:val="0"/>
              <w:spacing w:line="360" w:lineRule="auto"/>
              <w:contextualSpacing/>
              <w:jc w:val="center"/>
              <w:rPr>
                <w:rFonts w:eastAsiaTheme="minorEastAsia"/>
                <w:color w:val="000000"/>
                <w:sz w:val="24"/>
              </w:rPr>
            </w:pPr>
            <w:r>
              <w:rPr>
                <w:rFonts w:eastAsiaTheme="minorEastAsia"/>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kern w:val="0"/>
                <w:sz w:val="24"/>
              </w:rPr>
            </w:pPr>
            <w:r>
              <w:rPr>
                <w:color w:val="000000"/>
                <w:sz w:val="24"/>
              </w:rPr>
              <w:t>1</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存出保证金</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22,760.35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2</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应收证券清算款</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3</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应收股利</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4</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应收利息</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1,638.08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5</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应收申购款</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403,052.66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6</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其他应收款</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7</w:t>
            </w:r>
          </w:p>
        </w:tc>
        <w:tc>
          <w:tcPr>
            <w:tcW w:w="2761" w:type="dxa"/>
            <w:vAlign w:val="center"/>
          </w:tcPr>
          <w:p>
            <w:pPr>
              <w:autoSpaceDE w:val="0"/>
              <w:autoSpaceDN w:val="0"/>
              <w:adjustRightInd w:val="0"/>
              <w:spacing w:before="29" w:line="360" w:lineRule="auto"/>
              <w:ind w:left="105" w:leftChars="50"/>
              <w:contextualSpacing/>
              <w:rPr>
                <w:rFonts w:eastAsiaTheme="minorEastAsia"/>
                <w:color w:val="000000"/>
                <w:sz w:val="24"/>
              </w:rPr>
            </w:pPr>
            <w:r>
              <w:rPr>
                <w:color w:val="000000"/>
                <w:kern w:val="0"/>
                <w:sz w:val="24"/>
              </w:rPr>
              <w:t>待摊费用</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8</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其他</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adjustRightInd w:val="0"/>
              <w:spacing w:before="29" w:line="360" w:lineRule="auto"/>
              <w:ind w:left="15"/>
              <w:contextualSpacing/>
              <w:jc w:val="center"/>
              <w:rPr>
                <w:rFonts w:eastAsiaTheme="minorEastAsia"/>
                <w:color w:val="000000"/>
                <w:sz w:val="24"/>
              </w:rPr>
            </w:pPr>
            <w:r>
              <w:rPr>
                <w:color w:val="000000"/>
                <w:sz w:val="24"/>
              </w:rPr>
              <w:t>9</w:t>
            </w:r>
          </w:p>
        </w:tc>
        <w:tc>
          <w:tcPr>
            <w:tcW w:w="2761" w:type="dxa"/>
            <w:vAlign w:val="center"/>
          </w:tcPr>
          <w:p>
            <w:pPr>
              <w:autoSpaceDE w:val="0"/>
              <w:autoSpaceDN w:val="0"/>
              <w:adjustRightInd w:val="0"/>
              <w:spacing w:before="29" w:line="360" w:lineRule="auto"/>
              <w:ind w:left="15"/>
              <w:contextualSpacing/>
              <w:jc w:val="left"/>
              <w:rPr>
                <w:rFonts w:eastAsiaTheme="minorEastAsia"/>
                <w:color w:val="000000"/>
                <w:kern w:val="0"/>
                <w:sz w:val="24"/>
              </w:rPr>
            </w:pPr>
            <w:r>
              <w:rPr>
                <w:color w:val="000000"/>
                <w:kern w:val="0"/>
                <w:sz w:val="24"/>
              </w:rPr>
              <w:t>合计</w:t>
            </w:r>
          </w:p>
        </w:tc>
        <w:tc>
          <w:tcPr>
            <w:tcW w:w="4808" w:type="dxa"/>
            <w:vAlign w:val="center"/>
          </w:tcPr>
          <w:p>
            <w:pPr>
              <w:autoSpaceDE w:val="0"/>
              <w:autoSpaceDN w:val="0"/>
              <w:adjustRightInd w:val="0"/>
              <w:spacing w:before="29" w:line="360" w:lineRule="auto"/>
              <w:ind w:left="15"/>
              <w:contextualSpacing/>
              <w:jc w:val="right"/>
              <w:rPr>
                <w:rFonts w:eastAsiaTheme="minorEastAsia"/>
                <w:color w:val="000000"/>
                <w:kern w:val="0"/>
                <w:sz w:val="24"/>
              </w:rPr>
            </w:pPr>
            <w:r>
              <w:rPr>
                <w:color w:val="000000"/>
                <w:kern w:val="0"/>
                <w:sz w:val="24"/>
              </w:rPr>
              <w:t>427,451.09</w:t>
            </w:r>
          </w:p>
        </w:tc>
      </w:tr>
    </w:tbl>
    <w:p>
      <w:pPr>
        <w:spacing w:line="360" w:lineRule="auto"/>
        <w:ind w:right="-178" w:rightChars="-85" w:firstLine="480" w:firstLineChars="200"/>
        <w:contextualSpacing/>
        <w:rPr>
          <w:sz w:val="24"/>
        </w:rPr>
      </w:pPr>
      <w:r>
        <w:rPr>
          <w:rFonts w:hint="eastAsia"/>
          <w:sz w:val="24"/>
        </w:rPr>
        <w:t>（</w:t>
      </w:r>
      <w:r>
        <w:rPr>
          <w:sz w:val="24"/>
        </w:rPr>
        <w:t>4</w:t>
      </w:r>
      <w:r>
        <w:rPr>
          <w:rFonts w:hint="eastAsia"/>
          <w:sz w:val="24"/>
        </w:rPr>
        <w:t>）报告期末持有的处于转股期的可转换债券明细</w:t>
      </w:r>
    </w:p>
    <w:p>
      <w:pPr>
        <w:spacing w:line="360" w:lineRule="auto"/>
        <w:ind w:right="-178" w:rightChars="-85" w:firstLine="480" w:firstLineChars="200"/>
        <w:contextualSpacing/>
        <w:rPr>
          <w:sz w:val="24"/>
        </w:rPr>
      </w:pPr>
      <w:r>
        <w:rPr>
          <w:rFonts w:hint="eastAsia"/>
          <w:sz w:val="24"/>
        </w:rPr>
        <w:t>本基金本报告期末未持有处于转股期的可转换债券。</w:t>
      </w:r>
    </w:p>
    <w:p>
      <w:pPr>
        <w:spacing w:line="360" w:lineRule="auto"/>
        <w:ind w:right="-178" w:rightChars="-85" w:firstLine="480" w:firstLineChars="200"/>
        <w:contextualSpacing/>
        <w:rPr>
          <w:sz w:val="24"/>
        </w:rPr>
      </w:pPr>
      <w:r>
        <w:rPr>
          <w:rFonts w:hint="eastAsia"/>
          <w:sz w:val="24"/>
        </w:rPr>
        <w:t>（</w:t>
      </w:r>
      <w:r>
        <w:rPr>
          <w:sz w:val="24"/>
        </w:rPr>
        <w:t>5</w:t>
      </w:r>
      <w:r>
        <w:rPr>
          <w:rFonts w:hint="eastAsia"/>
          <w:sz w:val="24"/>
        </w:rPr>
        <w:t>）报告期末投资的股票中存在流通受限情况的说明</w:t>
      </w:r>
    </w:p>
    <w:p>
      <w:pPr>
        <w:pStyle w:val="51"/>
        <w:autoSpaceDE w:val="0"/>
        <w:autoSpaceDN w:val="0"/>
        <w:adjustRightInd w:val="0"/>
        <w:spacing w:line="360" w:lineRule="auto"/>
        <w:ind w:left="482" w:firstLine="0" w:firstLineChars="0"/>
        <w:contextualSpacing/>
        <w:jc w:val="left"/>
        <w:rPr>
          <w:rFonts w:eastAsiaTheme="minorEastAsia"/>
          <w:bCs/>
          <w:color w:val="000000"/>
          <w:kern w:val="0"/>
          <w:sz w:val="24"/>
        </w:rPr>
      </w:pPr>
      <w:r>
        <w:rPr>
          <w:rFonts w:hint="eastAsia" w:eastAsiaTheme="minorEastAsia"/>
          <w:bCs/>
          <w:color w:val="000000"/>
          <w:kern w:val="0"/>
          <w:sz w:val="24"/>
        </w:rPr>
        <w:t>1）</w:t>
      </w:r>
      <w:r>
        <w:rPr>
          <w:rFonts w:eastAsiaTheme="minorEastAsia"/>
          <w:bCs/>
          <w:color w:val="000000"/>
          <w:kern w:val="0"/>
          <w:sz w:val="24"/>
        </w:rPr>
        <w:t>报告期末指数投资前十名股票中存在流通受限情况的说明</w:t>
      </w:r>
    </w:p>
    <w:p>
      <w:pPr>
        <w:autoSpaceDE w:val="0"/>
        <w:autoSpaceDN w:val="0"/>
        <w:adjustRightInd w:val="0"/>
        <w:spacing w:line="360" w:lineRule="auto"/>
        <w:ind w:firstLine="420"/>
        <w:contextualSpacing/>
        <w:jc w:val="left"/>
        <w:rPr>
          <w:rFonts w:eastAsiaTheme="minorEastAsia"/>
          <w:color w:val="000000"/>
          <w:sz w:val="24"/>
        </w:rPr>
      </w:pPr>
      <w:r>
        <w:rPr>
          <w:rFonts w:hint="eastAsia" w:eastAsiaTheme="minorEastAsia"/>
          <w:color w:val="000000"/>
          <w:sz w:val="24"/>
        </w:rPr>
        <w:t>本基金本报告期末前十名股票中不存在流通受限情况。</w:t>
      </w:r>
    </w:p>
    <w:p>
      <w:pPr>
        <w:pStyle w:val="51"/>
        <w:autoSpaceDE w:val="0"/>
        <w:autoSpaceDN w:val="0"/>
        <w:adjustRightInd w:val="0"/>
        <w:spacing w:line="360" w:lineRule="auto"/>
        <w:ind w:left="482" w:firstLine="0" w:firstLineChars="0"/>
        <w:contextualSpacing/>
        <w:jc w:val="left"/>
        <w:rPr>
          <w:rFonts w:eastAsiaTheme="minorEastAsia"/>
          <w:bCs/>
          <w:color w:val="000000"/>
          <w:kern w:val="0"/>
          <w:sz w:val="24"/>
        </w:rPr>
      </w:pPr>
      <w:r>
        <w:rPr>
          <w:rFonts w:hint="eastAsia" w:eastAsiaTheme="minorEastAsia"/>
          <w:bCs/>
          <w:color w:val="000000"/>
          <w:kern w:val="0"/>
          <w:sz w:val="24"/>
        </w:rPr>
        <w:t>2）</w:t>
      </w:r>
      <w:r>
        <w:rPr>
          <w:rFonts w:eastAsiaTheme="minorEastAsia"/>
          <w:bCs/>
          <w:color w:val="000000"/>
          <w:kern w:val="0"/>
          <w:sz w:val="24"/>
        </w:rPr>
        <w:t>报告期末积极投资前五名股票中存在流通受限情况的说明</w:t>
      </w:r>
    </w:p>
    <w:p>
      <w:pPr>
        <w:pStyle w:val="51"/>
        <w:autoSpaceDE w:val="0"/>
        <w:autoSpaceDN w:val="0"/>
        <w:adjustRightInd w:val="0"/>
        <w:spacing w:line="360" w:lineRule="auto"/>
        <w:ind w:left="482" w:firstLine="0" w:firstLineChars="0"/>
        <w:contextualSpacing/>
        <w:jc w:val="left"/>
        <w:rPr>
          <w:rFonts w:eastAsiaTheme="minorEastAsia"/>
          <w:bCs/>
          <w:color w:val="000000"/>
          <w:kern w:val="0"/>
          <w:sz w:val="24"/>
        </w:rPr>
      </w:pPr>
      <w:r>
        <w:rPr>
          <w:rFonts w:hint="eastAsia" w:eastAsiaTheme="minorEastAsia"/>
          <w:bCs/>
          <w:color w:val="000000"/>
          <w:kern w:val="0"/>
          <w:sz w:val="24"/>
        </w:rPr>
        <w:t>本基金本报告期末未持有积极投资的股票。</w:t>
      </w:r>
    </w:p>
    <w:p>
      <w:pPr>
        <w:pStyle w:val="51"/>
        <w:autoSpaceDE w:val="0"/>
        <w:autoSpaceDN w:val="0"/>
        <w:adjustRightInd w:val="0"/>
        <w:spacing w:line="360" w:lineRule="auto"/>
        <w:ind w:left="482" w:firstLine="0" w:firstLineChars="0"/>
        <w:contextualSpacing/>
        <w:jc w:val="left"/>
        <w:rPr>
          <w:rFonts w:eastAsiaTheme="minorEastAsia"/>
          <w:bCs/>
          <w:color w:val="000000"/>
          <w:kern w:val="0"/>
          <w:sz w:val="24"/>
        </w:rPr>
      </w:pPr>
      <w:r>
        <w:rPr>
          <w:rFonts w:hint="eastAsia" w:eastAsiaTheme="minorEastAsia"/>
          <w:bCs/>
          <w:color w:val="000000"/>
          <w:kern w:val="0"/>
          <w:sz w:val="24"/>
        </w:rPr>
        <w:t>（</w:t>
      </w:r>
      <w:r>
        <w:rPr>
          <w:rFonts w:eastAsiaTheme="minorEastAsia"/>
          <w:bCs/>
          <w:color w:val="000000"/>
          <w:kern w:val="0"/>
          <w:sz w:val="24"/>
        </w:rPr>
        <w:t>6</w:t>
      </w:r>
      <w:r>
        <w:rPr>
          <w:rFonts w:hint="eastAsia" w:eastAsiaTheme="minorEastAsia"/>
          <w:bCs/>
          <w:color w:val="000000"/>
          <w:kern w:val="0"/>
          <w:sz w:val="24"/>
        </w:rPr>
        <w:t>）投资组合报告附注的其他文字描述部分</w:t>
      </w:r>
    </w:p>
    <w:p>
      <w:pPr>
        <w:autoSpaceDE w:val="0"/>
        <w:autoSpaceDN w:val="0"/>
        <w:adjustRightInd w:val="0"/>
        <w:spacing w:line="360" w:lineRule="auto"/>
        <w:ind w:left="482"/>
        <w:contextualSpacing/>
        <w:jc w:val="left"/>
        <w:rPr>
          <w:rFonts w:ascii="宋体" w:hAnsi="宋体"/>
          <w:b/>
          <w:kern w:val="0"/>
          <w:sz w:val="30"/>
        </w:rPr>
      </w:pPr>
      <w:r>
        <w:rPr>
          <w:rFonts w:hint="eastAsia" w:eastAsiaTheme="minorEastAsia"/>
          <w:color w:val="000000"/>
          <w:kern w:val="0"/>
          <w:sz w:val="24"/>
        </w:rPr>
        <w:t>由于</w:t>
      </w:r>
      <w:r>
        <w:rPr>
          <w:rFonts w:hint="eastAsia" w:eastAsiaTheme="minorEastAsia"/>
          <w:bCs/>
          <w:color w:val="000000"/>
          <w:kern w:val="0"/>
          <w:sz w:val="24"/>
        </w:rPr>
        <w:t>四舍五入</w:t>
      </w:r>
      <w:r>
        <w:rPr>
          <w:rFonts w:hint="eastAsia" w:eastAsiaTheme="minorEastAsia"/>
          <w:color w:val="000000"/>
          <w:kern w:val="0"/>
          <w:sz w:val="24"/>
        </w:rPr>
        <w:t>的原因，分项之和与合计项之间可能存在尾差。</w:t>
      </w: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2" w:name="_Toc440274923"/>
      <w:bookmarkStart w:id="73" w:name="_Toc445730460"/>
      <w:bookmarkStart w:id="74" w:name="_Toc439244893"/>
      <w:bookmarkStart w:id="75" w:name="_Toc524440787"/>
      <w:r>
        <w:rPr>
          <w:rFonts w:ascii="宋体" w:hAnsi="宋体"/>
          <w:b/>
          <w:kern w:val="0"/>
          <w:sz w:val="30"/>
        </w:rPr>
        <w:t>十</w:t>
      </w:r>
      <w:r>
        <w:rPr>
          <w:rFonts w:hint="eastAsia" w:ascii="宋体" w:hAnsi="宋体"/>
          <w:b/>
          <w:kern w:val="0"/>
          <w:sz w:val="30"/>
        </w:rPr>
        <w:t>一</w:t>
      </w:r>
      <w:r>
        <w:rPr>
          <w:rFonts w:ascii="宋体" w:hAnsi="宋体"/>
          <w:b/>
          <w:kern w:val="0"/>
          <w:sz w:val="30"/>
        </w:rPr>
        <w:t>、基金的业绩</w:t>
      </w:r>
      <w:bookmarkEnd w:id="72"/>
      <w:bookmarkEnd w:id="73"/>
      <w:bookmarkEnd w:id="74"/>
      <w:bookmarkEnd w:id="75"/>
    </w:p>
    <w:p>
      <w:pPr>
        <w:adjustRightInd w:val="0"/>
        <w:snapToGrid w:val="0"/>
        <w:spacing w:line="360" w:lineRule="auto"/>
        <w:ind w:firstLine="480" w:firstLineChars="200"/>
        <w:jc w:val="left"/>
        <w:rPr>
          <w:sz w:val="24"/>
        </w:rPr>
      </w:pPr>
      <w:r>
        <w:rPr>
          <w:sz w:val="24"/>
        </w:rPr>
        <w:t>基金业绩截止日为</w:t>
      </w:r>
      <w:r>
        <w:rPr>
          <w:rFonts w:hint="eastAsia"/>
          <w:sz w:val="24"/>
        </w:rPr>
        <w:t>2020年3月31日</w:t>
      </w:r>
      <w:r>
        <w:rPr>
          <w:sz w:val="24"/>
        </w:rPr>
        <w:t>，所载</w:t>
      </w:r>
      <w:r>
        <w:rPr>
          <w:rFonts w:hint="eastAsia"/>
          <w:sz w:val="24"/>
        </w:rPr>
        <w:t>业绩</w:t>
      </w:r>
      <w:r>
        <w:rPr>
          <w:sz w:val="24"/>
        </w:rPr>
        <w:t>数据未经审计师审计。</w:t>
      </w:r>
    </w:p>
    <w:p>
      <w:pPr>
        <w:adjustRightInd w:val="0"/>
        <w:snapToGrid w:val="0"/>
        <w:spacing w:line="360" w:lineRule="auto"/>
        <w:ind w:firstLine="480" w:firstLineChars="200"/>
        <w:jc w:val="left"/>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djustRightInd w:val="0"/>
        <w:snapToGrid w:val="0"/>
        <w:spacing w:line="360" w:lineRule="auto"/>
        <w:ind w:firstLine="480" w:firstLineChars="200"/>
        <w:jc w:val="left"/>
        <w:rPr>
          <w:sz w:val="24"/>
        </w:rPr>
      </w:pPr>
      <w:r>
        <w:rPr>
          <w:sz w:val="24"/>
        </w:rPr>
        <w:t>下述基金业绩指标不包括持有人认购或交易基金的各项费用，计入费用后实际收益水平要低于所列数字。</w:t>
      </w:r>
    </w:p>
    <w:p>
      <w:pPr>
        <w:adjustRightInd w:val="0"/>
        <w:snapToGrid w:val="0"/>
        <w:spacing w:line="360" w:lineRule="auto"/>
        <w:ind w:firstLine="480" w:firstLineChars="200"/>
        <w:jc w:val="left"/>
        <w:rPr>
          <w:sz w:val="24"/>
        </w:rPr>
      </w:pPr>
      <w:r>
        <w:rPr>
          <w:rFonts w:hint="eastAsia"/>
          <w:sz w:val="24"/>
        </w:rPr>
        <w:t>1、</w:t>
      </w:r>
      <w:r>
        <w:rPr>
          <w:sz w:val="24"/>
        </w:rPr>
        <w:t>基金份额净值增长率及其与同期业绩比较基准收益率的比较</w:t>
      </w:r>
    </w:p>
    <w:p>
      <w:pPr>
        <w:adjustRightInd w:val="0"/>
        <w:snapToGrid w:val="0"/>
        <w:spacing w:line="360" w:lineRule="auto"/>
        <w:ind w:firstLine="480" w:firstLineChars="200"/>
        <w:jc w:val="left"/>
        <w:rPr>
          <w:sz w:val="24"/>
        </w:rPr>
      </w:pPr>
      <w:r>
        <w:rPr>
          <w:rFonts w:hint="eastAsia"/>
          <w:sz w:val="24"/>
        </w:rPr>
        <w:t>（</w:t>
      </w:r>
      <w:r>
        <w:rPr>
          <w:sz w:val="24"/>
        </w:rPr>
        <w:t>1</w:t>
      </w:r>
      <w:r>
        <w:rPr>
          <w:rFonts w:hint="eastAsia"/>
          <w:sz w:val="24"/>
        </w:rPr>
        <w:t>）交银施罗德中证环境治理指数型证券投资基金</w:t>
      </w:r>
      <w:r>
        <w:rPr>
          <w:sz w:val="24"/>
        </w:rPr>
        <w:t>(LOF)</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34"/>
        <w:gridCol w:w="1276"/>
        <w:gridCol w:w="1275"/>
        <w:gridCol w:w="1399"/>
        <w:gridCol w:w="115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阶段</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净值增长率</w:t>
            </w:r>
            <w:r>
              <w:rPr>
                <w:rFonts w:hint="eastAsia" w:ascii="宋体" w:hAnsi="宋体" w:cs="宋体"/>
                <w:kern w:val="0"/>
                <w:sz w:val="24"/>
              </w:rPr>
              <w:t>①</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净值增长率标准差</w:t>
            </w:r>
            <w:r>
              <w:rPr>
                <w:rFonts w:hint="eastAsia" w:ascii="宋体" w:hAnsi="宋体" w:cs="宋体"/>
                <w:kern w:val="0"/>
                <w:sz w:val="24"/>
              </w:rPr>
              <w:t>②</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业绩比较基准收益率</w:t>
            </w:r>
            <w:r>
              <w:rPr>
                <w:rFonts w:hint="eastAsia" w:ascii="宋体" w:hAnsi="宋体" w:cs="宋体"/>
                <w:kern w:val="0"/>
                <w:sz w:val="24"/>
              </w:rPr>
              <w:t>③</w:t>
            </w:r>
          </w:p>
        </w:tc>
        <w:tc>
          <w:tcPr>
            <w:tcW w:w="1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业绩比较基准收益率标准差</w:t>
            </w:r>
            <w:r>
              <w:rPr>
                <w:rFonts w:hint="eastAsia" w:ascii="宋体" w:hAnsi="宋体" w:cs="宋体"/>
                <w:kern w:val="0"/>
                <w:sz w:val="24"/>
              </w:rPr>
              <w:t>④</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jc w:val="center"/>
              <w:rPr>
                <w:kern w:val="0"/>
                <w:sz w:val="24"/>
              </w:rPr>
            </w:pPr>
            <w:r>
              <w:rPr>
                <w:rFonts w:hint="eastAsia" w:ascii="宋体" w:hAnsi="宋体" w:cs="宋体"/>
                <w:kern w:val="0"/>
                <w:sz w:val="24"/>
              </w:rPr>
              <w:t>①</w:t>
            </w:r>
            <w:r>
              <w:rPr>
                <w:kern w:val="0"/>
                <w:sz w:val="24"/>
              </w:rPr>
              <w:t>-</w:t>
            </w:r>
            <w:r>
              <w:rPr>
                <w:rFonts w:hint="eastAsia" w:ascii="宋体" w:hAnsi="宋体" w:cs="宋体"/>
                <w:kern w:val="0"/>
                <w:sz w:val="24"/>
              </w:rPr>
              <w:t>③</w:t>
            </w:r>
          </w:p>
        </w:tc>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rFonts w:hint="eastAsia" w:ascii="宋体" w:hAnsi="宋体" w:cs="宋体"/>
                <w:kern w:val="0"/>
                <w:sz w:val="24"/>
              </w:rPr>
              <w:t>②</w:t>
            </w:r>
            <w:r>
              <w:rPr>
                <w:kern w:val="0"/>
                <w:sz w:val="24"/>
              </w:rPr>
              <w:t>-</w:t>
            </w:r>
            <w:r>
              <w:rPr>
                <w:rFonts w:hint="eastAsia" w:ascii="宋体" w:hAnsi="宋体" w:cs="宋体"/>
                <w:kern w:val="0"/>
                <w:sz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bottom w:val="single" w:color="auto" w:sz="4" w:space="0"/>
            </w:tcBorders>
            <w:vAlign w:val="center"/>
          </w:tcPr>
          <w:p>
            <w:pPr>
              <w:jc w:val="center"/>
            </w:pPr>
            <w:r>
              <w:rPr>
                <w:rFonts w:eastAsiaTheme="minorEastAsia"/>
                <w:color w:val="000000"/>
                <w:kern w:val="0"/>
                <w:sz w:val="24"/>
              </w:rPr>
              <w:t>过去三个月</w:t>
            </w:r>
          </w:p>
        </w:tc>
        <w:tc>
          <w:tcPr>
            <w:tcW w:w="1134" w:type="dxa"/>
            <w:tcBorders>
              <w:bottom w:val="single" w:color="auto" w:sz="4" w:space="0"/>
            </w:tcBorders>
            <w:vAlign w:val="center"/>
          </w:tcPr>
          <w:p>
            <w:pPr>
              <w:jc w:val="right"/>
              <w:rPr>
                <w:color w:val="000000"/>
                <w:sz w:val="24"/>
              </w:rPr>
            </w:pPr>
            <w:r>
              <w:rPr>
                <w:color w:val="000000"/>
                <w:sz w:val="24"/>
              </w:rPr>
              <w:t>-4.31%</w:t>
            </w:r>
          </w:p>
        </w:tc>
        <w:tc>
          <w:tcPr>
            <w:tcW w:w="1276" w:type="dxa"/>
            <w:tcBorders>
              <w:bottom w:val="single" w:color="auto" w:sz="4" w:space="0"/>
            </w:tcBorders>
            <w:vAlign w:val="center"/>
          </w:tcPr>
          <w:p>
            <w:pPr>
              <w:jc w:val="right"/>
              <w:rPr>
                <w:color w:val="000000"/>
                <w:sz w:val="24"/>
              </w:rPr>
            </w:pPr>
            <w:r>
              <w:rPr>
                <w:color w:val="000000"/>
                <w:sz w:val="24"/>
              </w:rPr>
              <w:t>2.28%</w:t>
            </w:r>
          </w:p>
        </w:tc>
        <w:tc>
          <w:tcPr>
            <w:tcW w:w="1275" w:type="dxa"/>
            <w:tcBorders>
              <w:bottom w:val="single" w:color="auto" w:sz="4" w:space="0"/>
            </w:tcBorders>
            <w:vAlign w:val="center"/>
          </w:tcPr>
          <w:p>
            <w:pPr>
              <w:jc w:val="right"/>
              <w:rPr>
                <w:color w:val="000000"/>
                <w:sz w:val="24"/>
              </w:rPr>
            </w:pPr>
            <w:r>
              <w:rPr>
                <w:color w:val="000000"/>
                <w:sz w:val="24"/>
              </w:rPr>
              <w:t>-3.96%</w:t>
            </w:r>
          </w:p>
        </w:tc>
        <w:tc>
          <w:tcPr>
            <w:tcW w:w="1399" w:type="dxa"/>
            <w:tcBorders>
              <w:bottom w:val="single" w:color="auto" w:sz="4" w:space="0"/>
            </w:tcBorders>
            <w:vAlign w:val="center"/>
          </w:tcPr>
          <w:p>
            <w:pPr>
              <w:jc w:val="right"/>
              <w:rPr>
                <w:color w:val="000000"/>
                <w:sz w:val="24"/>
              </w:rPr>
            </w:pPr>
            <w:r>
              <w:rPr>
                <w:color w:val="000000"/>
                <w:sz w:val="24"/>
              </w:rPr>
              <w:t>2.32%</w:t>
            </w:r>
          </w:p>
        </w:tc>
        <w:tc>
          <w:tcPr>
            <w:tcW w:w="1153" w:type="dxa"/>
            <w:tcBorders>
              <w:bottom w:val="single" w:color="auto" w:sz="4" w:space="0"/>
            </w:tcBorders>
            <w:vAlign w:val="center"/>
          </w:tcPr>
          <w:p>
            <w:pPr>
              <w:jc w:val="right"/>
              <w:rPr>
                <w:color w:val="000000"/>
                <w:sz w:val="24"/>
              </w:rPr>
            </w:pPr>
            <w:r>
              <w:rPr>
                <w:color w:val="000000"/>
                <w:sz w:val="24"/>
              </w:rPr>
              <w:t>-0.35%</w:t>
            </w:r>
          </w:p>
        </w:tc>
        <w:tc>
          <w:tcPr>
            <w:tcW w:w="960" w:type="dxa"/>
            <w:tcBorders>
              <w:bottom w:val="single" w:color="auto" w:sz="4" w:space="0"/>
            </w:tcBorders>
            <w:vAlign w:val="center"/>
          </w:tcPr>
          <w:p>
            <w:pPr>
              <w:jc w:val="right"/>
              <w:rPr>
                <w:color w:val="000000"/>
                <w:sz w:val="24"/>
              </w:rPr>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bottom w:val="single" w:color="auto" w:sz="4" w:space="0"/>
            </w:tcBorders>
            <w:vAlign w:val="center"/>
          </w:tcPr>
          <w:p>
            <w:pPr>
              <w:jc w:val="center"/>
              <w:rPr>
                <w:rFonts w:eastAsiaTheme="minorEastAsia"/>
                <w:color w:val="000000"/>
                <w:kern w:val="0"/>
                <w:sz w:val="24"/>
              </w:rPr>
            </w:pPr>
            <w:r>
              <w:rPr>
                <w:rFonts w:hint="eastAsia" w:eastAsiaTheme="minorEastAsia"/>
                <w:color w:val="000000"/>
                <w:kern w:val="0"/>
                <w:sz w:val="24"/>
              </w:rPr>
              <w:t>2019年度</w:t>
            </w:r>
          </w:p>
        </w:tc>
        <w:tc>
          <w:tcPr>
            <w:tcW w:w="1134" w:type="dxa"/>
            <w:tcBorders>
              <w:bottom w:val="single" w:color="auto" w:sz="4" w:space="0"/>
            </w:tcBorders>
            <w:vAlign w:val="center"/>
          </w:tcPr>
          <w:p>
            <w:pPr>
              <w:jc w:val="right"/>
              <w:rPr>
                <w:color w:val="000000"/>
                <w:sz w:val="24"/>
              </w:rPr>
            </w:pPr>
            <w:r>
              <w:rPr>
                <w:color w:val="000000"/>
                <w:sz w:val="24"/>
              </w:rPr>
              <w:t>3.03%</w:t>
            </w:r>
          </w:p>
        </w:tc>
        <w:tc>
          <w:tcPr>
            <w:tcW w:w="1276" w:type="dxa"/>
            <w:tcBorders>
              <w:bottom w:val="single" w:color="auto" w:sz="4" w:space="0"/>
            </w:tcBorders>
            <w:vAlign w:val="center"/>
          </w:tcPr>
          <w:p>
            <w:pPr>
              <w:jc w:val="right"/>
              <w:rPr>
                <w:color w:val="000000"/>
                <w:sz w:val="24"/>
              </w:rPr>
            </w:pPr>
            <w:r>
              <w:rPr>
                <w:color w:val="000000"/>
                <w:sz w:val="24"/>
              </w:rPr>
              <w:t>1.52%</w:t>
            </w:r>
          </w:p>
        </w:tc>
        <w:tc>
          <w:tcPr>
            <w:tcW w:w="1275" w:type="dxa"/>
            <w:tcBorders>
              <w:bottom w:val="single" w:color="auto" w:sz="4" w:space="0"/>
            </w:tcBorders>
            <w:vAlign w:val="center"/>
          </w:tcPr>
          <w:p>
            <w:pPr>
              <w:jc w:val="right"/>
              <w:rPr>
                <w:color w:val="000000"/>
                <w:sz w:val="24"/>
              </w:rPr>
            </w:pPr>
            <w:r>
              <w:rPr>
                <w:color w:val="000000"/>
                <w:sz w:val="24"/>
              </w:rPr>
              <w:t>4.17%</w:t>
            </w:r>
          </w:p>
        </w:tc>
        <w:tc>
          <w:tcPr>
            <w:tcW w:w="1399" w:type="dxa"/>
            <w:tcBorders>
              <w:bottom w:val="single" w:color="auto" w:sz="4" w:space="0"/>
            </w:tcBorders>
            <w:vAlign w:val="center"/>
          </w:tcPr>
          <w:p>
            <w:pPr>
              <w:jc w:val="right"/>
              <w:rPr>
                <w:color w:val="000000"/>
                <w:sz w:val="24"/>
              </w:rPr>
            </w:pPr>
            <w:r>
              <w:rPr>
                <w:color w:val="000000"/>
                <w:sz w:val="24"/>
              </w:rPr>
              <w:t>1.56%</w:t>
            </w:r>
          </w:p>
        </w:tc>
        <w:tc>
          <w:tcPr>
            <w:tcW w:w="1153" w:type="dxa"/>
            <w:tcBorders>
              <w:bottom w:val="single" w:color="auto" w:sz="4" w:space="0"/>
            </w:tcBorders>
            <w:vAlign w:val="center"/>
          </w:tcPr>
          <w:p>
            <w:pPr>
              <w:jc w:val="right"/>
              <w:rPr>
                <w:color w:val="000000"/>
                <w:sz w:val="24"/>
              </w:rPr>
            </w:pPr>
            <w:r>
              <w:rPr>
                <w:color w:val="000000"/>
                <w:sz w:val="24"/>
              </w:rPr>
              <w:t>-1.14%</w:t>
            </w:r>
          </w:p>
        </w:tc>
        <w:tc>
          <w:tcPr>
            <w:tcW w:w="960" w:type="dxa"/>
            <w:tcBorders>
              <w:bottom w:val="single" w:color="auto" w:sz="4" w:space="0"/>
            </w:tcBorders>
            <w:vAlign w:val="center"/>
          </w:tcPr>
          <w:p>
            <w:pPr>
              <w:jc w:val="right"/>
              <w:rPr>
                <w:color w:val="000000"/>
                <w:sz w:val="24"/>
              </w:rPr>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bottom w:val="single" w:color="auto" w:sz="4" w:space="0"/>
            </w:tcBorders>
            <w:vAlign w:val="center"/>
          </w:tcPr>
          <w:p>
            <w:pPr>
              <w:jc w:val="center"/>
              <w:rPr>
                <w:rFonts w:eastAsiaTheme="minorEastAsia"/>
                <w:color w:val="000000"/>
                <w:kern w:val="0"/>
                <w:sz w:val="24"/>
              </w:rPr>
            </w:pPr>
            <w:r>
              <w:rPr>
                <w:rFonts w:hint="eastAsia" w:eastAsiaTheme="minorEastAsia"/>
                <w:color w:val="000000"/>
                <w:kern w:val="0"/>
                <w:sz w:val="24"/>
              </w:rPr>
              <w:t>2018年度</w:t>
            </w:r>
          </w:p>
        </w:tc>
        <w:tc>
          <w:tcPr>
            <w:tcW w:w="1134" w:type="dxa"/>
            <w:tcBorders>
              <w:bottom w:val="single" w:color="auto" w:sz="4" w:space="0"/>
            </w:tcBorders>
            <w:vAlign w:val="center"/>
          </w:tcPr>
          <w:p>
            <w:pPr>
              <w:jc w:val="right"/>
              <w:rPr>
                <w:color w:val="000000"/>
                <w:sz w:val="24"/>
              </w:rPr>
            </w:pPr>
            <w:r>
              <w:rPr>
                <w:color w:val="000000"/>
                <w:sz w:val="24"/>
              </w:rPr>
              <w:t>-45.48%</w:t>
            </w:r>
          </w:p>
        </w:tc>
        <w:tc>
          <w:tcPr>
            <w:tcW w:w="1276" w:type="dxa"/>
            <w:tcBorders>
              <w:bottom w:val="single" w:color="auto" w:sz="4" w:space="0"/>
            </w:tcBorders>
            <w:vAlign w:val="center"/>
          </w:tcPr>
          <w:p>
            <w:pPr>
              <w:jc w:val="right"/>
              <w:rPr>
                <w:color w:val="000000"/>
                <w:sz w:val="24"/>
              </w:rPr>
            </w:pPr>
            <w:r>
              <w:rPr>
                <w:color w:val="000000"/>
                <w:sz w:val="24"/>
              </w:rPr>
              <w:t>1.55%</w:t>
            </w:r>
          </w:p>
        </w:tc>
        <w:tc>
          <w:tcPr>
            <w:tcW w:w="1275" w:type="dxa"/>
            <w:tcBorders>
              <w:bottom w:val="single" w:color="auto" w:sz="4" w:space="0"/>
            </w:tcBorders>
            <w:vAlign w:val="center"/>
          </w:tcPr>
          <w:p>
            <w:pPr>
              <w:jc w:val="right"/>
              <w:rPr>
                <w:color w:val="000000"/>
                <w:sz w:val="24"/>
              </w:rPr>
            </w:pPr>
            <w:r>
              <w:rPr>
                <w:color w:val="000000"/>
                <w:sz w:val="24"/>
              </w:rPr>
              <w:t>-44.44%</w:t>
            </w:r>
          </w:p>
        </w:tc>
        <w:tc>
          <w:tcPr>
            <w:tcW w:w="1399" w:type="dxa"/>
            <w:tcBorders>
              <w:bottom w:val="single" w:color="auto" w:sz="4" w:space="0"/>
            </w:tcBorders>
            <w:vAlign w:val="center"/>
          </w:tcPr>
          <w:p>
            <w:pPr>
              <w:jc w:val="right"/>
              <w:rPr>
                <w:color w:val="000000"/>
                <w:sz w:val="24"/>
              </w:rPr>
            </w:pPr>
            <w:r>
              <w:rPr>
                <w:color w:val="000000"/>
                <w:sz w:val="24"/>
              </w:rPr>
              <w:t>1.55%</w:t>
            </w:r>
          </w:p>
        </w:tc>
        <w:tc>
          <w:tcPr>
            <w:tcW w:w="1153" w:type="dxa"/>
            <w:tcBorders>
              <w:bottom w:val="single" w:color="auto" w:sz="4" w:space="0"/>
            </w:tcBorders>
            <w:vAlign w:val="center"/>
          </w:tcPr>
          <w:p>
            <w:pPr>
              <w:jc w:val="right"/>
              <w:rPr>
                <w:color w:val="000000"/>
                <w:sz w:val="24"/>
              </w:rPr>
            </w:pPr>
            <w:r>
              <w:rPr>
                <w:color w:val="000000"/>
                <w:sz w:val="24"/>
              </w:rPr>
              <w:t>-1.04%</w:t>
            </w:r>
          </w:p>
        </w:tc>
        <w:tc>
          <w:tcPr>
            <w:tcW w:w="960" w:type="dxa"/>
            <w:tcBorders>
              <w:bottom w:val="single" w:color="auto" w:sz="4" w:space="0"/>
            </w:tcBorders>
            <w:vAlign w:val="center"/>
          </w:tcPr>
          <w:p>
            <w:pPr>
              <w:jc w:val="right"/>
              <w:rPr>
                <w:color w:val="000000"/>
                <w:sz w:val="24"/>
              </w:rPr>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bottom w:val="single" w:color="auto" w:sz="4" w:space="0"/>
            </w:tcBorders>
            <w:vAlign w:val="center"/>
          </w:tcPr>
          <w:p>
            <w:pPr>
              <w:jc w:val="center"/>
              <w:rPr>
                <w:rFonts w:eastAsiaTheme="minorEastAsia"/>
                <w:color w:val="000000"/>
                <w:kern w:val="0"/>
                <w:sz w:val="24"/>
              </w:rPr>
            </w:pPr>
            <w:r>
              <w:rPr>
                <w:rFonts w:hint="eastAsia" w:eastAsiaTheme="minorEastAsia"/>
                <w:color w:val="000000"/>
                <w:kern w:val="0"/>
                <w:sz w:val="24"/>
              </w:rPr>
              <w:t>2017年度</w:t>
            </w:r>
          </w:p>
        </w:tc>
        <w:tc>
          <w:tcPr>
            <w:tcW w:w="1134" w:type="dxa"/>
            <w:tcBorders>
              <w:bottom w:val="single" w:color="auto" w:sz="4" w:space="0"/>
            </w:tcBorders>
          </w:tcPr>
          <w:p>
            <w:pPr>
              <w:jc w:val="right"/>
              <w:rPr>
                <w:color w:val="000000"/>
                <w:sz w:val="24"/>
              </w:rPr>
            </w:pPr>
            <w:r>
              <w:rPr>
                <w:color w:val="000000"/>
                <w:sz w:val="24"/>
              </w:rPr>
              <w:t>-7.16%</w:t>
            </w:r>
          </w:p>
        </w:tc>
        <w:tc>
          <w:tcPr>
            <w:tcW w:w="1276" w:type="dxa"/>
            <w:tcBorders>
              <w:bottom w:val="single" w:color="auto" w:sz="4" w:space="0"/>
            </w:tcBorders>
          </w:tcPr>
          <w:p>
            <w:pPr>
              <w:jc w:val="right"/>
              <w:rPr>
                <w:color w:val="000000"/>
                <w:sz w:val="24"/>
              </w:rPr>
            </w:pPr>
            <w:r>
              <w:rPr>
                <w:color w:val="000000"/>
                <w:sz w:val="24"/>
              </w:rPr>
              <w:t>1.17%</w:t>
            </w:r>
          </w:p>
        </w:tc>
        <w:tc>
          <w:tcPr>
            <w:tcW w:w="1275" w:type="dxa"/>
            <w:tcBorders>
              <w:bottom w:val="single" w:color="auto" w:sz="4" w:space="0"/>
            </w:tcBorders>
          </w:tcPr>
          <w:p>
            <w:pPr>
              <w:jc w:val="right"/>
              <w:rPr>
                <w:color w:val="000000"/>
                <w:sz w:val="24"/>
              </w:rPr>
            </w:pPr>
            <w:r>
              <w:rPr>
                <w:color w:val="000000"/>
                <w:sz w:val="24"/>
              </w:rPr>
              <w:t>-6.36%</w:t>
            </w:r>
          </w:p>
        </w:tc>
        <w:tc>
          <w:tcPr>
            <w:tcW w:w="1399" w:type="dxa"/>
            <w:tcBorders>
              <w:bottom w:val="single" w:color="auto" w:sz="4" w:space="0"/>
            </w:tcBorders>
          </w:tcPr>
          <w:p>
            <w:pPr>
              <w:jc w:val="right"/>
              <w:rPr>
                <w:color w:val="000000"/>
                <w:sz w:val="24"/>
              </w:rPr>
            </w:pPr>
            <w:r>
              <w:rPr>
                <w:color w:val="000000"/>
                <w:sz w:val="24"/>
              </w:rPr>
              <w:t>1.18%</w:t>
            </w:r>
          </w:p>
        </w:tc>
        <w:tc>
          <w:tcPr>
            <w:tcW w:w="1153" w:type="dxa"/>
            <w:tcBorders>
              <w:bottom w:val="single" w:color="auto" w:sz="4" w:space="0"/>
            </w:tcBorders>
          </w:tcPr>
          <w:p>
            <w:pPr>
              <w:jc w:val="right"/>
              <w:rPr>
                <w:color w:val="000000"/>
                <w:sz w:val="24"/>
              </w:rPr>
            </w:pPr>
            <w:r>
              <w:rPr>
                <w:color w:val="000000"/>
                <w:sz w:val="24"/>
              </w:rPr>
              <w:t>-0.80%</w:t>
            </w:r>
          </w:p>
        </w:tc>
        <w:tc>
          <w:tcPr>
            <w:tcW w:w="960" w:type="dxa"/>
            <w:tcBorders>
              <w:bottom w:val="single" w:color="auto" w:sz="4" w:space="0"/>
            </w:tcBorders>
          </w:tcPr>
          <w:p>
            <w:pPr>
              <w:jc w:val="right"/>
              <w:rPr>
                <w:color w:val="000000"/>
                <w:sz w:val="24"/>
              </w:rPr>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center"/>
            </w:pPr>
            <w:r>
              <w:rPr>
                <w:rFonts w:hint="eastAsia"/>
                <w:kern w:val="0"/>
                <w:sz w:val="24"/>
              </w:rPr>
              <w:t>2016年度</w:t>
            </w:r>
            <w:r>
              <w:rPr>
                <w:kern w:val="0"/>
                <w:sz w:val="24"/>
              </w:rPr>
              <w:t>（</w:t>
            </w:r>
            <w:r>
              <w:rPr>
                <w:rFonts w:hint="eastAsia"/>
                <w:kern w:val="0"/>
                <w:sz w:val="24"/>
              </w:rPr>
              <w:t>自基金转型日</w:t>
            </w:r>
            <w:r>
              <w:rPr>
                <w:kern w:val="0"/>
                <w:sz w:val="24"/>
              </w:rPr>
              <w:t>至</w:t>
            </w:r>
            <w:r>
              <w:rPr>
                <w:rFonts w:hint="eastAsia"/>
                <w:kern w:val="0"/>
                <w:sz w:val="24"/>
              </w:rPr>
              <w:t>2016年12月31日</w:t>
            </w:r>
            <w:r>
              <w:rPr>
                <w:kern w:val="0"/>
                <w:sz w:val="24"/>
              </w:rPr>
              <w:t>）</w:t>
            </w:r>
          </w:p>
        </w:tc>
        <w:tc>
          <w:tcPr>
            <w:tcW w:w="1134" w:type="dxa"/>
            <w:vAlign w:val="center"/>
          </w:tcPr>
          <w:p>
            <w:pPr>
              <w:jc w:val="right"/>
              <w:rPr>
                <w:color w:val="000000"/>
                <w:sz w:val="24"/>
              </w:rPr>
            </w:pPr>
            <w:r>
              <w:rPr>
                <w:color w:val="000000"/>
                <w:sz w:val="24"/>
              </w:rPr>
              <w:t>3.06%</w:t>
            </w:r>
          </w:p>
        </w:tc>
        <w:tc>
          <w:tcPr>
            <w:tcW w:w="1276" w:type="dxa"/>
            <w:vAlign w:val="center"/>
          </w:tcPr>
          <w:p>
            <w:pPr>
              <w:jc w:val="right"/>
              <w:rPr>
                <w:color w:val="000000"/>
                <w:sz w:val="24"/>
              </w:rPr>
            </w:pPr>
            <w:r>
              <w:rPr>
                <w:color w:val="000000"/>
                <w:sz w:val="24"/>
              </w:rPr>
              <w:t>1.15%</w:t>
            </w:r>
          </w:p>
        </w:tc>
        <w:tc>
          <w:tcPr>
            <w:tcW w:w="1275" w:type="dxa"/>
            <w:vAlign w:val="center"/>
          </w:tcPr>
          <w:p>
            <w:pPr>
              <w:jc w:val="right"/>
              <w:rPr>
                <w:color w:val="000000"/>
                <w:sz w:val="24"/>
              </w:rPr>
            </w:pPr>
            <w:r>
              <w:rPr>
                <w:color w:val="000000"/>
                <w:sz w:val="24"/>
              </w:rPr>
              <w:t>3.73%</w:t>
            </w:r>
          </w:p>
        </w:tc>
        <w:tc>
          <w:tcPr>
            <w:tcW w:w="1399" w:type="dxa"/>
            <w:vAlign w:val="center"/>
          </w:tcPr>
          <w:p>
            <w:pPr>
              <w:jc w:val="right"/>
              <w:rPr>
                <w:color w:val="000000"/>
                <w:sz w:val="24"/>
              </w:rPr>
            </w:pPr>
            <w:r>
              <w:rPr>
                <w:color w:val="000000"/>
                <w:sz w:val="24"/>
              </w:rPr>
              <w:t>1.15%</w:t>
            </w:r>
          </w:p>
        </w:tc>
        <w:tc>
          <w:tcPr>
            <w:tcW w:w="1153" w:type="dxa"/>
            <w:vAlign w:val="center"/>
          </w:tcPr>
          <w:p>
            <w:pPr>
              <w:jc w:val="right"/>
              <w:rPr>
                <w:color w:val="000000"/>
                <w:sz w:val="24"/>
              </w:rPr>
            </w:pPr>
            <w:r>
              <w:rPr>
                <w:color w:val="000000"/>
                <w:sz w:val="24"/>
              </w:rPr>
              <w:t>-0.67%</w:t>
            </w:r>
          </w:p>
        </w:tc>
        <w:tc>
          <w:tcPr>
            <w:tcW w:w="960" w:type="dxa"/>
            <w:vAlign w:val="center"/>
          </w:tcPr>
          <w:p>
            <w:pPr>
              <w:jc w:val="right"/>
              <w:rPr>
                <w:color w:val="000000"/>
                <w:sz w:val="24"/>
              </w:rPr>
            </w:pPr>
            <w:r>
              <w:rPr>
                <w:color w:val="000000"/>
                <w:sz w:val="24"/>
              </w:rPr>
              <w:t>0.00%</w:t>
            </w:r>
          </w:p>
        </w:tc>
      </w:tr>
    </w:tbl>
    <w:p>
      <w:pPr>
        <w:pStyle w:val="51"/>
        <w:autoSpaceDE w:val="0"/>
        <w:autoSpaceDN w:val="0"/>
        <w:adjustRightInd w:val="0"/>
        <w:spacing w:before="29" w:line="288" w:lineRule="auto"/>
        <w:ind w:firstLine="0" w:firstLineChars="0"/>
        <w:jc w:val="left"/>
        <w:rPr>
          <w:rFonts w:ascii="宋体" w:hAnsi="宋体"/>
          <w:color w:val="000000"/>
          <w:sz w:val="24"/>
        </w:rPr>
      </w:pPr>
      <w:r>
        <w:rPr>
          <w:rFonts w:hint="eastAsia"/>
          <w:bCs/>
          <w:sz w:val="24"/>
        </w:rPr>
        <w:t>注</w:t>
      </w:r>
      <w:r>
        <w:rPr>
          <w:bCs/>
          <w:sz w:val="24"/>
        </w:rPr>
        <w:t>：</w:t>
      </w:r>
      <w:r>
        <w:rPr>
          <w:rFonts w:hint="eastAsia" w:ascii="宋体" w:hAnsi="宋体"/>
          <w:color w:val="000000"/>
          <w:sz w:val="24"/>
        </w:rPr>
        <w:t>交银施罗德中证环境治理指数分级证券投资基金从2016年7月19日起正式转型为交银施罗德中证环境治理指数型证券投资基金(LOF)，本表列示的是本基金转型后的基金净值表现，转型后基金的业绩比较基准为</w:t>
      </w:r>
      <w:r>
        <w:rPr>
          <w:color w:val="000000"/>
          <w:kern w:val="0"/>
          <w:sz w:val="24"/>
        </w:rPr>
        <w:t>中证环境治理指数收益率×95%＋银行活期存款利率（税后）×5%</w:t>
      </w:r>
      <w:r>
        <w:rPr>
          <w:rFonts w:hint="eastAsia" w:ascii="宋体" w:hAnsi="宋体"/>
          <w:color w:val="000000"/>
          <w:sz w:val="24"/>
        </w:rPr>
        <w:t>。</w:t>
      </w:r>
    </w:p>
    <w:p>
      <w:pPr>
        <w:adjustRightInd w:val="0"/>
        <w:snapToGrid w:val="0"/>
        <w:spacing w:line="360" w:lineRule="auto"/>
        <w:ind w:firstLine="480" w:firstLineChars="200"/>
        <w:jc w:val="left"/>
        <w:rPr>
          <w:sz w:val="24"/>
        </w:rPr>
      </w:pPr>
      <w:r>
        <w:rPr>
          <w:rFonts w:hint="eastAsia"/>
          <w:sz w:val="24"/>
        </w:rPr>
        <w:t>（</w:t>
      </w:r>
      <w:r>
        <w:rPr>
          <w:sz w:val="24"/>
        </w:rPr>
        <w:t>2</w:t>
      </w:r>
      <w:r>
        <w:rPr>
          <w:rFonts w:hint="eastAsia"/>
          <w:sz w:val="24"/>
        </w:rPr>
        <w:t>）交银施罗德中证环境治理指数分级证券投资基金</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34"/>
        <w:gridCol w:w="1276"/>
        <w:gridCol w:w="1275"/>
        <w:gridCol w:w="1399"/>
        <w:gridCol w:w="115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阶段</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净值增长率</w:t>
            </w:r>
            <w:r>
              <w:rPr>
                <w:rFonts w:hint="eastAsia" w:ascii="宋体" w:hAnsi="宋体" w:cs="宋体"/>
                <w:kern w:val="0"/>
                <w:sz w:val="24"/>
              </w:rPr>
              <w:t>①</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净值增长率标准差</w:t>
            </w:r>
            <w:r>
              <w:rPr>
                <w:rFonts w:hint="eastAsia" w:ascii="宋体" w:hAnsi="宋体" w:cs="宋体"/>
                <w:kern w:val="0"/>
                <w:sz w:val="24"/>
              </w:rPr>
              <w:t>②</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业绩比较基准收益率</w:t>
            </w:r>
            <w:r>
              <w:rPr>
                <w:rFonts w:hint="eastAsia" w:ascii="宋体" w:hAnsi="宋体" w:cs="宋体"/>
                <w:kern w:val="0"/>
                <w:sz w:val="24"/>
              </w:rPr>
              <w:t>③</w:t>
            </w:r>
          </w:p>
        </w:tc>
        <w:tc>
          <w:tcPr>
            <w:tcW w:w="1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kern w:val="0"/>
                <w:sz w:val="24"/>
              </w:rPr>
              <w:t>业绩比较基准收益率标准差</w:t>
            </w:r>
            <w:r>
              <w:rPr>
                <w:rFonts w:hint="eastAsia" w:ascii="宋体" w:hAnsi="宋体" w:cs="宋体"/>
                <w:kern w:val="0"/>
                <w:sz w:val="24"/>
              </w:rPr>
              <w:t>④</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rFonts w:hint="eastAsia" w:ascii="宋体" w:hAnsi="宋体" w:cs="宋体"/>
                <w:kern w:val="0"/>
                <w:sz w:val="24"/>
              </w:rPr>
              <w:t>①</w:t>
            </w:r>
            <w:r>
              <w:rPr>
                <w:kern w:val="0"/>
                <w:sz w:val="24"/>
              </w:rPr>
              <w:t>-</w:t>
            </w:r>
            <w:r>
              <w:rPr>
                <w:rFonts w:hint="eastAsia" w:ascii="宋体" w:hAnsi="宋体" w:cs="宋体"/>
                <w:kern w:val="0"/>
                <w:sz w:val="24"/>
              </w:rPr>
              <w:t>③</w:t>
            </w:r>
          </w:p>
        </w:tc>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29" w:line="288" w:lineRule="auto"/>
              <w:ind w:left="15"/>
              <w:jc w:val="center"/>
              <w:rPr>
                <w:kern w:val="0"/>
                <w:sz w:val="24"/>
              </w:rPr>
            </w:pPr>
            <w:r>
              <w:rPr>
                <w:rFonts w:hint="eastAsia" w:ascii="宋体" w:hAnsi="宋体" w:cs="宋体"/>
                <w:kern w:val="0"/>
                <w:sz w:val="24"/>
              </w:rPr>
              <w:t>②</w:t>
            </w:r>
            <w:r>
              <w:rPr>
                <w:kern w:val="0"/>
                <w:sz w:val="24"/>
              </w:rPr>
              <w:t>-</w:t>
            </w:r>
            <w:r>
              <w:rPr>
                <w:rFonts w:hint="eastAsia" w:ascii="宋体" w:hAnsi="宋体" w:cs="宋体"/>
                <w:kern w:val="0"/>
                <w:sz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bottom w:val="single" w:color="auto" w:sz="4" w:space="0"/>
            </w:tcBorders>
            <w:vAlign w:val="center"/>
          </w:tcPr>
          <w:p>
            <w:pPr>
              <w:jc w:val="left"/>
            </w:pPr>
            <w:r>
              <w:rPr>
                <w:rFonts w:cs="Arial"/>
                <w:color w:val="000000"/>
                <w:kern w:val="0"/>
                <w:sz w:val="24"/>
              </w:rPr>
              <w:t>2016</w:t>
            </w:r>
            <w:r>
              <w:rPr>
                <w:rFonts w:hint="eastAsia" w:cs="Arial"/>
                <w:color w:val="000000"/>
                <w:kern w:val="0"/>
                <w:sz w:val="24"/>
              </w:rPr>
              <w:t>年</w:t>
            </w:r>
            <w:r>
              <w:rPr>
                <w:rFonts w:cs="Arial"/>
                <w:color w:val="000000"/>
                <w:kern w:val="0"/>
                <w:sz w:val="24"/>
              </w:rPr>
              <w:t>7</w:t>
            </w:r>
            <w:r>
              <w:rPr>
                <w:rFonts w:hint="eastAsia" w:cs="Arial"/>
                <w:color w:val="000000"/>
                <w:kern w:val="0"/>
                <w:sz w:val="24"/>
              </w:rPr>
              <w:t>月</w:t>
            </w:r>
            <w:r>
              <w:rPr>
                <w:rFonts w:cs="Arial"/>
                <w:color w:val="000000"/>
                <w:kern w:val="0"/>
                <w:sz w:val="24"/>
              </w:rPr>
              <w:t>1</w:t>
            </w:r>
            <w:r>
              <w:rPr>
                <w:rFonts w:hint="eastAsia" w:cs="Arial"/>
                <w:color w:val="000000"/>
                <w:kern w:val="0"/>
                <w:sz w:val="24"/>
              </w:rPr>
              <w:t>日至</w:t>
            </w:r>
            <w:r>
              <w:rPr>
                <w:rFonts w:cs="Arial"/>
                <w:color w:val="000000"/>
                <w:kern w:val="0"/>
                <w:sz w:val="24"/>
              </w:rPr>
              <w:t>2016</w:t>
            </w:r>
            <w:r>
              <w:rPr>
                <w:rFonts w:hint="eastAsia" w:cs="Arial"/>
                <w:color w:val="000000"/>
                <w:kern w:val="0"/>
                <w:sz w:val="24"/>
              </w:rPr>
              <w:t>年</w:t>
            </w:r>
            <w:r>
              <w:rPr>
                <w:rFonts w:cs="Arial"/>
                <w:color w:val="000000"/>
                <w:kern w:val="0"/>
                <w:sz w:val="24"/>
              </w:rPr>
              <w:t>7</w:t>
            </w:r>
            <w:r>
              <w:rPr>
                <w:rFonts w:hint="eastAsia" w:cs="Arial"/>
                <w:color w:val="000000"/>
                <w:kern w:val="0"/>
                <w:sz w:val="24"/>
              </w:rPr>
              <w:t>月</w:t>
            </w:r>
            <w:r>
              <w:rPr>
                <w:rFonts w:cs="Arial"/>
                <w:color w:val="000000"/>
                <w:kern w:val="0"/>
                <w:sz w:val="24"/>
              </w:rPr>
              <w:t>18</w:t>
            </w:r>
            <w:r>
              <w:rPr>
                <w:rFonts w:hint="eastAsia" w:cs="Arial"/>
                <w:color w:val="000000"/>
                <w:kern w:val="0"/>
                <w:sz w:val="24"/>
              </w:rPr>
              <w:t>日</w:t>
            </w:r>
          </w:p>
        </w:tc>
        <w:tc>
          <w:tcPr>
            <w:tcW w:w="1134" w:type="dxa"/>
            <w:tcBorders>
              <w:bottom w:val="single" w:color="auto" w:sz="4" w:space="0"/>
            </w:tcBorders>
            <w:vAlign w:val="center"/>
          </w:tcPr>
          <w:p>
            <w:pPr>
              <w:jc w:val="right"/>
            </w:pPr>
            <w:r>
              <w:rPr>
                <w:color w:val="000000"/>
                <w:kern w:val="0"/>
                <w:sz w:val="24"/>
              </w:rPr>
              <w:t>3.04%</w:t>
            </w:r>
          </w:p>
        </w:tc>
        <w:tc>
          <w:tcPr>
            <w:tcW w:w="1276" w:type="dxa"/>
            <w:tcBorders>
              <w:bottom w:val="single" w:color="auto" w:sz="4" w:space="0"/>
            </w:tcBorders>
            <w:vAlign w:val="center"/>
          </w:tcPr>
          <w:p>
            <w:pPr>
              <w:jc w:val="right"/>
            </w:pPr>
            <w:r>
              <w:rPr>
                <w:color w:val="000000"/>
                <w:kern w:val="0"/>
                <w:sz w:val="24"/>
              </w:rPr>
              <w:t>0.68%</w:t>
            </w:r>
          </w:p>
        </w:tc>
        <w:tc>
          <w:tcPr>
            <w:tcW w:w="1275" w:type="dxa"/>
            <w:tcBorders>
              <w:bottom w:val="single" w:color="auto" w:sz="4" w:space="0"/>
            </w:tcBorders>
            <w:vAlign w:val="center"/>
          </w:tcPr>
          <w:p>
            <w:pPr>
              <w:jc w:val="right"/>
            </w:pPr>
            <w:r>
              <w:rPr>
                <w:color w:val="000000"/>
                <w:kern w:val="0"/>
                <w:sz w:val="24"/>
              </w:rPr>
              <w:t>3.08%</w:t>
            </w:r>
          </w:p>
        </w:tc>
        <w:tc>
          <w:tcPr>
            <w:tcW w:w="1399" w:type="dxa"/>
            <w:tcBorders>
              <w:bottom w:val="single" w:color="auto" w:sz="4" w:space="0"/>
            </w:tcBorders>
            <w:vAlign w:val="center"/>
          </w:tcPr>
          <w:p>
            <w:pPr>
              <w:jc w:val="right"/>
            </w:pPr>
            <w:r>
              <w:rPr>
                <w:color w:val="000000"/>
                <w:kern w:val="0"/>
                <w:sz w:val="24"/>
              </w:rPr>
              <w:t>0.63%</w:t>
            </w:r>
          </w:p>
        </w:tc>
        <w:tc>
          <w:tcPr>
            <w:tcW w:w="1153" w:type="dxa"/>
            <w:tcBorders>
              <w:bottom w:val="single" w:color="auto" w:sz="4" w:space="0"/>
            </w:tcBorders>
            <w:vAlign w:val="center"/>
          </w:tcPr>
          <w:p>
            <w:pPr>
              <w:jc w:val="right"/>
            </w:pPr>
            <w:r>
              <w:rPr>
                <w:color w:val="000000"/>
                <w:kern w:val="0"/>
                <w:sz w:val="24"/>
              </w:rPr>
              <w:t>-0.04%</w:t>
            </w:r>
          </w:p>
        </w:tc>
        <w:tc>
          <w:tcPr>
            <w:tcW w:w="960" w:type="dxa"/>
            <w:tcBorders>
              <w:bottom w:val="single" w:color="auto" w:sz="4" w:space="0"/>
            </w:tcBorders>
            <w:vAlign w:val="center"/>
          </w:tcPr>
          <w:p>
            <w:pPr>
              <w:jc w:val="right"/>
            </w:pPr>
            <w:r>
              <w:rPr>
                <w:color w:val="000000"/>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left"/>
              <w:rPr>
                <w:kern w:val="0"/>
                <w:sz w:val="24"/>
              </w:rPr>
            </w:pPr>
            <w:r>
              <w:rPr>
                <w:rFonts w:hint="eastAsia"/>
                <w:kern w:val="0"/>
                <w:sz w:val="24"/>
              </w:rPr>
              <w:t>2016年度（自2016年1月1日至2016年7月18日）</w:t>
            </w:r>
          </w:p>
        </w:tc>
        <w:tc>
          <w:tcPr>
            <w:tcW w:w="1134" w:type="dxa"/>
            <w:vAlign w:val="center"/>
          </w:tcPr>
          <w:p>
            <w:pPr>
              <w:jc w:val="right"/>
              <w:rPr>
                <w:color w:val="000000"/>
                <w:kern w:val="0"/>
                <w:sz w:val="24"/>
              </w:rPr>
            </w:pPr>
            <w:r>
              <w:rPr>
                <w:color w:val="000000"/>
                <w:kern w:val="0"/>
                <w:sz w:val="24"/>
              </w:rPr>
              <w:t>-16.75%</w:t>
            </w:r>
          </w:p>
        </w:tc>
        <w:tc>
          <w:tcPr>
            <w:tcW w:w="1276" w:type="dxa"/>
            <w:vAlign w:val="center"/>
          </w:tcPr>
          <w:p>
            <w:pPr>
              <w:jc w:val="right"/>
              <w:rPr>
                <w:color w:val="000000"/>
                <w:kern w:val="0"/>
                <w:sz w:val="24"/>
              </w:rPr>
            </w:pPr>
            <w:r>
              <w:rPr>
                <w:color w:val="000000"/>
                <w:kern w:val="0"/>
                <w:sz w:val="24"/>
              </w:rPr>
              <w:t>2.50%</w:t>
            </w:r>
          </w:p>
        </w:tc>
        <w:tc>
          <w:tcPr>
            <w:tcW w:w="1275" w:type="dxa"/>
            <w:vAlign w:val="center"/>
          </w:tcPr>
          <w:p>
            <w:pPr>
              <w:jc w:val="right"/>
              <w:rPr>
                <w:color w:val="000000"/>
                <w:kern w:val="0"/>
                <w:sz w:val="24"/>
              </w:rPr>
            </w:pPr>
            <w:r>
              <w:rPr>
                <w:color w:val="000000"/>
                <w:kern w:val="0"/>
                <w:sz w:val="24"/>
              </w:rPr>
              <w:t>-15.74%</w:t>
            </w:r>
          </w:p>
        </w:tc>
        <w:tc>
          <w:tcPr>
            <w:tcW w:w="1399" w:type="dxa"/>
            <w:vAlign w:val="center"/>
          </w:tcPr>
          <w:p>
            <w:pPr>
              <w:jc w:val="right"/>
              <w:rPr>
                <w:color w:val="000000"/>
                <w:kern w:val="0"/>
                <w:sz w:val="24"/>
              </w:rPr>
            </w:pPr>
            <w:r>
              <w:rPr>
                <w:color w:val="000000"/>
                <w:kern w:val="0"/>
                <w:sz w:val="24"/>
              </w:rPr>
              <w:t>2.30%</w:t>
            </w:r>
          </w:p>
        </w:tc>
        <w:tc>
          <w:tcPr>
            <w:tcW w:w="1153" w:type="dxa"/>
            <w:vAlign w:val="center"/>
          </w:tcPr>
          <w:p>
            <w:pPr>
              <w:jc w:val="right"/>
              <w:rPr>
                <w:color w:val="000000"/>
                <w:kern w:val="0"/>
                <w:sz w:val="24"/>
              </w:rPr>
            </w:pPr>
            <w:r>
              <w:rPr>
                <w:color w:val="000000"/>
                <w:kern w:val="0"/>
                <w:sz w:val="24"/>
              </w:rPr>
              <w:t>-1.01%</w:t>
            </w:r>
          </w:p>
        </w:tc>
        <w:tc>
          <w:tcPr>
            <w:tcW w:w="960" w:type="dxa"/>
            <w:vAlign w:val="center"/>
          </w:tcPr>
          <w:p>
            <w:pPr>
              <w:jc w:val="right"/>
              <w:rPr>
                <w:color w:val="000000"/>
                <w:kern w:val="0"/>
                <w:sz w:val="24"/>
              </w:rPr>
            </w:pPr>
            <w:r>
              <w:rPr>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left"/>
            </w:pPr>
            <w:r>
              <w:rPr>
                <w:rFonts w:hint="eastAsia"/>
                <w:kern w:val="0"/>
                <w:sz w:val="24"/>
              </w:rPr>
              <w:t>2015年度（自基金合同生效日起</w:t>
            </w:r>
            <w:r>
              <w:rPr>
                <w:kern w:val="0"/>
                <w:sz w:val="24"/>
              </w:rPr>
              <w:t>至</w:t>
            </w:r>
            <w:r>
              <w:rPr>
                <w:rFonts w:hint="eastAsia"/>
                <w:kern w:val="0"/>
                <w:sz w:val="24"/>
              </w:rPr>
              <w:t>2015年12月31日</w:t>
            </w:r>
            <w:r>
              <w:rPr>
                <w:kern w:val="0"/>
                <w:sz w:val="24"/>
              </w:rPr>
              <w:t>）</w:t>
            </w:r>
          </w:p>
        </w:tc>
        <w:tc>
          <w:tcPr>
            <w:tcW w:w="1134" w:type="dxa"/>
            <w:vAlign w:val="center"/>
          </w:tcPr>
          <w:p>
            <w:pPr>
              <w:jc w:val="right"/>
              <w:rPr>
                <w:color w:val="000000"/>
                <w:kern w:val="0"/>
                <w:sz w:val="24"/>
              </w:rPr>
            </w:pPr>
            <w:r>
              <w:rPr>
                <w:color w:val="000000"/>
                <w:kern w:val="0"/>
                <w:sz w:val="24"/>
              </w:rPr>
              <w:t>14.00%</w:t>
            </w:r>
          </w:p>
        </w:tc>
        <w:tc>
          <w:tcPr>
            <w:tcW w:w="1276" w:type="dxa"/>
            <w:vAlign w:val="center"/>
          </w:tcPr>
          <w:p>
            <w:pPr>
              <w:jc w:val="right"/>
              <w:rPr>
                <w:color w:val="000000"/>
                <w:kern w:val="0"/>
                <w:sz w:val="24"/>
              </w:rPr>
            </w:pPr>
            <w:r>
              <w:rPr>
                <w:color w:val="000000"/>
                <w:kern w:val="0"/>
                <w:sz w:val="24"/>
              </w:rPr>
              <w:t>1.75%</w:t>
            </w:r>
          </w:p>
        </w:tc>
        <w:tc>
          <w:tcPr>
            <w:tcW w:w="1275" w:type="dxa"/>
            <w:vAlign w:val="center"/>
          </w:tcPr>
          <w:p>
            <w:pPr>
              <w:jc w:val="right"/>
              <w:rPr>
                <w:color w:val="000000"/>
                <w:kern w:val="0"/>
                <w:sz w:val="24"/>
              </w:rPr>
            </w:pPr>
            <w:r>
              <w:rPr>
                <w:color w:val="000000"/>
                <w:kern w:val="0"/>
                <w:sz w:val="24"/>
              </w:rPr>
              <w:t>-4.37%</w:t>
            </w:r>
          </w:p>
        </w:tc>
        <w:tc>
          <w:tcPr>
            <w:tcW w:w="1399" w:type="dxa"/>
            <w:vAlign w:val="center"/>
          </w:tcPr>
          <w:p>
            <w:pPr>
              <w:jc w:val="right"/>
              <w:rPr>
                <w:color w:val="000000"/>
                <w:kern w:val="0"/>
                <w:sz w:val="24"/>
              </w:rPr>
            </w:pPr>
            <w:r>
              <w:rPr>
                <w:color w:val="000000"/>
                <w:kern w:val="0"/>
                <w:sz w:val="24"/>
              </w:rPr>
              <w:t>2.91%</w:t>
            </w:r>
          </w:p>
        </w:tc>
        <w:tc>
          <w:tcPr>
            <w:tcW w:w="1153" w:type="dxa"/>
            <w:vAlign w:val="center"/>
          </w:tcPr>
          <w:p>
            <w:pPr>
              <w:jc w:val="right"/>
              <w:rPr>
                <w:color w:val="000000"/>
                <w:kern w:val="0"/>
                <w:sz w:val="24"/>
              </w:rPr>
            </w:pPr>
            <w:r>
              <w:rPr>
                <w:color w:val="000000"/>
                <w:kern w:val="0"/>
                <w:sz w:val="24"/>
              </w:rPr>
              <w:t>18.37%</w:t>
            </w:r>
          </w:p>
        </w:tc>
        <w:tc>
          <w:tcPr>
            <w:tcW w:w="960" w:type="dxa"/>
            <w:vAlign w:val="center"/>
          </w:tcPr>
          <w:p>
            <w:pPr>
              <w:jc w:val="right"/>
              <w:rPr>
                <w:color w:val="000000"/>
                <w:kern w:val="0"/>
                <w:sz w:val="24"/>
              </w:rPr>
            </w:pPr>
            <w:r>
              <w:rPr>
                <w:color w:val="000000"/>
                <w:kern w:val="0"/>
                <w:sz w:val="24"/>
              </w:rPr>
              <w:t>-1.16%</w:t>
            </w:r>
          </w:p>
        </w:tc>
      </w:tr>
    </w:tbl>
    <w:p>
      <w:pPr>
        <w:spacing w:line="360" w:lineRule="auto"/>
        <w:jc w:val="left"/>
        <w:rPr>
          <w:rFonts w:ascii="宋体" w:hAnsi="宋体"/>
          <w:color w:val="000000"/>
          <w:sz w:val="24"/>
        </w:rPr>
      </w:pPr>
      <w:r>
        <w:rPr>
          <w:rFonts w:hint="eastAsia" w:ascii="宋体" w:hAnsi="宋体"/>
          <w:color w:val="000000"/>
          <w:sz w:val="24"/>
        </w:rPr>
        <w:t>注：</w:t>
      </w:r>
      <w:r>
        <w:rPr>
          <w:rFonts w:ascii="宋体" w:hAnsi="宋体"/>
          <w:color w:val="000000"/>
          <w:sz w:val="24"/>
        </w:rPr>
        <w:t>交银施罗德中证环境治理指数分级证券投资基金</w:t>
      </w:r>
      <w:r>
        <w:rPr>
          <w:rFonts w:hint="eastAsia" w:ascii="宋体" w:hAnsi="宋体"/>
          <w:color w:val="000000"/>
          <w:sz w:val="24"/>
        </w:rPr>
        <w:t>从2016年7月19日起正式转型为</w:t>
      </w:r>
      <w:r>
        <w:rPr>
          <w:rFonts w:ascii="宋体" w:hAnsi="宋体"/>
          <w:color w:val="000000"/>
          <w:sz w:val="24"/>
        </w:rPr>
        <w:t>交银施罗德中证环境治理指数型证券投资基金(LOF)</w:t>
      </w:r>
      <w:r>
        <w:rPr>
          <w:rFonts w:hint="eastAsia" w:ascii="宋体" w:hAnsi="宋体"/>
          <w:color w:val="000000"/>
          <w:sz w:val="24"/>
        </w:rPr>
        <w:t>，本表列示的是本基金转型前的基金净值表现，转型前基金的业绩比较基准为</w:t>
      </w:r>
      <w:r>
        <w:rPr>
          <w:color w:val="000000"/>
          <w:kern w:val="0"/>
          <w:sz w:val="24"/>
        </w:rPr>
        <w:t>中证环境治理指数收益率×95%＋银行活期存款利率（税后）×5%</w:t>
      </w:r>
      <w:r>
        <w:rPr>
          <w:rFonts w:hint="eastAsia" w:ascii="宋体" w:hAnsi="宋体"/>
          <w:color w:val="000000"/>
          <w:sz w:val="24"/>
        </w:rPr>
        <w:t>。</w:t>
      </w:r>
    </w:p>
    <w:p>
      <w:pPr>
        <w:adjustRightInd w:val="0"/>
        <w:snapToGrid w:val="0"/>
        <w:spacing w:line="360" w:lineRule="auto"/>
        <w:ind w:firstLine="480" w:firstLineChars="200"/>
        <w:jc w:val="left"/>
        <w:rPr>
          <w:sz w:val="24"/>
        </w:rPr>
      </w:pPr>
      <w:r>
        <w:rPr>
          <w:rFonts w:hint="eastAsia"/>
          <w:sz w:val="24"/>
        </w:rPr>
        <w:t>2、基金份额累计净值增长率变动及其与同期业绩比较基准收益率变动的比较</w:t>
      </w:r>
    </w:p>
    <w:p>
      <w:pPr>
        <w:adjustRightInd w:val="0"/>
        <w:snapToGrid w:val="0"/>
        <w:spacing w:line="360" w:lineRule="auto"/>
        <w:ind w:firstLine="480" w:firstLineChars="200"/>
        <w:jc w:val="left"/>
        <w:rPr>
          <w:sz w:val="24"/>
        </w:rPr>
      </w:pPr>
      <w:r>
        <w:rPr>
          <w:rFonts w:hint="eastAsia"/>
          <w:sz w:val="24"/>
        </w:rPr>
        <w:t>（</w:t>
      </w:r>
      <w:r>
        <w:rPr>
          <w:sz w:val="24"/>
        </w:rPr>
        <w:t>1</w:t>
      </w:r>
      <w:r>
        <w:rPr>
          <w:rFonts w:hint="eastAsia"/>
          <w:sz w:val="24"/>
        </w:rPr>
        <w:t>）自基金转型以来基金份额累计净值增长率变动及其与同期业绩比较基准收益率变动的比较</w:t>
      </w:r>
    </w:p>
    <w:p>
      <w:pPr>
        <w:spacing w:before="29" w:line="288" w:lineRule="auto"/>
        <w:jc w:val="center"/>
        <w:rPr>
          <w:sz w:val="24"/>
        </w:rPr>
      </w:pPr>
      <w:r>
        <w:rPr>
          <w:sz w:val="24"/>
        </w:rPr>
        <w:t>交银施罗德中证环境治理指数型证券投资基金(LOF)</w:t>
      </w:r>
    </w:p>
    <w:p>
      <w:pPr>
        <w:pStyle w:val="16"/>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pPr>
        <w:spacing w:before="29" w:line="288" w:lineRule="auto"/>
        <w:jc w:val="center"/>
        <w:rPr>
          <w:sz w:val="24"/>
        </w:rPr>
      </w:pPr>
      <w:r>
        <w:rPr>
          <w:color w:val="000000"/>
          <w:kern w:val="0"/>
          <w:sz w:val="24"/>
        </w:rPr>
        <w:t>（2016年7月19日至2020年3月31日）</w:t>
      </w:r>
    </w:p>
    <w:p>
      <w:pPr>
        <w:tabs>
          <w:tab w:val="left" w:pos="1800"/>
        </w:tabs>
        <w:spacing w:line="360" w:lineRule="auto"/>
        <w:jc w:val="center"/>
        <w:rPr>
          <w:rFonts w:eastAsiaTheme="minorEastAsia"/>
          <w:color w:val="000000"/>
          <w:sz w:val="24"/>
        </w:rPr>
      </w:pPr>
      <w:r>
        <w:rPr>
          <w:color w:val="000000"/>
          <w:sz w:val="24"/>
        </w:rPr>
        <w:drawing>
          <wp:inline distT="0" distB="0" distL="0" distR="0">
            <wp:extent cx="5486400" cy="3212465"/>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走势图1.jpg"/>
                    <pic:cNvPicPr>
                      <a:picLocks noChangeAspect="1"/>
                    </pic:cNvPicPr>
                  </pic:nvPicPr>
                  <pic:blipFill>
                    <a:blip r:embed="rId8" cstate="print"/>
                    <a:stretch>
                      <a:fillRect/>
                    </a:stretch>
                  </pic:blipFill>
                  <pic:spPr>
                    <a:xfrm>
                      <a:off x="0" y="0"/>
                      <a:ext cx="5486400" cy="3213063"/>
                    </a:xfrm>
                    <a:prstGeom prst="rect">
                      <a:avLst/>
                    </a:prstGeom>
                  </pic:spPr>
                </pic:pic>
              </a:graphicData>
            </a:graphic>
          </wp:inline>
        </w:drawing>
      </w:r>
    </w:p>
    <w:p>
      <w:pPr>
        <w:autoSpaceDE w:val="0"/>
        <w:autoSpaceDN w:val="0"/>
        <w:adjustRightInd w:val="0"/>
        <w:spacing w:before="29" w:line="288" w:lineRule="auto"/>
        <w:jc w:val="left"/>
        <w:rPr>
          <w:color w:val="000000"/>
          <w:sz w:val="24"/>
        </w:rPr>
      </w:pPr>
      <w:r>
        <w:rPr>
          <w:color w:val="000000"/>
          <w:sz w:val="24"/>
        </w:rPr>
        <w:t>注：本基金由交银施罗德中证环境治理指数分级证券投资基金转型而来。基金转型日为2016年7月19日。本基金的投资转型期为交银施罗德中证环境治理指数分级证券投资基金转型实施日（即2016年7月19日）起的6个月。</w:t>
      </w:r>
      <w:r>
        <w:rPr>
          <w:rFonts w:hint="eastAsia"/>
          <w:color w:val="000000"/>
          <w:sz w:val="24"/>
        </w:rPr>
        <w:t>截至投资转型期结束，本基金各项资产配置比例符合基金合同及招募说明书有关投资比例的约定。</w:t>
      </w:r>
    </w:p>
    <w:p>
      <w:pPr>
        <w:spacing w:line="360" w:lineRule="auto"/>
        <w:ind w:firstLine="480" w:firstLineChars="200"/>
        <w:rPr>
          <w:color w:val="000000"/>
          <w:sz w:val="24"/>
        </w:rPr>
      </w:pPr>
      <w:r>
        <w:rPr>
          <w:rFonts w:hint="eastAsia"/>
          <w:color w:val="000000"/>
          <w:sz w:val="24"/>
        </w:rPr>
        <w:t>（2）自基金合同生效以来基金份额累计净值增长率变动及其与同期业绩比较基准收益率变动的比较</w:t>
      </w:r>
    </w:p>
    <w:p>
      <w:pPr>
        <w:spacing w:line="360" w:lineRule="auto"/>
        <w:jc w:val="center"/>
        <w:rPr>
          <w:rFonts w:eastAsiaTheme="minorEastAsia"/>
          <w:sz w:val="24"/>
        </w:rPr>
      </w:pPr>
      <w:r>
        <w:rPr>
          <w:rFonts w:eastAsiaTheme="minorEastAsia"/>
          <w:sz w:val="24"/>
        </w:rPr>
        <w:t>交银施罗德中证环境治理指数分级证券投资基金</w:t>
      </w:r>
    </w:p>
    <w:p>
      <w:pPr>
        <w:pStyle w:val="16"/>
        <w:snapToGrid w:val="0"/>
        <w:spacing w:line="360" w:lineRule="auto"/>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累计份额净值增长率与业绩比较基准收益率历史走势对比图</w:t>
      </w:r>
    </w:p>
    <w:p>
      <w:pPr>
        <w:autoSpaceDE w:val="0"/>
        <w:autoSpaceDN w:val="0"/>
        <w:adjustRightInd w:val="0"/>
        <w:spacing w:before="29" w:line="288" w:lineRule="auto"/>
        <w:jc w:val="center"/>
        <w:rPr>
          <w:color w:val="000000"/>
          <w:sz w:val="24"/>
        </w:rPr>
      </w:pPr>
      <w:r>
        <w:rPr>
          <w:rFonts w:eastAsiaTheme="minorEastAsia"/>
          <w:color w:val="000000"/>
          <w:kern w:val="0"/>
          <w:sz w:val="24"/>
        </w:rPr>
        <w:t>（2015年8月13日至2016年</w:t>
      </w:r>
      <w:r>
        <w:rPr>
          <w:rFonts w:hint="eastAsia" w:eastAsiaTheme="minorEastAsia"/>
          <w:color w:val="000000"/>
          <w:kern w:val="0"/>
          <w:sz w:val="24"/>
        </w:rPr>
        <w:t>7</w:t>
      </w:r>
      <w:r>
        <w:rPr>
          <w:rFonts w:eastAsiaTheme="minorEastAsia"/>
          <w:color w:val="000000"/>
          <w:kern w:val="0"/>
          <w:sz w:val="24"/>
        </w:rPr>
        <w:t>月</w:t>
      </w:r>
      <w:r>
        <w:rPr>
          <w:rFonts w:hint="eastAsia" w:eastAsiaTheme="minorEastAsia"/>
          <w:color w:val="000000"/>
          <w:kern w:val="0"/>
          <w:sz w:val="24"/>
        </w:rPr>
        <w:t>18</w:t>
      </w:r>
      <w:r>
        <w:rPr>
          <w:rFonts w:eastAsiaTheme="minorEastAsia"/>
          <w:color w:val="000000"/>
          <w:kern w:val="0"/>
          <w:sz w:val="24"/>
        </w:rPr>
        <w:t>日）</w:t>
      </w:r>
    </w:p>
    <w:p>
      <w:pPr>
        <w:tabs>
          <w:tab w:val="left" w:pos="1800"/>
        </w:tabs>
        <w:spacing w:line="360" w:lineRule="auto"/>
        <w:jc w:val="center"/>
        <w:rPr>
          <w:rFonts w:eastAsiaTheme="minorEastAsia"/>
          <w:color w:val="000000"/>
          <w:sz w:val="24"/>
        </w:rPr>
      </w:pPr>
      <w:r>
        <w:rPr>
          <w:color w:val="000000"/>
          <w:sz w:val="24"/>
        </w:rPr>
        <w:drawing>
          <wp:inline distT="0" distB="0" distL="0" distR="0">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浏览器下载\走势图柱状图\走势图1.jpg"/>
                    <pic:cNvPicPr>
                      <a:picLocks noChangeAspect="1" noChangeArrowheads="1"/>
                    </pic:cNvPicPr>
                  </pic:nvPicPr>
                  <pic:blipFill>
                    <a:blip r:embed="rId9" cstate="print"/>
                    <a:srcRect/>
                    <a:stretch>
                      <a:fillRect/>
                    </a:stretch>
                  </pic:blipFill>
                  <pic:spPr>
                    <a:xfrm>
                      <a:off x="0" y="0"/>
                      <a:ext cx="5276850" cy="3086100"/>
                    </a:xfrm>
                    <a:prstGeom prst="rect">
                      <a:avLst/>
                    </a:prstGeom>
                    <a:noFill/>
                    <a:ln w="9525">
                      <a:noFill/>
                      <a:miter lim="800000"/>
                      <a:headEnd/>
                      <a:tailEnd/>
                    </a:ln>
                  </pic:spPr>
                </pic:pic>
              </a:graphicData>
            </a:graphic>
          </wp:inline>
        </w:drawing>
      </w:r>
    </w:p>
    <w:p>
      <w:pPr>
        <w:autoSpaceDE w:val="0"/>
        <w:autoSpaceDN w:val="0"/>
        <w:adjustRightInd w:val="0"/>
        <w:spacing w:line="360" w:lineRule="auto"/>
        <w:jc w:val="left"/>
        <w:rPr>
          <w:rFonts w:eastAsiaTheme="minorEastAsia"/>
          <w:color w:val="000000"/>
          <w:sz w:val="24"/>
        </w:rPr>
      </w:pPr>
      <w:r>
        <w:rPr>
          <w:rFonts w:eastAsiaTheme="minorEastAsia"/>
          <w:color w:val="000000"/>
          <w:sz w:val="24"/>
        </w:rPr>
        <w:t>注：本基金基金合同生效日为2015年8月13日，基金合同生效日至报告期期末，本基金运作时间未满一年。本基金建仓期为自基金合同生效日起的6个月。截至建仓期结束，本基金各项资产配置比例符合基金合同及招募说明书有关投资比例的约定。</w:t>
      </w:r>
    </w:p>
    <w:p/>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6" w:name="_Toc524440788"/>
      <w:r>
        <w:rPr>
          <w:rFonts w:hint="eastAsia" w:ascii="宋体" w:hAnsi="宋体"/>
          <w:b/>
          <w:kern w:val="0"/>
          <w:sz w:val="30"/>
        </w:rPr>
        <w:t>十二、基金的财产</w:t>
      </w:r>
      <w:bookmarkEnd w:id="76"/>
    </w:p>
    <w:p>
      <w:pPr>
        <w:widowControl/>
        <w:adjustRightInd w:val="0"/>
        <w:snapToGrid w:val="0"/>
        <w:spacing w:line="360" w:lineRule="auto"/>
        <w:ind w:firstLine="482" w:firstLineChars="200"/>
        <w:rPr>
          <w:b/>
          <w:kern w:val="0"/>
          <w:sz w:val="24"/>
        </w:rPr>
      </w:pPr>
      <w:r>
        <w:rPr>
          <w:rFonts w:hAnsi="宋体"/>
          <w:b/>
          <w:kern w:val="0"/>
          <w:sz w:val="24"/>
        </w:rPr>
        <w:t>（一）基金资产总值</w:t>
      </w:r>
      <w:r>
        <w:rPr>
          <w:b/>
          <w:kern w:val="0"/>
          <w:sz w:val="24"/>
        </w:rPr>
        <w:t xml:space="preserve"> </w:t>
      </w:r>
    </w:p>
    <w:p>
      <w:pPr>
        <w:widowControl/>
        <w:adjustRightInd w:val="0"/>
        <w:snapToGrid w:val="0"/>
        <w:spacing w:line="360" w:lineRule="auto"/>
        <w:ind w:firstLine="480" w:firstLineChars="200"/>
        <w:rPr>
          <w:kern w:val="0"/>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bookmarkEnd w:id="71"/>
      <w:bookmarkStart w:id="77" w:name="_Toc311810245"/>
    </w:p>
    <w:p>
      <w:pPr>
        <w:widowControl/>
        <w:adjustRightInd w:val="0"/>
        <w:snapToGrid w:val="0"/>
        <w:spacing w:line="360" w:lineRule="auto"/>
        <w:ind w:firstLine="482" w:firstLineChars="200"/>
        <w:rPr>
          <w:b/>
          <w:kern w:val="0"/>
          <w:sz w:val="24"/>
        </w:rPr>
      </w:pPr>
      <w:r>
        <w:rPr>
          <w:rFonts w:hAnsi="宋体"/>
          <w:b/>
          <w:kern w:val="0"/>
          <w:sz w:val="24"/>
        </w:rPr>
        <w:t>（二）基金资</w:t>
      </w:r>
      <w:bookmarkEnd w:id="77"/>
      <w:r>
        <w:rPr>
          <w:rFonts w:hAnsi="宋体"/>
          <w:b/>
          <w:kern w:val="0"/>
          <w:sz w:val="24"/>
        </w:rPr>
        <w:t>产</w:t>
      </w:r>
      <w:bookmarkEnd w:id="69"/>
      <w:bookmarkEnd w:id="70"/>
      <w:r>
        <w:rPr>
          <w:rFonts w:hAnsi="宋体"/>
          <w:b/>
          <w:kern w:val="0"/>
          <w:sz w:val="24"/>
        </w:rPr>
        <w:t>净</w:t>
      </w:r>
      <w:bookmarkStart w:id="78" w:name="_Toc109537391"/>
      <w:r>
        <w:rPr>
          <w:rFonts w:hAnsi="宋体"/>
          <w:b/>
          <w:kern w:val="0"/>
          <w:sz w:val="24"/>
        </w:rPr>
        <w:t>值</w:t>
      </w:r>
      <w:r>
        <w:rPr>
          <w:b/>
          <w:kern w:val="0"/>
          <w:sz w:val="24"/>
        </w:rPr>
        <w:t xml:space="preserve"> </w:t>
      </w:r>
    </w:p>
    <w:p>
      <w:pPr>
        <w:widowControl/>
        <w:adjustRightInd w:val="0"/>
        <w:snapToGrid w:val="0"/>
        <w:spacing w:line="360" w:lineRule="auto"/>
        <w:ind w:firstLine="200"/>
        <w:rPr>
          <w:kern w:val="0"/>
          <w:sz w:val="24"/>
        </w:rPr>
      </w:pPr>
      <w:r>
        <w:rPr>
          <w:kern w:val="0"/>
          <w:sz w:val="24"/>
        </w:rPr>
        <w:t xml:space="preserve">  </w:t>
      </w:r>
      <w:r>
        <w:rPr>
          <w:bCs/>
          <w:sz w:val="24"/>
        </w:rPr>
        <w:t>基金资产净值是指基金资产总值减去基金负债后的价值。</w:t>
      </w:r>
      <w:bookmarkEnd w:id="78"/>
      <w:bookmarkStart w:id="79" w:name="_Toc79392635"/>
      <w:bookmarkStart w:id="80" w:name="_Toc79556449"/>
    </w:p>
    <w:p>
      <w:pPr>
        <w:widowControl/>
        <w:adjustRightInd w:val="0"/>
        <w:snapToGrid w:val="0"/>
        <w:spacing w:line="360" w:lineRule="auto"/>
        <w:ind w:firstLine="482" w:firstLineChars="200"/>
        <w:rPr>
          <w:b/>
          <w:kern w:val="0"/>
          <w:sz w:val="24"/>
        </w:rPr>
      </w:pPr>
      <w:r>
        <w:rPr>
          <w:rFonts w:hAnsi="宋体"/>
          <w:b/>
          <w:kern w:val="0"/>
          <w:sz w:val="24"/>
        </w:rPr>
        <w:t>（三）基金财产的账户</w:t>
      </w:r>
      <w:r>
        <w:rPr>
          <w:b/>
          <w:kern w:val="0"/>
          <w:sz w:val="24"/>
        </w:rPr>
        <w:t xml:space="preserve"> </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End w:id="79"/>
      <w:bookmarkEnd w:id="80"/>
    </w:p>
    <w:p>
      <w:pPr>
        <w:widowControl/>
        <w:adjustRightInd w:val="0"/>
        <w:snapToGrid w:val="0"/>
        <w:spacing w:line="360" w:lineRule="auto"/>
        <w:ind w:firstLine="482" w:firstLineChars="200"/>
        <w:rPr>
          <w:b/>
          <w:kern w:val="0"/>
          <w:sz w:val="24"/>
        </w:rPr>
      </w:pPr>
      <w:r>
        <w:rPr>
          <w:rFonts w:hAnsi="宋体"/>
          <w:b/>
          <w:kern w:val="0"/>
          <w:sz w:val="24"/>
        </w:rPr>
        <w:t>（四）基金财产的保管</w:t>
      </w:r>
      <w:r>
        <w:rPr>
          <w:rFonts w:hint="eastAsia" w:hAnsi="宋体"/>
          <w:b/>
          <w:kern w:val="0"/>
          <w:sz w:val="24"/>
        </w:rPr>
        <w:t>和</w:t>
      </w:r>
      <w:r>
        <w:rPr>
          <w:rFonts w:hAnsi="宋体"/>
          <w:b/>
          <w:kern w:val="0"/>
          <w:sz w:val="24"/>
        </w:rPr>
        <w:t>处分</w:t>
      </w:r>
      <w:r>
        <w:rPr>
          <w:b/>
          <w:kern w:val="0"/>
          <w:sz w:val="24"/>
        </w:rPr>
        <w:t xml:space="preserve"> </w:t>
      </w:r>
    </w:p>
    <w:p>
      <w:pPr>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widowControl/>
        <w:adjustRightInd w:val="0"/>
        <w:snapToGrid w:val="0"/>
        <w:spacing w:line="360" w:lineRule="auto"/>
        <w:ind w:firstLine="200"/>
        <w:rPr>
          <w:rFonts w:ascii="宋体" w:hAnsi="宋体"/>
          <w:kern w:val="0"/>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1" w:name="_Toc524440789"/>
      <w:r>
        <w:rPr>
          <w:rFonts w:hint="eastAsia" w:ascii="宋体" w:hAnsi="宋体"/>
          <w:b/>
          <w:kern w:val="0"/>
          <w:sz w:val="30"/>
        </w:rPr>
        <w:t>十三、基金资产的估值</w:t>
      </w:r>
      <w:bookmarkEnd w:id="81"/>
    </w:p>
    <w:p>
      <w:pPr>
        <w:adjustRightInd w:val="0"/>
        <w:snapToGrid w:val="0"/>
        <w:spacing w:line="360" w:lineRule="auto"/>
        <w:ind w:firstLine="482" w:firstLineChars="200"/>
        <w:rPr>
          <w:b/>
          <w:sz w:val="24"/>
          <w:szCs w:val="24"/>
        </w:rPr>
      </w:pPr>
      <w:r>
        <w:rPr>
          <w:rFonts w:hAnsi="宋体"/>
          <w:b/>
          <w:sz w:val="24"/>
          <w:szCs w:val="24"/>
        </w:rPr>
        <w:t>（一）估值日</w:t>
      </w:r>
    </w:p>
    <w:p>
      <w:pPr>
        <w:adjustRightInd w:val="0"/>
        <w:snapToGrid w:val="0"/>
        <w:spacing w:line="360" w:lineRule="auto"/>
        <w:ind w:firstLine="480" w:firstLineChars="200"/>
        <w:rPr>
          <w:sz w:val="24"/>
          <w:szCs w:val="24"/>
        </w:rPr>
      </w:pPr>
      <w:r>
        <w:rPr>
          <w:bCs/>
          <w:sz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rPr>
          <w:b/>
          <w:bCs/>
          <w:sz w:val="24"/>
          <w:szCs w:val="24"/>
        </w:rPr>
      </w:pPr>
      <w:r>
        <w:rPr>
          <w:b/>
          <w:bCs/>
          <w:sz w:val="24"/>
          <w:szCs w:val="24"/>
        </w:rPr>
        <w:t>（二）估值对象</w:t>
      </w:r>
    </w:p>
    <w:p>
      <w:pPr>
        <w:adjustRightInd w:val="0"/>
        <w:snapToGrid w:val="0"/>
        <w:spacing w:line="360" w:lineRule="auto"/>
        <w:ind w:firstLine="480" w:firstLineChars="200"/>
        <w:rPr>
          <w:sz w:val="24"/>
          <w:szCs w:val="24"/>
        </w:rPr>
      </w:pPr>
      <w:r>
        <w:rPr>
          <w:rFonts w:hint="eastAsia"/>
          <w:bCs/>
          <w:sz w:val="24"/>
        </w:rPr>
        <w:t>基金所拥有的股票、债券、衍生工具和其它投资等持续以公允价值计量的金融资产及负债</w:t>
      </w:r>
      <w:r>
        <w:rPr>
          <w:bCs/>
          <w:sz w:val="24"/>
        </w:rPr>
        <w:t>。</w:t>
      </w:r>
    </w:p>
    <w:p>
      <w:pPr>
        <w:adjustRightInd w:val="0"/>
        <w:snapToGrid w:val="0"/>
        <w:spacing w:line="360" w:lineRule="auto"/>
        <w:ind w:firstLine="482" w:firstLineChars="200"/>
        <w:rPr>
          <w:b/>
          <w:sz w:val="24"/>
          <w:szCs w:val="24"/>
        </w:rPr>
      </w:pPr>
      <w:r>
        <w:rPr>
          <w:rFonts w:hAnsi="宋体"/>
          <w:b/>
          <w:sz w:val="24"/>
          <w:szCs w:val="24"/>
        </w:rPr>
        <w:t>（三）估值方法</w:t>
      </w:r>
    </w:p>
    <w:p>
      <w:pPr>
        <w:adjustRightInd w:val="0"/>
        <w:snapToGrid w:val="0"/>
        <w:spacing w:line="360" w:lineRule="auto"/>
        <w:ind w:firstLine="480" w:firstLineChars="200"/>
        <w:rPr>
          <w:bCs/>
          <w:sz w:val="24"/>
        </w:rPr>
      </w:pPr>
      <w:r>
        <w:rPr>
          <w:rFonts w:hint="eastAsia"/>
          <w:bCs/>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pPr>
        <w:adjustRightInd w:val="0"/>
        <w:snapToGrid w:val="0"/>
        <w:spacing w:line="360" w:lineRule="auto"/>
        <w:ind w:firstLine="480" w:firstLineChars="200"/>
        <w:rPr>
          <w:bCs/>
          <w:sz w:val="24"/>
        </w:rPr>
      </w:pPr>
      <w:r>
        <w:rPr>
          <w:rFonts w:hint="eastAsia"/>
          <w:bCs/>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pPr>
        <w:adjustRightInd w:val="0"/>
        <w:snapToGrid w:val="0"/>
        <w:spacing w:line="360" w:lineRule="auto"/>
        <w:ind w:firstLine="480" w:firstLineChars="200"/>
        <w:rPr>
          <w:bCs/>
          <w:sz w:val="24"/>
        </w:rPr>
      </w:pPr>
      <w:r>
        <w:rPr>
          <w:rFonts w:hint="eastAsia"/>
          <w:bCs/>
          <w:sz w:val="24"/>
        </w:rPr>
        <w:t>（3）当投资品种不存在活跃市场，采用市场参与者普遍认同，且被以往市场实际交易价格验证具有可靠性的估值技术，确定投资品种的公允价值。</w:t>
      </w:r>
    </w:p>
    <w:p>
      <w:pPr>
        <w:adjustRightInd w:val="0"/>
        <w:snapToGrid w:val="0"/>
        <w:spacing w:line="360" w:lineRule="auto"/>
        <w:ind w:firstLine="480" w:firstLineChars="200"/>
        <w:rPr>
          <w:bCs/>
          <w:sz w:val="24"/>
        </w:rPr>
      </w:pPr>
      <w:r>
        <w:rPr>
          <w:rFonts w:hint="eastAsia"/>
          <w:bCs/>
          <w:sz w:val="24"/>
        </w:rPr>
        <w:t>（4）如有充足理由认为按原有方法进行估值不能客观反映上述资产或负债公允价值的，基金管理人可根据具体情况与基金托管人商定后，按最能反映公允价值的方法估值。</w:t>
      </w:r>
    </w:p>
    <w:p>
      <w:pPr>
        <w:adjustRightInd w:val="0"/>
        <w:snapToGrid w:val="0"/>
        <w:spacing w:line="360" w:lineRule="auto"/>
        <w:ind w:firstLine="480" w:firstLineChars="200"/>
        <w:rPr>
          <w:bCs/>
          <w:sz w:val="24"/>
        </w:rPr>
      </w:pPr>
      <w:r>
        <w:rPr>
          <w:rFonts w:hint="eastAsia"/>
          <w:bCs/>
          <w:sz w:val="24"/>
        </w:rPr>
        <w:t>（5）本基金投资存托凭证的估值核算依照境内上市交易的股票执行。</w:t>
      </w:r>
    </w:p>
    <w:p>
      <w:pPr>
        <w:adjustRightInd w:val="0"/>
        <w:snapToGrid w:val="0"/>
        <w:spacing w:line="360" w:lineRule="auto"/>
        <w:ind w:firstLine="480" w:firstLineChars="200"/>
        <w:rPr>
          <w:bCs/>
          <w:sz w:val="24"/>
        </w:rPr>
      </w:pPr>
      <w:r>
        <w:rPr>
          <w:rFonts w:hint="eastAsia"/>
          <w:bCs/>
          <w:sz w:val="24"/>
        </w:rPr>
        <w:t>（</w:t>
      </w:r>
      <w:r>
        <w:rPr>
          <w:bCs/>
          <w:sz w:val="24"/>
        </w:rPr>
        <w:t>6</w:t>
      </w:r>
      <w:r>
        <w:rPr>
          <w:rFonts w:hint="eastAsia"/>
          <w:bCs/>
          <w:sz w:val="24"/>
        </w:rPr>
        <w:t>）存在相关法律法规以及监管部门有相关规范的，从其规定。如有新增事项，按监管部门最新规定估值</w:t>
      </w:r>
      <w:r>
        <w:rPr>
          <w:bCs/>
          <w:sz w:val="24"/>
        </w:rPr>
        <w:t>。</w:t>
      </w:r>
    </w:p>
    <w:p>
      <w:pPr>
        <w:adjustRightInd w:val="0"/>
        <w:snapToGrid w:val="0"/>
        <w:spacing w:line="360" w:lineRule="auto"/>
        <w:ind w:firstLine="480" w:firstLineChars="200"/>
        <w:rPr>
          <w:rStyle w:val="34"/>
          <w:bCs/>
          <w:sz w:val="24"/>
        </w:rPr>
      </w:pPr>
      <w:r>
        <w:rPr>
          <w:rStyle w:val="34"/>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djustRightInd w:val="0"/>
        <w:snapToGrid w:val="0"/>
        <w:spacing w:line="360" w:lineRule="auto"/>
        <w:ind w:firstLine="482" w:firstLineChars="200"/>
        <w:rPr>
          <w:b/>
          <w:sz w:val="24"/>
          <w:szCs w:val="24"/>
        </w:rPr>
      </w:pPr>
      <w:r>
        <w:rPr>
          <w:rFonts w:hAnsi="宋体"/>
          <w:b/>
          <w:sz w:val="24"/>
          <w:szCs w:val="24"/>
        </w:rPr>
        <w:t>（四）估值程序</w:t>
      </w:r>
    </w:p>
    <w:p>
      <w:pPr>
        <w:adjustRightInd w:val="0"/>
        <w:snapToGrid w:val="0"/>
        <w:spacing w:line="360" w:lineRule="auto"/>
        <w:ind w:firstLine="480" w:firstLineChars="200"/>
        <w:rPr>
          <w:sz w:val="24"/>
          <w:szCs w:val="24"/>
        </w:rPr>
      </w:pPr>
      <w:r>
        <w:rPr>
          <w:rFonts w:hint="eastAsia"/>
          <w:sz w:val="24"/>
          <w:szCs w:val="24"/>
        </w:rPr>
        <w:t>1、基金份额净值是按照每个工作日闭市后，基金资产净值除以当日基金份额的余额数量计算，精确到0.001元，小数点后第四位四舍五入。国家另有规定的，从其规定。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基金管理人于每个工作日计算基金资产净值及基金份额净值，并按规定公告。如遇特殊情况，经中国证监会同意，可以适当延迟计算或公告。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r>
        <w:rPr>
          <w:bCs/>
          <w:sz w:val="24"/>
        </w:rPr>
        <w:t>。</w:t>
      </w:r>
    </w:p>
    <w:p>
      <w:pPr>
        <w:adjustRightInd w:val="0"/>
        <w:snapToGrid w:val="0"/>
        <w:spacing w:line="360" w:lineRule="auto"/>
        <w:ind w:firstLine="482" w:firstLineChars="200"/>
        <w:rPr>
          <w:b/>
          <w:sz w:val="24"/>
          <w:szCs w:val="24"/>
        </w:rPr>
      </w:pPr>
      <w:r>
        <w:rPr>
          <w:rFonts w:hAnsi="宋体"/>
          <w:b/>
          <w:sz w:val="24"/>
          <w:szCs w:val="24"/>
        </w:rPr>
        <w:t>（五）估值错误的处理</w:t>
      </w:r>
    </w:p>
    <w:p>
      <w:pPr>
        <w:adjustRightInd w:val="0"/>
        <w:snapToGrid w:val="0"/>
        <w:spacing w:line="360" w:lineRule="auto"/>
        <w:ind w:firstLine="480" w:firstLineChars="200"/>
        <w:rPr>
          <w:bCs/>
          <w:sz w:val="24"/>
        </w:rPr>
      </w:pPr>
      <w:r>
        <w:rPr>
          <w:rFonts w:hint="eastAsia"/>
          <w:bCs/>
          <w:sz w:val="24"/>
        </w:rPr>
        <w:t>基金管理人和基金托管人将采取必要、适当、合理的措施确保基金资产估值的准确性、及时性。当基金份额净值小数点后第3位以内（含第3位) 发生估值错误时，视为基金份额净值错误。</w:t>
      </w:r>
    </w:p>
    <w:p>
      <w:pPr>
        <w:adjustRightInd w:val="0"/>
        <w:snapToGrid w:val="0"/>
        <w:spacing w:line="360" w:lineRule="auto"/>
        <w:ind w:firstLine="480" w:firstLineChars="20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pPr>
        <w:adjustRightInd w:val="0"/>
        <w:snapToGrid w:val="0"/>
        <w:spacing w:line="360" w:lineRule="auto"/>
        <w:ind w:firstLine="480" w:firstLineChars="200"/>
        <w:rPr>
          <w:bCs/>
          <w:sz w:val="24"/>
        </w:rPr>
      </w:pPr>
      <w:r>
        <w:rPr>
          <w:rFonts w:hint="eastAsia"/>
          <w:bCs/>
          <w:sz w:val="24"/>
        </w:rPr>
        <w:t>基金合同的当事人应按照以下约定处理：</w:t>
      </w:r>
    </w:p>
    <w:p>
      <w:pPr>
        <w:adjustRightInd w:val="0"/>
        <w:snapToGrid w:val="0"/>
        <w:spacing w:line="360" w:lineRule="auto"/>
        <w:ind w:firstLine="480" w:firstLineChars="200"/>
        <w:rPr>
          <w:bCs/>
          <w:sz w:val="24"/>
        </w:rPr>
      </w:pPr>
      <w:r>
        <w:rPr>
          <w:rFonts w:hint="eastAsia"/>
          <w:bCs/>
          <w:sz w:val="24"/>
        </w:rPr>
        <w:t>1、估值错误类型</w:t>
      </w:r>
    </w:p>
    <w:p>
      <w:pPr>
        <w:adjustRightInd w:val="0"/>
        <w:snapToGrid w:val="0"/>
        <w:spacing w:line="360" w:lineRule="auto"/>
        <w:ind w:firstLine="480" w:firstLineChars="20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pPr>
        <w:adjustRightInd w:val="0"/>
        <w:snapToGrid w:val="0"/>
        <w:spacing w:line="360" w:lineRule="auto"/>
        <w:ind w:firstLine="480" w:firstLineChars="200"/>
        <w:rPr>
          <w:bCs/>
          <w:sz w:val="24"/>
        </w:rPr>
      </w:pPr>
      <w:r>
        <w:rPr>
          <w:rFonts w:hint="eastAsia"/>
          <w:bCs/>
          <w:sz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bCs/>
          <w:sz w:val="24"/>
        </w:rPr>
      </w:pPr>
      <w:r>
        <w:rPr>
          <w:rFonts w:hint="eastAsia"/>
          <w:bCs/>
          <w:sz w:val="24"/>
        </w:rPr>
        <w:t>2、估值错误处理原则</w:t>
      </w:r>
    </w:p>
    <w:p>
      <w:pPr>
        <w:adjustRightInd w:val="0"/>
        <w:snapToGrid w:val="0"/>
        <w:spacing w:line="360" w:lineRule="auto"/>
        <w:ind w:firstLine="480" w:firstLineChars="200"/>
        <w:rPr>
          <w:bCs/>
          <w:sz w:val="24"/>
        </w:rPr>
      </w:pPr>
      <w:r>
        <w:rPr>
          <w:rFonts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bCs/>
          <w:sz w:val="24"/>
        </w:rPr>
      </w:pPr>
      <w:r>
        <w:rPr>
          <w:rFonts w:hint="eastAsia"/>
          <w:bCs/>
          <w:sz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bCs/>
          <w:sz w:val="24"/>
        </w:rPr>
      </w:pPr>
      <w:r>
        <w:rPr>
          <w:rFonts w:hint="eastAsia"/>
          <w:bCs/>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bCs/>
          <w:sz w:val="24"/>
        </w:rPr>
      </w:pPr>
      <w:r>
        <w:rPr>
          <w:rFonts w:hint="eastAsia"/>
          <w:bCs/>
          <w:sz w:val="24"/>
        </w:rPr>
        <w:t>（4）估值错误调整采用尽量恢复至假设未发生估值错误的正确情形的方式。</w:t>
      </w:r>
    </w:p>
    <w:p>
      <w:pPr>
        <w:adjustRightInd w:val="0"/>
        <w:snapToGrid w:val="0"/>
        <w:spacing w:line="360" w:lineRule="auto"/>
        <w:ind w:firstLine="480" w:firstLineChars="200"/>
        <w:rPr>
          <w:bCs/>
          <w:sz w:val="24"/>
        </w:rPr>
      </w:pPr>
      <w:r>
        <w:rPr>
          <w:rFonts w:hint="eastAsia"/>
          <w:bCs/>
          <w:sz w:val="24"/>
        </w:rPr>
        <w:t>（5）按法律法规规定的其他原则处理估值错误。</w:t>
      </w:r>
    </w:p>
    <w:p>
      <w:pPr>
        <w:adjustRightInd w:val="0"/>
        <w:snapToGrid w:val="0"/>
        <w:spacing w:line="360" w:lineRule="auto"/>
        <w:ind w:firstLine="480" w:firstLineChars="200"/>
        <w:rPr>
          <w:bCs/>
          <w:sz w:val="24"/>
        </w:rPr>
      </w:pPr>
      <w:r>
        <w:rPr>
          <w:rFonts w:hint="eastAsia"/>
          <w:bCs/>
          <w:sz w:val="24"/>
        </w:rPr>
        <w:t>3、估值错误处理程序</w:t>
      </w:r>
    </w:p>
    <w:p>
      <w:pPr>
        <w:adjustRightInd w:val="0"/>
        <w:snapToGrid w:val="0"/>
        <w:spacing w:line="360" w:lineRule="auto"/>
        <w:ind w:firstLine="480" w:firstLineChars="200"/>
        <w:rPr>
          <w:bCs/>
          <w:sz w:val="24"/>
        </w:rPr>
      </w:pPr>
      <w:r>
        <w:rPr>
          <w:rFonts w:hint="eastAsia"/>
          <w:bCs/>
          <w:sz w:val="24"/>
        </w:rPr>
        <w:t>估值错误被发现后，有关的当事人应当及时进行处理，处理的程序如下：</w:t>
      </w:r>
    </w:p>
    <w:p>
      <w:pPr>
        <w:adjustRightInd w:val="0"/>
        <w:snapToGrid w:val="0"/>
        <w:spacing w:line="360" w:lineRule="auto"/>
        <w:ind w:firstLine="480" w:firstLineChars="200"/>
        <w:rPr>
          <w:bCs/>
          <w:sz w:val="24"/>
        </w:rPr>
      </w:pPr>
      <w:r>
        <w:rPr>
          <w:rFonts w:hint="eastAsia"/>
          <w:bCs/>
          <w:sz w:val="24"/>
        </w:rPr>
        <w:t>（1）查明估值错误发生的原因，列明所有的当事人，并根据估值错误发生的原因确定估值错误的责任方；</w:t>
      </w:r>
    </w:p>
    <w:p>
      <w:pPr>
        <w:adjustRightInd w:val="0"/>
        <w:snapToGrid w:val="0"/>
        <w:spacing w:line="360" w:lineRule="auto"/>
        <w:ind w:firstLine="480" w:firstLineChars="200"/>
        <w:rPr>
          <w:bCs/>
          <w:sz w:val="24"/>
        </w:rPr>
      </w:pPr>
      <w:r>
        <w:rPr>
          <w:rFonts w:hint="eastAsia"/>
          <w:bCs/>
          <w:sz w:val="24"/>
        </w:rPr>
        <w:t>（2）根据估值错误处理原则或当事人协商的方法对因估值错误造成的损失进行评估；</w:t>
      </w:r>
    </w:p>
    <w:p>
      <w:pPr>
        <w:adjustRightInd w:val="0"/>
        <w:snapToGrid w:val="0"/>
        <w:spacing w:line="360" w:lineRule="auto"/>
        <w:ind w:firstLine="480" w:firstLineChars="200"/>
        <w:rPr>
          <w:bCs/>
          <w:sz w:val="24"/>
        </w:rPr>
      </w:pPr>
      <w:r>
        <w:rPr>
          <w:rFonts w:hint="eastAsia"/>
          <w:bCs/>
          <w:sz w:val="24"/>
        </w:rPr>
        <w:t>（3）根据估值错误处理原则或当事人协商的方法由估值错误的责任方进行更正和赔偿损失；</w:t>
      </w:r>
    </w:p>
    <w:p>
      <w:pPr>
        <w:adjustRightInd w:val="0"/>
        <w:snapToGrid w:val="0"/>
        <w:spacing w:line="360" w:lineRule="auto"/>
        <w:ind w:firstLine="480" w:firstLineChars="200"/>
        <w:rPr>
          <w:bCs/>
          <w:sz w:val="24"/>
        </w:rPr>
      </w:pPr>
      <w:r>
        <w:rPr>
          <w:rFonts w:hint="eastAsia"/>
          <w:bCs/>
          <w:sz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rPr>
          <w:bCs/>
          <w:sz w:val="24"/>
        </w:rPr>
      </w:pPr>
      <w:r>
        <w:rPr>
          <w:rFonts w:hint="eastAsia"/>
          <w:bCs/>
          <w:sz w:val="24"/>
        </w:rPr>
        <w:t>4、基金份额净值估值错误处理的方法如下：</w:t>
      </w:r>
    </w:p>
    <w:p>
      <w:pPr>
        <w:adjustRightInd w:val="0"/>
        <w:snapToGrid w:val="0"/>
        <w:spacing w:line="360" w:lineRule="auto"/>
        <w:ind w:firstLine="480" w:firstLineChars="200"/>
        <w:rPr>
          <w:bCs/>
          <w:sz w:val="24"/>
        </w:rPr>
      </w:pPr>
      <w:r>
        <w:rPr>
          <w:rFonts w:hint="eastAsia"/>
          <w:bCs/>
          <w:sz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bCs/>
          <w:sz w:val="24"/>
        </w:rPr>
      </w:pPr>
      <w:r>
        <w:rPr>
          <w:rFonts w:hint="eastAsia"/>
          <w:bCs/>
          <w:sz w:val="24"/>
        </w:rPr>
        <w:t>（2）错误偏差达到基金份额净值的0.25%时，基金管理人应当通报基金托管人并报中国证监会备案；错误偏差达到基金份额净值的0.5%时，基金管理人应当公告。</w:t>
      </w:r>
    </w:p>
    <w:p>
      <w:pPr>
        <w:adjustRightInd w:val="0"/>
        <w:snapToGrid w:val="0"/>
        <w:spacing w:line="360" w:lineRule="auto"/>
        <w:ind w:firstLine="480" w:firstLineChars="200"/>
        <w:rPr>
          <w:rFonts w:hAnsi="宋体"/>
          <w:sz w:val="24"/>
          <w:szCs w:val="24"/>
        </w:rPr>
      </w:pPr>
      <w:r>
        <w:rPr>
          <w:rFonts w:hint="eastAsia"/>
          <w:bCs/>
          <w:sz w:val="24"/>
        </w:rPr>
        <w:t>（3）前述内容如法律法规或监管机关另有规定的，从其规定处理</w:t>
      </w:r>
      <w:r>
        <w:rPr>
          <w:bCs/>
          <w:sz w:val="24"/>
        </w:rPr>
        <w:t>。</w:t>
      </w:r>
    </w:p>
    <w:p>
      <w:pPr>
        <w:adjustRightInd w:val="0"/>
        <w:snapToGrid w:val="0"/>
        <w:spacing w:line="360" w:lineRule="auto"/>
        <w:ind w:firstLine="482" w:firstLineChars="200"/>
        <w:rPr>
          <w:b/>
          <w:sz w:val="24"/>
          <w:szCs w:val="24"/>
        </w:rPr>
      </w:pPr>
      <w:r>
        <w:rPr>
          <w:rFonts w:hAnsi="宋体"/>
          <w:b/>
          <w:sz w:val="24"/>
          <w:szCs w:val="24"/>
        </w:rPr>
        <w:t>（六）暂停估值的情形</w:t>
      </w:r>
    </w:p>
    <w:p>
      <w:pPr>
        <w:adjustRightInd w:val="0"/>
        <w:snapToGrid w:val="0"/>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adjustRightInd w:val="0"/>
        <w:snapToGrid w:val="0"/>
        <w:spacing w:line="360" w:lineRule="auto"/>
        <w:ind w:firstLine="480" w:firstLineChars="200"/>
        <w:rPr>
          <w:bCs/>
          <w:sz w:val="24"/>
        </w:rPr>
      </w:pPr>
      <w:r>
        <w:rPr>
          <w:bCs/>
          <w:sz w:val="24"/>
        </w:rPr>
        <w:t>2、因不可抗力致使基金管理人、基金托管人无法准确评估基金资产价值时；</w:t>
      </w:r>
    </w:p>
    <w:p>
      <w:pPr>
        <w:adjustRightInd w:val="0"/>
        <w:snapToGrid w:val="0"/>
        <w:spacing w:line="360" w:lineRule="auto"/>
        <w:ind w:firstLine="480" w:firstLineChars="200"/>
        <w:rPr>
          <w:bCs/>
          <w:sz w:val="24"/>
        </w:rPr>
      </w:pPr>
      <w:r>
        <w:rPr>
          <w:bCs/>
          <w:sz w:val="24"/>
        </w:rPr>
        <w:t>3、</w:t>
      </w:r>
      <w:r>
        <w:rPr>
          <w:rFonts w:hint="eastAsia"/>
          <w:bCs/>
          <w:sz w:val="24"/>
        </w:rPr>
        <w:t>占基金相当比例的投资品种的估值出现重大转变，而基金管理人为保障基金份额持有人的利益，决定延迟估值；</w:t>
      </w:r>
    </w:p>
    <w:p>
      <w:pPr>
        <w:adjustRightInd w:val="0"/>
        <w:snapToGrid w:val="0"/>
        <w:spacing w:line="360" w:lineRule="auto"/>
        <w:ind w:firstLine="480" w:firstLineChars="200"/>
        <w:rPr>
          <w:bCs/>
          <w:sz w:val="24"/>
        </w:rPr>
      </w:pPr>
      <w:r>
        <w:rPr>
          <w:rFonts w:hint="eastAsia"/>
          <w:bCs/>
          <w:sz w:val="24"/>
        </w:rPr>
        <w:t>4、当前一估值日基金资产净值50%以上的资产出现无可参考的活跃市场价格且采用估值技术仍导致公允价值存在重大不确定性时，经与基金托管人协商确认后，基金管理人应当暂停估值；</w:t>
      </w:r>
    </w:p>
    <w:p>
      <w:pPr>
        <w:adjustRightInd w:val="0"/>
        <w:snapToGrid w:val="0"/>
        <w:spacing w:line="360" w:lineRule="auto"/>
        <w:ind w:firstLine="480" w:firstLineChars="200"/>
        <w:rPr>
          <w:sz w:val="24"/>
          <w:szCs w:val="24"/>
        </w:rPr>
      </w:pPr>
      <w:r>
        <w:rPr>
          <w:bCs/>
          <w:sz w:val="24"/>
        </w:rPr>
        <w:t>5</w:t>
      </w:r>
      <w:r>
        <w:rPr>
          <w:rFonts w:hint="eastAsia"/>
          <w:bCs/>
          <w:sz w:val="24"/>
        </w:rPr>
        <w:t>、</w:t>
      </w:r>
      <w:r>
        <w:rPr>
          <w:bCs/>
          <w:sz w:val="24"/>
        </w:rPr>
        <w:t>中国证监会和基金合同认定的其它情形。</w:t>
      </w:r>
    </w:p>
    <w:p>
      <w:pPr>
        <w:adjustRightInd w:val="0"/>
        <w:snapToGrid w:val="0"/>
        <w:spacing w:line="360" w:lineRule="auto"/>
        <w:ind w:firstLine="482" w:firstLineChars="200"/>
        <w:rPr>
          <w:b/>
          <w:sz w:val="24"/>
          <w:szCs w:val="24"/>
        </w:rPr>
      </w:pPr>
      <w:r>
        <w:rPr>
          <w:rFonts w:hAnsi="宋体"/>
          <w:b/>
          <w:sz w:val="24"/>
          <w:szCs w:val="24"/>
        </w:rPr>
        <w:t>（七）基金净值的确认</w:t>
      </w:r>
    </w:p>
    <w:p>
      <w:pPr>
        <w:adjustRightInd w:val="0"/>
        <w:snapToGrid w:val="0"/>
        <w:spacing w:line="360" w:lineRule="auto"/>
        <w:ind w:firstLine="480" w:firstLineChars="200"/>
        <w:rPr>
          <w:rFonts w:hAnsi="宋体"/>
          <w:sz w:val="24"/>
          <w:szCs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Pr>
          <w:bCs/>
          <w:sz w:val="24"/>
        </w:rPr>
        <w:t>。</w:t>
      </w:r>
    </w:p>
    <w:p>
      <w:pPr>
        <w:adjustRightInd w:val="0"/>
        <w:snapToGrid w:val="0"/>
        <w:spacing w:line="360" w:lineRule="auto"/>
        <w:ind w:firstLine="482" w:firstLineChars="200"/>
        <w:rPr>
          <w:b/>
          <w:sz w:val="24"/>
          <w:szCs w:val="24"/>
        </w:rPr>
      </w:pPr>
      <w:r>
        <w:rPr>
          <w:rFonts w:hAnsi="宋体"/>
          <w:b/>
          <w:sz w:val="24"/>
          <w:szCs w:val="24"/>
        </w:rPr>
        <w:t>（八）特殊情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rPr>
      </w:pPr>
      <w:r>
        <w:rPr>
          <w:rFonts w:hint="eastAsia"/>
          <w:sz w:val="24"/>
        </w:rPr>
        <w:t>1、基金管理人或基金托管人按估值方法的第（4）项进行估值时，所造成的误差不作为基金资产估值错误处理。</w:t>
      </w:r>
    </w:p>
    <w:p>
      <w:pPr>
        <w:adjustRightInd w:val="0"/>
        <w:snapToGrid w:val="0"/>
        <w:spacing w:line="360" w:lineRule="auto"/>
        <w:ind w:firstLine="480" w:firstLineChars="200"/>
        <w:rPr>
          <w:sz w:val="24"/>
          <w:szCs w:val="24"/>
        </w:rPr>
      </w:pPr>
      <w:r>
        <w:rPr>
          <w:rFonts w:hint="eastAsia"/>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Pr>
          <w:rFonts w:hAnsi="宋体"/>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bookmarkStart w:id="82" w:name="OLE_LINK71"/>
      <w:bookmarkStart w:id="83" w:name="OLE_LINK70"/>
      <w:r>
        <w:rPr>
          <w:b/>
          <w:bCs/>
          <w:sz w:val="30"/>
        </w:rPr>
        <w:br w:type="page"/>
      </w:r>
      <w:bookmarkEnd w:id="82"/>
      <w:bookmarkEnd w:id="83"/>
      <w:bookmarkStart w:id="84" w:name="_Toc524440790"/>
      <w:r>
        <w:rPr>
          <w:rFonts w:hint="eastAsia" w:ascii="宋体" w:hAnsi="宋体"/>
          <w:b/>
          <w:kern w:val="0"/>
          <w:sz w:val="30"/>
        </w:rPr>
        <w:t>十四、基金收益与分配</w:t>
      </w:r>
      <w:bookmarkEnd w:id="84"/>
    </w:p>
    <w:p>
      <w:pPr>
        <w:adjustRightInd w:val="0"/>
        <w:snapToGrid w:val="0"/>
        <w:spacing w:line="360" w:lineRule="auto"/>
        <w:ind w:firstLine="482" w:firstLineChars="200"/>
        <w:rPr>
          <w:b/>
          <w:bCs/>
          <w:sz w:val="24"/>
        </w:rPr>
      </w:pPr>
      <w:r>
        <w:rPr>
          <w:rFonts w:hint="eastAsia"/>
          <w:b/>
          <w:bCs/>
          <w:sz w:val="24"/>
        </w:rPr>
        <w:t>（一）基金利润的构成</w:t>
      </w:r>
    </w:p>
    <w:p>
      <w:pPr>
        <w:adjustRightInd w:val="0"/>
        <w:snapToGrid w:val="0"/>
        <w:spacing w:line="360" w:lineRule="auto"/>
        <w:ind w:firstLine="480" w:firstLineChars="20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rPr>
          <w:b/>
          <w:bCs/>
          <w:sz w:val="24"/>
        </w:rPr>
      </w:pPr>
      <w:r>
        <w:rPr>
          <w:rFonts w:hint="eastAsia"/>
          <w:b/>
          <w:bCs/>
          <w:sz w:val="24"/>
        </w:rPr>
        <w:t>（二）基金可供分配利润</w:t>
      </w:r>
    </w:p>
    <w:p>
      <w:pPr>
        <w:adjustRightInd w:val="0"/>
        <w:snapToGrid w:val="0"/>
        <w:spacing w:line="360" w:lineRule="auto"/>
        <w:ind w:firstLine="480" w:firstLineChars="200"/>
        <w:rPr>
          <w:bCs/>
          <w:sz w:val="24"/>
        </w:rPr>
      </w:pPr>
      <w:r>
        <w:rPr>
          <w:rFonts w:hint="eastAsia"/>
          <w:bCs/>
          <w:sz w:val="24"/>
        </w:rPr>
        <w:t>基金可供分配利润指截至收益分配基准日基金未分配利润与未分配利润中已实现收益的孰低数。</w:t>
      </w:r>
    </w:p>
    <w:p>
      <w:pPr>
        <w:adjustRightInd w:val="0"/>
        <w:snapToGrid w:val="0"/>
        <w:spacing w:line="360" w:lineRule="auto"/>
        <w:ind w:firstLine="482" w:firstLineChars="200"/>
        <w:rPr>
          <w:b/>
          <w:bCs/>
          <w:sz w:val="24"/>
        </w:rPr>
      </w:pPr>
      <w:r>
        <w:rPr>
          <w:rFonts w:hint="eastAsia"/>
          <w:b/>
          <w:bCs/>
          <w:sz w:val="24"/>
        </w:rPr>
        <w:t>（三）基金收益分配原则</w:t>
      </w:r>
    </w:p>
    <w:p>
      <w:pPr>
        <w:adjustRightInd w:val="0"/>
        <w:snapToGrid w:val="0"/>
        <w:spacing w:line="360" w:lineRule="auto"/>
        <w:ind w:firstLine="480" w:firstLineChars="200"/>
        <w:rPr>
          <w:bCs/>
          <w:sz w:val="24"/>
        </w:rPr>
      </w:pPr>
      <w:r>
        <w:rPr>
          <w:rFonts w:hint="eastAsia"/>
          <w:bCs/>
          <w:sz w:val="24"/>
        </w:rPr>
        <w:t>1、若《基金合同》生效不满3个月可不进行收益分配；</w:t>
      </w:r>
    </w:p>
    <w:p>
      <w:pPr>
        <w:adjustRightInd w:val="0"/>
        <w:snapToGrid w:val="0"/>
        <w:spacing w:line="360" w:lineRule="auto"/>
        <w:ind w:firstLine="480" w:firstLineChars="200"/>
        <w:rPr>
          <w:bCs/>
          <w:sz w:val="24"/>
        </w:rPr>
      </w:pPr>
      <w:r>
        <w:rPr>
          <w:rFonts w:hint="eastAsia"/>
          <w:bCs/>
          <w:sz w:val="24"/>
        </w:rPr>
        <w:t>2、本基金收益分配方式分两种：现金分红与红利再投资，投资者可选择现金红利或将现金红利自动转为基金份额进行再投资；若投资者不选择，本基金默认的收益分配方式是现金分红；</w:t>
      </w:r>
    </w:p>
    <w:p>
      <w:pPr>
        <w:adjustRightInd w:val="0"/>
        <w:snapToGrid w:val="0"/>
        <w:spacing w:line="360" w:lineRule="auto"/>
        <w:ind w:firstLine="480" w:firstLineChars="200"/>
        <w:rPr>
          <w:bCs/>
          <w:sz w:val="24"/>
        </w:rPr>
      </w:pPr>
      <w:r>
        <w:rPr>
          <w:rFonts w:hint="eastAsia"/>
          <w:bCs/>
          <w:sz w:val="24"/>
        </w:rPr>
        <w:t>3、基金收益分配后基金份额净值不能低于面值，即基金收益分配基准日的基金份额净值减去每单位基金份额收益分配金额后不能低于面值；</w:t>
      </w:r>
    </w:p>
    <w:p>
      <w:pPr>
        <w:adjustRightInd w:val="0"/>
        <w:snapToGrid w:val="0"/>
        <w:spacing w:line="360" w:lineRule="auto"/>
        <w:ind w:firstLine="480" w:firstLineChars="200"/>
        <w:rPr>
          <w:bCs/>
          <w:sz w:val="24"/>
        </w:rPr>
      </w:pPr>
      <w:r>
        <w:rPr>
          <w:rFonts w:hint="eastAsia"/>
          <w:bCs/>
          <w:sz w:val="24"/>
        </w:rPr>
        <w:t xml:space="preserve">4、每一基金份额享有同等分配权； </w:t>
      </w:r>
    </w:p>
    <w:p>
      <w:pPr>
        <w:adjustRightInd w:val="0"/>
        <w:snapToGrid w:val="0"/>
        <w:spacing w:line="360" w:lineRule="auto"/>
        <w:ind w:firstLine="480" w:firstLineChars="200"/>
        <w:rPr>
          <w:bCs/>
          <w:sz w:val="24"/>
        </w:rPr>
      </w:pPr>
      <w:r>
        <w:rPr>
          <w:rFonts w:hint="eastAsia"/>
          <w:bCs/>
          <w:sz w:val="24"/>
        </w:rPr>
        <w:t>5、法律法规或监管机关另有规定的，从其规定。</w:t>
      </w:r>
    </w:p>
    <w:p>
      <w:pPr>
        <w:adjustRightInd w:val="0"/>
        <w:snapToGrid w:val="0"/>
        <w:spacing w:line="360" w:lineRule="auto"/>
        <w:ind w:firstLine="482" w:firstLineChars="200"/>
        <w:rPr>
          <w:b/>
          <w:bCs/>
          <w:sz w:val="24"/>
        </w:rPr>
      </w:pPr>
      <w:r>
        <w:rPr>
          <w:rFonts w:hint="eastAsia"/>
          <w:b/>
          <w:bCs/>
          <w:sz w:val="24"/>
        </w:rPr>
        <w:t>（四）收益分配方案</w:t>
      </w:r>
    </w:p>
    <w:p>
      <w:pPr>
        <w:adjustRightInd w:val="0"/>
        <w:snapToGrid w:val="0"/>
        <w:spacing w:line="360" w:lineRule="auto"/>
        <w:ind w:firstLine="480" w:firstLineChars="200"/>
        <w:rPr>
          <w:bCs/>
          <w:sz w:val="24"/>
        </w:rPr>
      </w:pPr>
      <w:r>
        <w:rPr>
          <w:rFonts w:hint="eastAsia"/>
          <w:bCs/>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rPr>
          <w:b/>
          <w:bCs/>
          <w:sz w:val="24"/>
        </w:rPr>
      </w:pPr>
      <w:r>
        <w:rPr>
          <w:rFonts w:hint="eastAsia"/>
          <w:b/>
          <w:bCs/>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本基金收益分配方案由基金管理人拟定，并由基金托管人复核，依照《信息披露办法》的有关规定在指定媒介公告。</w:t>
      </w:r>
    </w:p>
    <w:p>
      <w:pPr>
        <w:adjustRightInd w:val="0"/>
        <w:snapToGrid w:val="0"/>
        <w:spacing w:line="360" w:lineRule="auto"/>
        <w:ind w:firstLine="480" w:firstLineChars="200"/>
        <w:rPr>
          <w:bCs/>
          <w:sz w:val="24"/>
        </w:rPr>
      </w:pPr>
      <w:r>
        <w:rPr>
          <w:rFonts w:hint="eastAsia"/>
          <w:bCs/>
          <w:sz w:val="24"/>
        </w:rPr>
        <w:t>基金红利发放日距离收益分配基准日（即可供分配利润计算截止日）的时间不得超过15个工作日。</w:t>
      </w:r>
    </w:p>
    <w:p>
      <w:pPr>
        <w:adjustRightInd w:val="0"/>
        <w:snapToGrid w:val="0"/>
        <w:spacing w:line="360" w:lineRule="auto"/>
        <w:ind w:firstLine="480" w:firstLineChars="200"/>
        <w:rPr>
          <w:bCs/>
          <w:sz w:val="24"/>
        </w:rPr>
      </w:pPr>
      <w:r>
        <w:rPr>
          <w:rFonts w:hint="eastAsia"/>
          <w:bCs/>
          <w:sz w:val="24"/>
        </w:rPr>
        <w:t>法律法规或监管机关另有规定的，从其规定。</w:t>
      </w:r>
    </w:p>
    <w:p>
      <w:pPr>
        <w:adjustRightInd w:val="0"/>
        <w:snapToGrid w:val="0"/>
        <w:spacing w:line="360" w:lineRule="auto"/>
        <w:ind w:firstLine="482" w:firstLineChars="200"/>
        <w:rPr>
          <w:b/>
          <w:bCs/>
          <w:sz w:val="24"/>
        </w:rPr>
      </w:pPr>
      <w:r>
        <w:rPr>
          <w:rFonts w:hint="eastAsia"/>
          <w:b/>
          <w:bCs/>
          <w:sz w:val="24"/>
        </w:rPr>
        <w:t>（六）基金收益分配中发生的费用</w:t>
      </w:r>
    </w:p>
    <w:p>
      <w:pPr>
        <w:adjustRightInd w:val="0"/>
        <w:snapToGrid w:val="0"/>
        <w:spacing w:line="360" w:lineRule="auto"/>
        <w:ind w:firstLine="480" w:firstLineChars="200"/>
        <w:rPr>
          <w:i/>
          <w:sz w:val="24"/>
          <w:u w:val="single"/>
        </w:rPr>
      </w:pPr>
      <w:r>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pPr>
        <w:widowControl/>
        <w:adjustRightInd w:val="0"/>
        <w:snapToGrid w:val="0"/>
        <w:spacing w:line="360" w:lineRule="auto"/>
        <w:ind w:firstLine="200"/>
        <w:rPr>
          <w:rFonts w:ascii="宋体" w:hAnsi="宋体"/>
          <w:kern w:val="0"/>
          <w:sz w:val="24"/>
        </w:rPr>
      </w:pPr>
    </w:p>
    <w:p>
      <w:pPr>
        <w:adjustRightInd w:val="0"/>
        <w:snapToGrid w:val="0"/>
        <w:spacing w:line="360" w:lineRule="auto"/>
        <w:rPr>
          <w:rFonts w:ascii="宋体" w:hAnsi="宋体"/>
          <w:b/>
          <w:kern w:val="0"/>
          <w:sz w:val="30"/>
        </w:rPr>
      </w:pPr>
    </w:p>
    <w:p>
      <w:pPr>
        <w:widowControl/>
        <w:jc w:val="left"/>
        <w:rPr>
          <w:rFonts w:ascii="宋体" w:hAnsi="宋体"/>
          <w:b/>
          <w:kern w:val="0"/>
          <w:sz w:val="30"/>
        </w:rPr>
      </w:pPr>
      <w:r>
        <w:rPr>
          <w:rFonts w:ascii="宋体" w:hAnsi="宋体"/>
          <w:b/>
          <w:kern w:val="0"/>
          <w:sz w:val="30"/>
        </w:rPr>
        <w:br w:type="page"/>
      </w:r>
    </w:p>
    <w:p>
      <w:pPr>
        <w:adjustRightInd w:val="0"/>
        <w:snapToGrid w:val="0"/>
        <w:spacing w:line="360" w:lineRule="auto"/>
        <w:jc w:val="center"/>
        <w:outlineLvl w:val="0"/>
        <w:rPr>
          <w:rFonts w:ascii="宋体" w:hAnsi="宋体"/>
          <w:b/>
          <w:kern w:val="0"/>
          <w:sz w:val="30"/>
        </w:rPr>
      </w:pPr>
      <w:bookmarkStart w:id="85" w:name="_Toc524440791"/>
      <w:r>
        <w:rPr>
          <w:rFonts w:hint="eastAsia" w:ascii="宋体" w:hAnsi="宋体"/>
          <w:b/>
          <w:kern w:val="0"/>
          <w:sz w:val="30"/>
        </w:rPr>
        <w:t>十五、基金的费用与税收</w:t>
      </w:r>
      <w:bookmarkEnd w:id="85"/>
    </w:p>
    <w:p>
      <w:pPr>
        <w:adjustRightInd w:val="0"/>
        <w:snapToGrid w:val="0"/>
        <w:spacing w:line="360" w:lineRule="auto"/>
        <w:ind w:firstLine="482" w:firstLineChars="200"/>
        <w:rPr>
          <w:i/>
          <w:sz w:val="24"/>
          <w:szCs w:val="24"/>
          <w:u w:val="single"/>
        </w:rPr>
      </w:pPr>
      <w:r>
        <w:rPr>
          <w:b/>
          <w:sz w:val="24"/>
          <w:szCs w:val="24"/>
        </w:rPr>
        <w:t xml:space="preserve">（一）基金费用的种类 </w:t>
      </w:r>
    </w:p>
    <w:p>
      <w:pPr>
        <w:adjustRightInd w:val="0"/>
        <w:snapToGrid w:val="0"/>
        <w:spacing w:line="360" w:lineRule="auto"/>
        <w:ind w:firstLine="480" w:firstLineChars="200"/>
        <w:rPr>
          <w:bCs/>
          <w:sz w:val="24"/>
          <w:szCs w:val="24"/>
        </w:rPr>
      </w:pPr>
      <w:r>
        <w:rPr>
          <w:bCs/>
          <w:sz w:val="24"/>
          <w:szCs w:val="24"/>
        </w:rPr>
        <w:t>1、基金管理人的管理费；</w:t>
      </w:r>
    </w:p>
    <w:p>
      <w:pPr>
        <w:adjustRightInd w:val="0"/>
        <w:snapToGrid w:val="0"/>
        <w:spacing w:line="360" w:lineRule="auto"/>
        <w:ind w:firstLine="480" w:firstLineChars="200"/>
        <w:rPr>
          <w:bCs/>
          <w:sz w:val="24"/>
          <w:szCs w:val="24"/>
        </w:rPr>
      </w:pPr>
      <w:r>
        <w:rPr>
          <w:bCs/>
          <w:sz w:val="24"/>
          <w:szCs w:val="24"/>
        </w:rPr>
        <w:t>2、基金托管人的托管费；</w:t>
      </w:r>
    </w:p>
    <w:p>
      <w:pPr>
        <w:adjustRightInd w:val="0"/>
        <w:snapToGrid w:val="0"/>
        <w:spacing w:line="360" w:lineRule="auto"/>
        <w:ind w:firstLine="480" w:firstLineChars="200"/>
        <w:rPr>
          <w:bCs/>
          <w:sz w:val="24"/>
          <w:szCs w:val="24"/>
        </w:rPr>
      </w:pPr>
      <w:r>
        <w:rPr>
          <w:bCs/>
          <w:sz w:val="24"/>
          <w:szCs w:val="24"/>
        </w:rPr>
        <w:t>3、基金标的指数许可使用费；</w:t>
      </w:r>
    </w:p>
    <w:p>
      <w:pPr>
        <w:adjustRightInd w:val="0"/>
        <w:snapToGrid w:val="0"/>
        <w:spacing w:line="360" w:lineRule="auto"/>
        <w:ind w:firstLine="480" w:firstLineChars="200"/>
        <w:rPr>
          <w:bCs/>
          <w:sz w:val="24"/>
          <w:szCs w:val="24"/>
        </w:rPr>
      </w:pPr>
      <w:r>
        <w:rPr>
          <w:bCs/>
          <w:sz w:val="24"/>
          <w:szCs w:val="24"/>
        </w:rPr>
        <w:t>4、基金上市初费及上市年费；</w:t>
      </w:r>
    </w:p>
    <w:p>
      <w:pPr>
        <w:adjustRightInd w:val="0"/>
        <w:snapToGrid w:val="0"/>
        <w:spacing w:line="360" w:lineRule="auto"/>
        <w:ind w:firstLine="480" w:firstLineChars="200"/>
        <w:rPr>
          <w:bCs/>
          <w:sz w:val="24"/>
          <w:szCs w:val="24"/>
        </w:rPr>
      </w:pPr>
      <w:r>
        <w:rPr>
          <w:bCs/>
          <w:sz w:val="24"/>
          <w:szCs w:val="24"/>
        </w:rPr>
        <w:t>5、《基金合同》生效后与基金相关的信息披露费用；</w:t>
      </w:r>
    </w:p>
    <w:p>
      <w:pPr>
        <w:adjustRightInd w:val="0"/>
        <w:snapToGrid w:val="0"/>
        <w:spacing w:line="360" w:lineRule="auto"/>
        <w:ind w:firstLine="480" w:firstLineChars="200"/>
        <w:rPr>
          <w:bCs/>
          <w:sz w:val="24"/>
          <w:szCs w:val="24"/>
        </w:rPr>
      </w:pPr>
      <w:r>
        <w:rPr>
          <w:bCs/>
          <w:sz w:val="24"/>
          <w:szCs w:val="24"/>
        </w:rPr>
        <w:t>6、《基金合同》生效后与基金相关的会计师费、律师费</w:t>
      </w:r>
      <w:r>
        <w:rPr>
          <w:rFonts w:hint="eastAsia"/>
          <w:bCs/>
          <w:sz w:val="24"/>
          <w:szCs w:val="24"/>
        </w:rPr>
        <w:t>、仲裁费</w:t>
      </w:r>
      <w:r>
        <w:rPr>
          <w:bCs/>
          <w:sz w:val="24"/>
          <w:szCs w:val="24"/>
        </w:rPr>
        <w:t>和诉讼费；</w:t>
      </w:r>
    </w:p>
    <w:p>
      <w:pPr>
        <w:adjustRightInd w:val="0"/>
        <w:snapToGrid w:val="0"/>
        <w:spacing w:line="360" w:lineRule="auto"/>
        <w:ind w:firstLine="480" w:firstLineChars="200"/>
        <w:rPr>
          <w:bCs/>
          <w:sz w:val="24"/>
          <w:szCs w:val="24"/>
        </w:rPr>
      </w:pPr>
      <w:r>
        <w:rPr>
          <w:bCs/>
          <w:sz w:val="24"/>
          <w:szCs w:val="24"/>
        </w:rPr>
        <w:t>7、基金份额持有人大会费用；</w:t>
      </w:r>
    </w:p>
    <w:p>
      <w:pPr>
        <w:adjustRightInd w:val="0"/>
        <w:snapToGrid w:val="0"/>
        <w:spacing w:line="360" w:lineRule="auto"/>
        <w:ind w:firstLine="480" w:firstLineChars="200"/>
        <w:rPr>
          <w:bCs/>
          <w:sz w:val="24"/>
          <w:szCs w:val="24"/>
        </w:rPr>
      </w:pPr>
      <w:r>
        <w:rPr>
          <w:bCs/>
          <w:sz w:val="24"/>
          <w:szCs w:val="24"/>
        </w:rPr>
        <w:t>8、基金的证券、期货交易费用；</w:t>
      </w:r>
    </w:p>
    <w:p>
      <w:pPr>
        <w:adjustRightInd w:val="0"/>
        <w:snapToGrid w:val="0"/>
        <w:spacing w:line="360" w:lineRule="auto"/>
        <w:ind w:firstLine="480" w:firstLineChars="200"/>
        <w:rPr>
          <w:bCs/>
          <w:sz w:val="24"/>
          <w:szCs w:val="24"/>
        </w:rPr>
      </w:pPr>
      <w:r>
        <w:rPr>
          <w:bCs/>
          <w:sz w:val="24"/>
          <w:szCs w:val="24"/>
        </w:rPr>
        <w:t>9、基金的银行汇划费用；</w:t>
      </w:r>
    </w:p>
    <w:p>
      <w:pPr>
        <w:adjustRightInd w:val="0"/>
        <w:snapToGrid w:val="0"/>
        <w:spacing w:line="360" w:lineRule="auto"/>
        <w:ind w:firstLine="480" w:firstLineChars="200"/>
        <w:rPr>
          <w:sz w:val="24"/>
          <w:szCs w:val="24"/>
        </w:rPr>
      </w:pPr>
      <w:r>
        <w:rPr>
          <w:bCs/>
          <w:sz w:val="24"/>
          <w:szCs w:val="24"/>
        </w:rPr>
        <w:t>10、</w:t>
      </w:r>
      <w:r>
        <w:rPr>
          <w:sz w:val="24"/>
          <w:szCs w:val="24"/>
        </w:rPr>
        <w:t>基金的开户费用、账户维护费用；</w:t>
      </w:r>
    </w:p>
    <w:p>
      <w:pPr>
        <w:adjustRightInd w:val="0"/>
        <w:snapToGrid w:val="0"/>
        <w:spacing w:line="360" w:lineRule="auto"/>
        <w:ind w:firstLine="480" w:firstLineChars="200"/>
        <w:rPr>
          <w:bCs/>
          <w:sz w:val="24"/>
          <w:szCs w:val="24"/>
        </w:rPr>
      </w:pPr>
      <w:r>
        <w:rPr>
          <w:bCs/>
          <w:sz w:val="24"/>
          <w:szCs w:val="24"/>
        </w:rPr>
        <w:t>11、按照国家有关规定和《基金合同》约定，可以在基金财产中列支的其他费用。</w:t>
      </w:r>
    </w:p>
    <w:p>
      <w:pPr>
        <w:adjustRightInd w:val="0"/>
        <w:snapToGrid w:val="0"/>
        <w:spacing w:line="360" w:lineRule="auto"/>
        <w:ind w:firstLine="482" w:firstLineChars="200"/>
        <w:rPr>
          <w:i/>
          <w:color w:val="FF0000"/>
          <w:kern w:val="0"/>
          <w:sz w:val="24"/>
          <w:szCs w:val="24"/>
          <w:u w:val="single"/>
        </w:rPr>
      </w:pPr>
      <w:r>
        <w:rPr>
          <w:b/>
          <w:sz w:val="24"/>
          <w:szCs w:val="24"/>
        </w:rPr>
        <w:t>（二）基金费用计提方法、计提标准和支付方式</w:t>
      </w:r>
    </w:p>
    <w:p>
      <w:pPr>
        <w:adjustRightInd w:val="0"/>
        <w:snapToGrid w:val="0"/>
        <w:spacing w:line="360" w:lineRule="auto"/>
        <w:ind w:firstLine="480" w:firstLineChars="200"/>
        <w:rPr>
          <w:sz w:val="24"/>
          <w:szCs w:val="24"/>
        </w:rPr>
      </w:pPr>
      <w:r>
        <w:rPr>
          <w:sz w:val="24"/>
          <w:szCs w:val="24"/>
        </w:rPr>
        <w:t>1、与基金运作有关的费用</w:t>
      </w:r>
    </w:p>
    <w:p>
      <w:pPr>
        <w:adjustRightInd w:val="0"/>
        <w:snapToGrid w:val="0"/>
        <w:spacing w:line="360" w:lineRule="auto"/>
        <w:ind w:firstLine="480" w:firstLineChars="200"/>
        <w:rPr>
          <w:sz w:val="24"/>
          <w:szCs w:val="24"/>
        </w:rPr>
      </w:pPr>
      <w:r>
        <w:rPr>
          <w:sz w:val="24"/>
          <w:szCs w:val="24"/>
        </w:rPr>
        <w:t>（1）基金管理人的管理费</w:t>
      </w:r>
    </w:p>
    <w:p>
      <w:pPr>
        <w:adjustRightInd w:val="0"/>
        <w:snapToGrid w:val="0"/>
        <w:spacing w:line="360" w:lineRule="auto"/>
        <w:ind w:firstLine="480" w:firstLineChars="200"/>
        <w:rPr>
          <w:sz w:val="24"/>
          <w:szCs w:val="24"/>
        </w:rPr>
      </w:pPr>
      <w:r>
        <w:rPr>
          <w:bCs/>
          <w:sz w:val="24"/>
          <w:szCs w:val="24"/>
        </w:rPr>
        <w:t>本基金的管理费</w:t>
      </w:r>
      <w:r>
        <w:rPr>
          <w:sz w:val="24"/>
          <w:szCs w:val="24"/>
        </w:rPr>
        <w:t>按前一日基金资产净值的</w:t>
      </w:r>
      <w:r>
        <w:rPr>
          <w:bCs/>
          <w:sz w:val="24"/>
          <w:szCs w:val="24"/>
        </w:rPr>
        <w:t>1.0</w:t>
      </w:r>
      <w:r>
        <w:rPr>
          <w:sz w:val="24"/>
          <w:szCs w:val="24"/>
        </w:rPr>
        <w:t>%年费率计提。</w:t>
      </w:r>
      <w:r>
        <w:rPr>
          <w:bCs/>
          <w:sz w:val="24"/>
          <w:szCs w:val="24"/>
        </w:rPr>
        <w:t>管理费的</w:t>
      </w:r>
      <w:r>
        <w:rPr>
          <w:sz w:val="24"/>
          <w:szCs w:val="24"/>
        </w:rPr>
        <w:t>计算方法如下：</w:t>
      </w:r>
    </w:p>
    <w:p>
      <w:pPr>
        <w:adjustRightInd w:val="0"/>
        <w:snapToGrid w:val="0"/>
        <w:spacing w:line="360" w:lineRule="auto"/>
        <w:ind w:firstLine="480" w:firstLineChars="200"/>
        <w:rPr>
          <w:sz w:val="24"/>
          <w:szCs w:val="24"/>
        </w:rPr>
      </w:pPr>
      <w:r>
        <w:rPr>
          <w:sz w:val="24"/>
          <w:szCs w:val="24"/>
        </w:rPr>
        <w:t>H＝E×</w:t>
      </w:r>
      <w:r>
        <w:rPr>
          <w:bCs/>
          <w:sz w:val="24"/>
          <w:szCs w:val="24"/>
        </w:rPr>
        <w:t>1.0</w:t>
      </w:r>
      <w:r>
        <w:rPr>
          <w:sz w:val="24"/>
          <w:szCs w:val="24"/>
        </w:rPr>
        <w:t>%÷当年天数</w:t>
      </w:r>
    </w:p>
    <w:p>
      <w:pPr>
        <w:adjustRightInd w:val="0"/>
        <w:snapToGrid w:val="0"/>
        <w:spacing w:line="360" w:lineRule="auto"/>
        <w:ind w:firstLine="480" w:firstLineChars="200"/>
        <w:rPr>
          <w:sz w:val="24"/>
          <w:szCs w:val="24"/>
        </w:rPr>
      </w:pPr>
      <w:r>
        <w:rPr>
          <w:sz w:val="24"/>
          <w:szCs w:val="24"/>
        </w:rPr>
        <w:t>H为每日应计提的基金管理费</w:t>
      </w:r>
    </w:p>
    <w:p>
      <w:pPr>
        <w:adjustRightInd w:val="0"/>
        <w:snapToGrid w:val="0"/>
        <w:spacing w:line="360" w:lineRule="auto"/>
        <w:ind w:firstLine="480" w:firstLineChars="200"/>
        <w:rPr>
          <w:sz w:val="24"/>
          <w:szCs w:val="24"/>
        </w:rPr>
      </w:pPr>
      <w:r>
        <w:rPr>
          <w:sz w:val="24"/>
          <w:szCs w:val="24"/>
        </w:rPr>
        <w:t>E为前一日的基金资产净值</w:t>
      </w:r>
    </w:p>
    <w:p>
      <w:pPr>
        <w:adjustRightInd w:val="0"/>
        <w:snapToGrid w:val="0"/>
        <w:spacing w:line="360" w:lineRule="auto"/>
        <w:ind w:firstLine="480" w:firstLineChars="200"/>
        <w:rPr>
          <w:bCs/>
          <w:sz w:val="24"/>
          <w:szCs w:val="24"/>
        </w:rPr>
      </w:pPr>
      <w:r>
        <w:rPr>
          <w:bCs/>
          <w:sz w:val="24"/>
          <w:szCs w:val="24"/>
        </w:rPr>
        <w:t>自基金</w:t>
      </w:r>
      <w:r>
        <w:rPr>
          <w:rFonts w:hint="eastAsia"/>
          <w:bCs/>
          <w:sz w:val="24"/>
          <w:szCs w:val="24"/>
        </w:rPr>
        <w:t>转型实施</w:t>
      </w:r>
      <w:r>
        <w:rPr>
          <w:bCs/>
          <w:sz w:val="24"/>
          <w:szCs w:val="24"/>
        </w:rPr>
        <w:t>日起，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szCs w:val="24"/>
        </w:rPr>
      </w:pPr>
      <w:r>
        <w:rPr>
          <w:sz w:val="24"/>
          <w:szCs w:val="24"/>
        </w:rPr>
        <w:t>（2）基金托管人的托管费</w:t>
      </w:r>
    </w:p>
    <w:p>
      <w:pPr>
        <w:adjustRightInd w:val="0"/>
        <w:snapToGrid w:val="0"/>
        <w:spacing w:line="360" w:lineRule="auto"/>
        <w:ind w:firstLine="480" w:firstLineChars="200"/>
        <w:rPr>
          <w:sz w:val="24"/>
          <w:szCs w:val="24"/>
        </w:rPr>
      </w:pPr>
      <w:r>
        <w:rPr>
          <w:bCs/>
          <w:sz w:val="24"/>
          <w:szCs w:val="24"/>
        </w:rPr>
        <w:t>本基金的托管费按前一日基金资产净值的0.2%的年费率计提。托管费的计算方法如下</w:t>
      </w:r>
      <w:r>
        <w:rPr>
          <w:sz w:val="24"/>
          <w:szCs w:val="24"/>
        </w:rPr>
        <w:t>：</w:t>
      </w:r>
    </w:p>
    <w:p>
      <w:pPr>
        <w:adjustRightInd w:val="0"/>
        <w:snapToGrid w:val="0"/>
        <w:spacing w:line="360" w:lineRule="auto"/>
        <w:ind w:firstLine="480" w:firstLineChars="200"/>
        <w:rPr>
          <w:sz w:val="24"/>
          <w:szCs w:val="24"/>
        </w:rPr>
      </w:pPr>
      <w:r>
        <w:rPr>
          <w:sz w:val="24"/>
          <w:szCs w:val="24"/>
        </w:rPr>
        <w:t>H＝E×</w:t>
      </w:r>
      <w:r>
        <w:rPr>
          <w:bCs/>
          <w:sz w:val="24"/>
          <w:szCs w:val="24"/>
        </w:rPr>
        <w:t>0.2</w:t>
      </w:r>
      <w:r>
        <w:rPr>
          <w:sz w:val="24"/>
          <w:szCs w:val="24"/>
        </w:rPr>
        <w:t>%÷当年天数</w:t>
      </w:r>
    </w:p>
    <w:p>
      <w:pPr>
        <w:adjustRightInd w:val="0"/>
        <w:snapToGrid w:val="0"/>
        <w:spacing w:line="360" w:lineRule="auto"/>
        <w:ind w:firstLine="480" w:firstLineChars="200"/>
        <w:rPr>
          <w:sz w:val="24"/>
          <w:szCs w:val="24"/>
        </w:rPr>
      </w:pPr>
      <w:r>
        <w:rPr>
          <w:sz w:val="24"/>
          <w:szCs w:val="24"/>
        </w:rPr>
        <w:t>H为每日应计提的基金托管费</w:t>
      </w:r>
    </w:p>
    <w:p>
      <w:pPr>
        <w:adjustRightInd w:val="0"/>
        <w:snapToGrid w:val="0"/>
        <w:spacing w:line="360" w:lineRule="auto"/>
        <w:ind w:firstLine="480" w:firstLineChars="200"/>
        <w:rPr>
          <w:sz w:val="24"/>
          <w:szCs w:val="24"/>
        </w:rPr>
      </w:pPr>
      <w:r>
        <w:rPr>
          <w:sz w:val="24"/>
          <w:szCs w:val="24"/>
        </w:rPr>
        <w:t>E为前一日的基金资产净值</w:t>
      </w:r>
    </w:p>
    <w:p>
      <w:pPr>
        <w:adjustRightInd w:val="0"/>
        <w:snapToGrid w:val="0"/>
        <w:spacing w:line="360" w:lineRule="auto"/>
        <w:ind w:firstLine="480" w:firstLineChars="200"/>
        <w:rPr>
          <w:bCs/>
          <w:sz w:val="24"/>
          <w:szCs w:val="24"/>
        </w:rPr>
      </w:pPr>
      <w:r>
        <w:rPr>
          <w:bCs/>
          <w:sz w:val="24"/>
          <w:szCs w:val="24"/>
        </w:rPr>
        <w:t>自基金</w:t>
      </w:r>
      <w:r>
        <w:rPr>
          <w:rFonts w:hint="eastAsia"/>
          <w:bCs/>
          <w:sz w:val="24"/>
          <w:szCs w:val="24"/>
        </w:rPr>
        <w:t>转型实施</w:t>
      </w:r>
      <w:r>
        <w:rPr>
          <w:bCs/>
          <w:sz w:val="24"/>
          <w:szCs w:val="24"/>
        </w:rPr>
        <w:t>日起，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szCs w:val="24"/>
        </w:rPr>
      </w:pPr>
      <w:r>
        <w:rPr>
          <w:bCs/>
          <w:sz w:val="24"/>
          <w:szCs w:val="24"/>
        </w:rPr>
        <w:t>（3）标的指数许可使用费</w:t>
      </w:r>
    </w:p>
    <w:p>
      <w:pPr>
        <w:adjustRightInd w:val="0"/>
        <w:snapToGrid w:val="0"/>
        <w:spacing w:line="360" w:lineRule="auto"/>
        <w:ind w:firstLine="480" w:firstLineChars="200"/>
        <w:rPr>
          <w:bCs/>
          <w:sz w:val="24"/>
          <w:szCs w:val="24"/>
        </w:rPr>
      </w:pPr>
      <w:r>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pPr>
        <w:adjustRightInd w:val="0"/>
        <w:snapToGrid w:val="0"/>
        <w:spacing w:line="360" w:lineRule="auto"/>
        <w:ind w:firstLine="480" w:firstLineChars="200"/>
        <w:rPr>
          <w:bCs/>
          <w:sz w:val="24"/>
          <w:szCs w:val="24"/>
        </w:rPr>
      </w:pPr>
      <w:r>
        <w:rPr>
          <w:bCs/>
          <w:sz w:val="24"/>
          <w:szCs w:val="24"/>
        </w:rPr>
        <w:t>H＝E×0.02%÷当年天数</w:t>
      </w:r>
    </w:p>
    <w:p>
      <w:pPr>
        <w:adjustRightInd w:val="0"/>
        <w:snapToGrid w:val="0"/>
        <w:spacing w:line="360" w:lineRule="auto"/>
        <w:ind w:firstLine="480" w:firstLineChars="200"/>
        <w:rPr>
          <w:bCs/>
          <w:sz w:val="24"/>
          <w:szCs w:val="24"/>
        </w:rPr>
      </w:pPr>
      <w:r>
        <w:rPr>
          <w:bCs/>
          <w:sz w:val="24"/>
          <w:szCs w:val="24"/>
        </w:rPr>
        <w:t>H为每日应计提的标的</w:t>
      </w:r>
      <w:r>
        <w:rPr>
          <w:sz w:val="24"/>
          <w:szCs w:val="24"/>
        </w:rPr>
        <w:t>指数许可使用费</w:t>
      </w:r>
    </w:p>
    <w:p>
      <w:pPr>
        <w:adjustRightInd w:val="0"/>
        <w:snapToGrid w:val="0"/>
        <w:spacing w:line="360" w:lineRule="auto"/>
        <w:ind w:firstLine="480" w:firstLineChars="200"/>
        <w:rPr>
          <w:bCs/>
          <w:sz w:val="24"/>
          <w:szCs w:val="24"/>
        </w:rPr>
      </w:pPr>
      <w:r>
        <w:rPr>
          <w:bCs/>
          <w:sz w:val="24"/>
          <w:szCs w:val="24"/>
        </w:rPr>
        <w:t>E为前一日基金资产净值</w:t>
      </w:r>
    </w:p>
    <w:p>
      <w:pPr>
        <w:adjustRightInd w:val="0"/>
        <w:snapToGrid w:val="0"/>
        <w:spacing w:line="360" w:lineRule="auto"/>
        <w:ind w:firstLine="480" w:firstLineChars="200"/>
        <w:rPr>
          <w:bCs/>
          <w:sz w:val="24"/>
          <w:szCs w:val="24"/>
        </w:rPr>
      </w:pPr>
      <w:r>
        <w:rPr>
          <w:bCs/>
          <w:sz w:val="24"/>
          <w:szCs w:val="24"/>
        </w:rPr>
        <w:t>自基金</w:t>
      </w:r>
      <w:r>
        <w:rPr>
          <w:rFonts w:hint="eastAsia"/>
          <w:bCs/>
          <w:sz w:val="24"/>
          <w:szCs w:val="24"/>
        </w:rPr>
        <w:t>转型实施</w:t>
      </w:r>
      <w:r>
        <w:rPr>
          <w:bCs/>
          <w:sz w:val="24"/>
          <w:szCs w:val="24"/>
        </w:rPr>
        <w:t>日起，基金标的指数许可使用费每日计提，按季支付，标的指数</w:t>
      </w:r>
      <w:r>
        <w:rPr>
          <w:sz w:val="24"/>
          <w:szCs w:val="24"/>
        </w:rPr>
        <w:t>许可使用费的收取下限为每季度人民币5万元，计费期间不足一季度的，根据实际天数按比例计算。</w:t>
      </w:r>
      <w:r>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pPr>
        <w:adjustRightInd w:val="0"/>
        <w:snapToGrid w:val="0"/>
        <w:spacing w:line="360" w:lineRule="auto"/>
        <w:ind w:firstLine="480" w:firstLineChars="200"/>
        <w:rPr>
          <w:bCs/>
          <w:sz w:val="24"/>
          <w:szCs w:val="24"/>
        </w:rPr>
      </w:pPr>
      <w:r>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pPr>
        <w:adjustRightInd w:val="0"/>
        <w:snapToGrid w:val="0"/>
        <w:spacing w:line="360" w:lineRule="auto"/>
        <w:ind w:firstLine="480" w:firstLineChars="200"/>
        <w:rPr>
          <w:bCs/>
          <w:sz w:val="24"/>
          <w:szCs w:val="24"/>
        </w:rPr>
      </w:pPr>
      <w:r>
        <w:rPr>
          <w:bCs/>
          <w:sz w:val="24"/>
          <w:szCs w:val="24"/>
        </w:rPr>
        <w:t>（4）上述“（一）基金费用的种类”中第4－11项费用，根据有关法规及相应协议规定，按费用实际支出金额列入当期费用，由基金托管人从基金财产中支付。</w:t>
      </w:r>
    </w:p>
    <w:p>
      <w:pPr>
        <w:widowControl/>
        <w:adjustRightInd w:val="0"/>
        <w:snapToGrid w:val="0"/>
        <w:spacing w:line="360" w:lineRule="auto"/>
        <w:ind w:firstLine="480" w:firstLineChars="200"/>
        <w:rPr>
          <w:kern w:val="0"/>
          <w:sz w:val="24"/>
          <w:szCs w:val="24"/>
        </w:rPr>
      </w:pPr>
      <w:r>
        <w:rPr>
          <w:kern w:val="0"/>
          <w:sz w:val="24"/>
          <w:szCs w:val="24"/>
        </w:rPr>
        <w:t>2、与基金销售有关的费用</w:t>
      </w:r>
    </w:p>
    <w:p>
      <w:pPr>
        <w:widowControl/>
        <w:adjustRightInd w:val="0"/>
        <w:snapToGrid w:val="0"/>
        <w:spacing w:line="360" w:lineRule="auto"/>
        <w:ind w:firstLine="480" w:firstLineChars="200"/>
        <w:rPr>
          <w:kern w:val="0"/>
          <w:sz w:val="24"/>
          <w:szCs w:val="24"/>
        </w:rPr>
      </w:pPr>
      <w:r>
        <w:rPr>
          <w:kern w:val="0"/>
          <w:sz w:val="24"/>
          <w:szCs w:val="24"/>
        </w:rPr>
        <w:t>（</w:t>
      </w:r>
      <w:r>
        <w:rPr>
          <w:rFonts w:hint="eastAsia"/>
          <w:kern w:val="0"/>
          <w:sz w:val="24"/>
          <w:szCs w:val="24"/>
        </w:rPr>
        <w:t>1</w:t>
      </w:r>
      <w:r>
        <w:rPr>
          <w:kern w:val="0"/>
          <w:sz w:val="24"/>
          <w:szCs w:val="24"/>
        </w:rPr>
        <w:t>）申购费</w:t>
      </w:r>
    </w:p>
    <w:p>
      <w:pPr>
        <w:widowControl/>
        <w:adjustRightInd w:val="0"/>
        <w:snapToGrid w:val="0"/>
        <w:spacing w:line="360" w:lineRule="auto"/>
        <w:ind w:firstLine="480" w:firstLineChars="200"/>
        <w:rPr>
          <w:kern w:val="0"/>
          <w:sz w:val="24"/>
          <w:szCs w:val="24"/>
        </w:rPr>
      </w:pPr>
      <w:r>
        <w:rPr>
          <w:rFonts w:hint="eastAsia"/>
          <w:kern w:val="0"/>
          <w:sz w:val="24"/>
          <w:szCs w:val="24"/>
        </w:rPr>
        <w:t>本基金</w:t>
      </w:r>
      <w:r>
        <w:rPr>
          <w:kern w:val="0"/>
          <w:sz w:val="24"/>
          <w:szCs w:val="24"/>
        </w:rPr>
        <w:t>申购费的费率水平、计算公式和收取方式详见“</w:t>
      </w:r>
      <w:r>
        <w:rPr>
          <w:rFonts w:hint="eastAsia"/>
          <w:kern w:val="0"/>
          <w:sz w:val="24"/>
          <w:szCs w:val="24"/>
        </w:rPr>
        <w:t>基金</w:t>
      </w:r>
      <w:r>
        <w:rPr>
          <w:kern w:val="0"/>
          <w:sz w:val="24"/>
          <w:szCs w:val="24"/>
        </w:rPr>
        <w:t>份额的申购与赎回”一章。</w:t>
      </w:r>
    </w:p>
    <w:p>
      <w:pPr>
        <w:widowControl/>
        <w:adjustRightInd w:val="0"/>
        <w:snapToGrid w:val="0"/>
        <w:spacing w:line="360" w:lineRule="auto"/>
        <w:ind w:firstLine="480" w:firstLineChars="200"/>
        <w:rPr>
          <w:kern w:val="0"/>
          <w:sz w:val="24"/>
          <w:szCs w:val="24"/>
        </w:rPr>
      </w:pPr>
      <w:r>
        <w:rPr>
          <w:kern w:val="0"/>
          <w:sz w:val="24"/>
          <w:szCs w:val="24"/>
        </w:rPr>
        <w:t>（</w:t>
      </w:r>
      <w:r>
        <w:rPr>
          <w:rFonts w:hint="eastAsia"/>
          <w:kern w:val="0"/>
          <w:sz w:val="24"/>
          <w:szCs w:val="24"/>
        </w:rPr>
        <w:t>2</w:t>
      </w:r>
      <w:r>
        <w:rPr>
          <w:kern w:val="0"/>
          <w:sz w:val="24"/>
          <w:szCs w:val="24"/>
        </w:rPr>
        <w:t>）赎回费</w:t>
      </w:r>
    </w:p>
    <w:p>
      <w:pPr>
        <w:adjustRightInd w:val="0"/>
        <w:snapToGrid w:val="0"/>
        <w:spacing w:line="360" w:lineRule="auto"/>
        <w:ind w:firstLine="480" w:firstLineChars="200"/>
        <w:rPr>
          <w:sz w:val="24"/>
          <w:szCs w:val="24"/>
        </w:rPr>
      </w:pPr>
      <w:r>
        <w:rPr>
          <w:rFonts w:hint="eastAsia"/>
          <w:kern w:val="0"/>
          <w:sz w:val="24"/>
          <w:szCs w:val="24"/>
        </w:rPr>
        <w:t>本基金</w:t>
      </w:r>
      <w:r>
        <w:rPr>
          <w:kern w:val="0"/>
          <w:sz w:val="24"/>
          <w:szCs w:val="24"/>
        </w:rPr>
        <w:t>赎回费的费率水平、计算公式和收取方式详见“</w:t>
      </w:r>
      <w:r>
        <w:rPr>
          <w:rFonts w:hint="eastAsia"/>
          <w:kern w:val="0"/>
          <w:sz w:val="24"/>
          <w:szCs w:val="24"/>
        </w:rPr>
        <w:t>基金</w:t>
      </w:r>
      <w:r>
        <w:rPr>
          <w:kern w:val="0"/>
          <w:sz w:val="24"/>
          <w:szCs w:val="24"/>
        </w:rPr>
        <w:t>份额的申购与赎回”一章。</w:t>
      </w:r>
    </w:p>
    <w:p>
      <w:pPr>
        <w:adjustRightInd w:val="0"/>
        <w:snapToGrid w:val="0"/>
        <w:spacing w:line="360" w:lineRule="auto"/>
        <w:ind w:firstLine="482" w:firstLineChars="200"/>
        <w:rPr>
          <w:b/>
          <w:sz w:val="24"/>
        </w:rPr>
      </w:pPr>
      <w:r>
        <w:rPr>
          <w:rFonts w:hAnsi="宋体"/>
          <w:b/>
          <w:sz w:val="24"/>
        </w:rPr>
        <w:t>（三）不列入基金费用的项目</w:t>
      </w:r>
      <w:r>
        <w:rPr>
          <w:b/>
          <w:sz w:val="24"/>
        </w:rPr>
        <w:t xml:space="preserve"> </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 xml:space="preserve">《交银施罗德中证环境治理指数分级证券投资基金基金合同》生效前的相关费用； </w:t>
      </w:r>
    </w:p>
    <w:p>
      <w:pPr>
        <w:adjustRightInd w:val="0"/>
        <w:snapToGrid w:val="0"/>
        <w:spacing w:line="360" w:lineRule="auto"/>
        <w:ind w:firstLine="480" w:firstLineChars="200"/>
        <w:rPr>
          <w:rFonts w:hAnsi="宋体"/>
          <w:sz w:val="24"/>
          <w:szCs w:val="21"/>
        </w:rPr>
      </w:pPr>
      <w:bookmarkStart w:id="86" w:name="_Hlt81193394"/>
      <w:bookmarkEnd w:id="86"/>
      <w:r>
        <w:rPr>
          <w:rFonts w:hAnsi="宋体"/>
          <w:sz w:val="24"/>
          <w:szCs w:val="21"/>
        </w:rPr>
        <w:t>4、其他根据相关法律法规及中国证监会的有关规定不得列入基金费用的项目。</w:t>
      </w:r>
    </w:p>
    <w:p>
      <w:pPr>
        <w:adjustRightInd w:val="0"/>
        <w:snapToGrid w:val="0"/>
        <w:spacing w:line="360" w:lineRule="auto"/>
        <w:ind w:firstLine="482" w:firstLineChars="200"/>
        <w:rPr>
          <w:rFonts w:hAnsi="宋体"/>
          <w:sz w:val="24"/>
          <w:szCs w:val="21"/>
        </w:rPr>
      </w:pPr>
      <w:r>
        <w:rPr>
          <w:rFonts w:hint="eastAsia" w:hAnsi="宋体"/>
          <w:b/>
          <w:sz w:val="24"/>
          <w:szCs w:val="21"/>
        </w:rPr>
        <w:t>（四）</w:t>
      </w:r>
      <w:r>
        <w:rPr>
          <w:rFonts w:hint="eastAsia" w:hAnsi="宋体"/>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pPr>
        <w:adjustRightInd w:val="0"/>
        <w:snapToGrid w:val="0"/>
        <w:spacing w:line="360" w:lineRule="auto"/>
        <w:ind w:firstLine="482" w:firstLineChars="200"/>
        <w:rPr>
          <w:rFonts w:hAnsi="宋体"/>
          <w:sz w:val="24"/>
          <w:szCs w:val="21"/>
        </w:rPr>
      </w:pPr>
      <w:r>
        <w:rPr>
          <w:rFonts w:hint="eastAsia" w:hAnsi="宋体"/>
          <w:b/>
          <w:sz w:val="24"/>
          <w:szCs w:val="21"/>
        </w:rPr>
        <w:t>（五）</w:t>
      </w:r>
      <w:r>
        <w:rPr>
          <w:rFonts w:hint="eastAsia" w:ascii="宋体" w:hAnsi="宋体"/>
          <w:sz w:val="24"/>
        </w:rPr>
        <w:t>基金管理人和基金托管人可根据基金发展情况调整基金管理费率、基金托管费率等相关费率。基金管理人必须依照有关规定于新的费率实施日前在指定媒介上刊登公告。</w:t>
      </w:r>
    </w:p>
    <w:p>
      <w:pPr>
        <w:adjustRightInd w:val="0"/>
        <w:snapToGrid w:val="0"/>
        <w:spacing w:line="360" w:lineRule="auto"/>
        <w:ind w:firstLine="482" w:firstLineChars="200"/>
        <w:rPr>
          <w:b/>
          <w:bCs/>
          <w:sz w:val="24"/>
        </w:rPr>
      </w:pPr>
      <w:r>
        <w:rPr>
          <w:rFonts w:hint="eastAsia"/>
          <w:b/>
          <w:bCs/>
          <w:sz w:val="24"/>
        </w:rPr>
        <w:t>（六）</w:t>
      </w:r>
      <w:r>
        <w:rPr>
          <w:b/>
          <w:bCs/>
          <w:sz w:val="24"/>
        </w:rPr>
        <w:t>基金税收</w:t>
      </w:r>
    </w:p>
    <w:p>
      <w:pPr>
        <w:adjustRightInd w:val="0"/>
        <w:snapToGrid w:val="0"/>
        <w:spacing w:line="360" w:lineRule="auto"/>
        <w:ind w:firstLine="480" w:firstLineChars="200"/>
        <w:rPr>
          <w:bCs/>
          <w:sz w:val="24"/>
        </w:rPr>
      </w:pPr>
      <w:r>
        <w:rPr>
          <w:bCs/>
          <w:sz w:val="24"/>
        </w:rPr>
        <w:t>本基金运作过程中涉及的各纳税主体，其纳税义务按国家税收法律、法规执行。</w:t>
      </w:r>
    </w:p>
    <w:p>
      <w:pPr>
        <w:widowControl/>
        <w:jc w:val="left"/>
        <w:rPr>
          <w:rFonts w:ascii="宋体" w:hAnsi="宋体"/>
          <w:b/>
          <w:kern w:val="0"/>
          <w:sz w:val="30"/>
        </w:rPr>
      </w:pPr>
      <w:bookmarkStart w:id="87" w:name="_Toc395613735"/>
      <w:r>
        <w:rPr>
          <w:rFonts w:ascii="宋体" w:hAnsi="宋体"/>
          <w:b/>
          <w:kern w:val="0"/>
          <w:sz w:val="30"/>
        </w:rPr>
        <w:br w:type="page"/>
      </w:r>
    </w:p>
    <w:bookmarkEnd w:id="87"/>
    <w:p>
      <w:pPr>
        <w:widowControl/>
        <w:adjustRightInd w:val="0"/>
        <w:snapToGrid w:val="0"/>
        <w:spacing w:before="143" w:beforeLines="50" w:after="143" w:afterLines="50" w:line="360" w:lineRule="auto"/>
        <w:jc w:val="center"/>
        <w:outlineLvl w:val="0"/>
        <w:rPr>
          <w:rFonts w:ascii="宋体" w:hAnsi="宋体"/>
          <w:b/>
          <w:kern w:val="0"/>
          <w:sz w:val="30"/>
        </w:rPr>
      </w:pPr>
      <w:bookmarkStart w:id="88" w:name="_Toc524440792"/>
      <w:r>
        <w:rPr>
          <w:rFonts w:hint="eastAsia" w:ascii="宋体" w:hAnsi="宋体"/>
          <w:b/>
          <w:kern w:val="0"/>
          <w:sz w:val="30"/>
        </w:rPr>
        <w:t>十六、基金的会计与审计</w:t>
      </w:r>
      <w:bookmarkEnd w:id="88"/>
    </w:p>
    <w:p>
      <w:pPr>
        <w:adjustRightInd w:val="0"/>
        <w:snapToGrid w:val="0"/>
        <w:spacing w:line="360" w:lineRule="auto"/>
        <w:ind w:firstLine="482" w:firstLineChars="200"/>
        <w:rPr>
          <w:b/>
          <w:sz w:val="24"/>
        </w:rPr>
      </w:pPr>
      <w:r>
        <w:rPr>
          <w:rFonts w:hAnsi="宋体"/>
          <w:b/>
          <w:sz w:val="24"/>
        </w:rPr>
        <w:t>（一）基金会计政策</w:t>
      </w:r>
      <w:r>
        <w:rPr>
          <w:b/>
          <w:sz w:val="24"/>
        </w:rPr>
        <w:t xml:space="preserve"> </w:t>
      </w:r>
    </w:p>
    <w:p>
      <w:pPr>
        <w:snapToGrid w:val="0"/>
        <w:spacing w:line="360" w:lineRule="auto"/>
        <w:ind w:firstLine="480" w:firstLineChars="200"/>
        <w:rPr>
          <w:bCs/>
          <w:sz w:val="24"/>
        </w:rPr>
      </w:pPr>
      <w:r>
        <w:rPr>
          <w:bCs/>
          <w:sz w:val="24"/>
        </w:rPr>
        <w:t>1、基金管理人为本基金的基金会计责任方；</w:t>
      </w:r>
    </w:p>
    <w:p>
      <w:pPr>
        <w:snapToGrid w:val="0"/>
        <w:spacing w:line="360" w:lineRule="auto"/>
        <w:ind w:firstLine="480" w:firstLineChars="200"/>
        <w:rPr>
          <w:bCs/>
          <w:sz w:val="24"/>
        </w:rPr>
      </w:pPr>
      <w:r>
        <w:rPr>
          <w:bCs/>
          <w:sz w:val="24"/>
        </w:rPr>
        <w:t>2、基金的会计年度为公历年度的1月1日至12月31日；</w:t>
      </w:r>
    </w:p>
    <w:p>
      <w:pPr>
        <w:snapToGrid w:val="0"/>
        <w:spacing w:line="360" w:lineRule="auto"/>
        <w:ind w:firstLine="480" w:firstLineChars="200"/>
        <w:rPr>
          <w:bCs/>
          <w:sz w:val="24"/>
        </w:rPr>
      </w:pPr>
      <w:r>
        <w:rPr>
          <w:bCs/>
          <w:sz w:val="24"/>
        </w:rPr>
        <w:t>3、基金核算以人民币为记账本位币，以人民币元为记账单位；</w:t>
      </w:r>
    </w:p>
    <w:p>
      <w:pPr>
        <w:snapToGrid w:val="0"/>
        <w:spacing w:line="360" w:lineRule="auto"/>
        <w:ind w:firstLine="480" w:firstLineChars="200"/>
        <w:rPr>
          <w:bCs/>
          <w:sz w:val="24"/>
        </w:rPr>
      </w:pPr>
      <w:r>
        <w:rPr>
          <w:bCs/>
          <w:sz w:val="24"/>
        </w:rPr>
        <w:t>4、会计制度执行国家有关会计制度；</w:t>
      </w:r>
    </w:p>
    <w:p>
      <w:pPr>
        <w:snapToGrid w:val="0"/>
        <w:spacing w:line="360" w:lineRule="auto"/>
        <w:ind w:firstLine="480" w:firstLineChars="200"/>
        <w:rPr>
          <w:bCs/>
          <w:sz w:val="24"/>
        </w:rPr>
      </w:pPr>
      <w:r>
        <w:rPr>
          <w:bCs/>
          <w:sz w:val="24"/>
        </w:rPr>
        <w:t>5、本基金独立建账、独立核算；</w:t>
      </w:r>
    </w:p>
    <w:p>
      <w:pPr>
        <w:snapToGrid w:val="0"/>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adjustRightInd w:val="0"/>
        <w:snapToGrid w:val="0"/>
        <w:spacing w:line="360" w:lineRule="auto"/>
        <w:ind w:firstLine="480" w:firstLineChars="200"/>
        <w:rPr>
          <w:color w:val="000000"/>
          <w:sz w:val="24"/>
        </w:rPr>
      </w:pPr>
      <w:r>
        <w:rPr>
          <w:bCs/>
          <w:sz w:val="24"/>
        </w:rPr>
        <w:t>7、基金托管人每月与基金管理人就基金的会计核算、报表编制等进行核对并以书面方式确认。</w:t>
      </w:r>
    </w:p>
    <w:p>
      <w:pPr>
        <w:adjustRightInd w:val="0"/>
        <w:snapToGrid w:val="0"/>
        <w:spacing w:line="360" w:lineRule="auto"/>
        <w:ind w:firstLine="482" w:firstLineChars="200"/>
        <w:rPr>
          <w:b/>
          <w:sz w:val="24"/>
        </w:rPr>
      </w:pPr>
      <w:r>
        <w:rPr>
          <w:rFonts w:hAnsi="宋体"/>
          <w:b/>
          <w:sz w:val="24"/>
        </w:rPr>
        <w:t>（二）基金的年度审计</w:t>
      </w:r>
      <w:r>
        <w:rPr>
          <w:b/>
          <w:sz w:val="24"/>
        </w:rPr>
        <w:t xml:space="preserve"> </w:t>
      </w:r>
    </w:p>
    <w:p>
      <w:pPr>
        <w:spacing w:line="360" w:lineRule="auto"/>
        <w:ind w:firstLine="480" w:firstLineChars="200"/>
        <w:rPr>
          <w:bCs/>
          <w:sz w:val="24"/>
        </w:rPr>
      </w:pPr>
      <w:r>
        <w:rPr>
          <w:bCs/>
          <w:sz w:val="24"/>
        </w:rPr>
        <w:t>1、基金管理人聘请与基金管理人、基金托管人相互独立的具有证券、期货相关</w:t>
      </w:r>
      <w:r>
        <w:rPr>
          <w:rFonts w:hint="eastAsia"/>
          <w:bCs/>
          <w:sz w:val="24"/>
        </w:rPr>
        <w:t>业务</w:t>
      </w:r>
      <w:r>
        <w:rPr>
          <w:bCs/>
          <w:sz w:val="24"/>
        </w:rPr>
        <w:t>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bCs/>
          <w:sz w:val="24"/>
        </w:rPr>
        <w:t>3、基金管理人认为有充足理由更换会计师事务所，须通报基金托管人。更换会计师事务所需依照《信息披露办法》的有关规定在指定媒介公告。</w:t>
      </w:r>
      <w:bookmarkStart w:id="89" w:name="_Hlt4221115"/>
      <w:bookmarkEnd w:id="89"/>
    </w:p>
    <w:p>
      <w:pPr>
        <w:widowControl/>
        <w:adjustRightInd w:val="0"/>
        <w:snapToGrid w:val="0"/>
        <w:spacing w:line="360" w:lineRule="auto"/>
        <w:ind w:firstLine="200"/>
        <w:rPr>
          <w:rFonts w:ascii="宋体" w:hAnsi="宋体"/>
          <w:kern w:val="0"/>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0" w:name="_Toc524440793"/>
      <w:r>
        <w:rPr>
          <w:rFonts w:hint="eastAsia" w:ascii="宋体" w:hAnsi="宋体"/>
          <w:b/>
          <w:kern w:val="0"/>
          <w:sz w:val="30"/>
        </w:rPr>
        <w:t>十七、基金的信息披露</w:t>
      </w:r>
      <w:bookmarkEnd w:id="90"/>
    </w:p>
    <w:p>
      <w:pPr>
        <w:adjustRightInd w:val="0"/>
        <w:snapToGrid w:val="0"/>
        <w:spacing w:line="360" w:lineRule="auto"/>
        <w:ind w:firstLine="482" w:firstLineChars="200"/>
        <w:rPr>
          <w:rFonts w:hAnsi="宋体"/>
          <w:bCs/>
          <w:sz w:val="24"/>
        </w:rPr>
      </w:pPr>
      <w:r>
        <w:rPr>
          <w:rFonts w:hint="eastAsia" w:hAnsi="宋体"/>
          <w:b/>
          <w:bCs/>
          <w:sz w:val="24"/>
        </w:rPr>
        <w:t>（一）</w:t>
      </w:r>
      <w:r>
        <w:rPr>
          <w:rFonts w:hAnsi="宋体"/>
          <w:bCs/>
          <w:sz w:val="24"/>
        </w:rPr>
        <w:t>本基金的信息披露应符合《基金法》、《运作办法》、《信息披露办法》、</w:t>
      </w:r>
      <w:r>
        <w:rPr>
          <w:rFonts w:hint="eastAsia" w:hAnsi="宋体"/>
          <w:bCs/>
          <w:sz w:val="24"/>
        </w:rPr>
        <w:t>《流动性规定》、</w:t>
      </w:r>
      <w:r>
        <w:rPr>
          <w:rFonts w:hAnsi="宋体"/>
          <w:bCs/>
          <w:sz w:val="24"/>
        </w:rPr>
        <w:t>《基金合同》及其他有关规定。</w:t>
      </w:r>
    </w:p>
    <w:p>
      <w:pPr>
        <w:adjustRightInd w:val="0"/>
        <w:snapToGrid w:val="0"/>
        <w:spacing w:line="360" w:lineRule="auto"/>
        <w:ind w:firstLine="482" w:firstLineChars="200"/>
        <w:rPr>
          <w:rFonts w:hAnsi="宋体"/>
          <w:b/>
          <w:bCs/>
          <w:sz w:val="24"/>
        </w:rPr>
      </w:pPr>
      <w:r>
        <w:rPr>
          <w:rFonts w:hAnsi="宋体"/>
          <w:b/>
          <w:bCs/>
          <w:sz w:val="24"/>
        </w:rPr>
        <w:t>（二）信息披露义务人</w:t>
      </w:r>
    </w:p>
    <w:p>
      <w:pPr>
        <w:adjustRightInd w:val="0"/>
        <w:snapToGrid w:val="0"/>
        <w:spacing w:line="360" w:lineRule="auto"/>
        <w:ind w:firstLine="480" w:firstLineChars="200"/>
        <w:rPr>
          <w:rFonts w:hAnsi="宋体"/>
          <w:bCs/>
          <w:sz w:val="24"/>
        </w:rPr>
      </w:pPr>
      <w:r>
        <w:rPr>
          <w:rFonts w:hAnsi="宋体"/>
          <w:bCs/>
          <w:sz w:val="24"/>
        </w:rPr>
        <w:t>本基金信息披露义务人包括基金管理人、基金托管人、召集基金份额持有人大会的基金份额持有人等法律法规和中国证监会规定的自然人、法人和</w:t>
      </w:r>
      <w:r>
        <w:rPr>
          <w:rFonts w:hint="eastAsia" w:hAnsi="宋体"/>
          <w:bCs/>
          <w:sz w:val="24"/>
        </w:rPr>
        <w:t>非法人</w:t>
      </w:r>
      <w:r>
        <w:rPr>
          <w:rFonts w:hAnsi="宋体"/>
          <w:bCs/>
          <w:sz w:val="24"/>
        </w:rPr>
        <w:t>组织。</w:t>
      </w:r>
    </w:p>
    <w:p>
      <w:pPr>
        <w:adjustRightInd w:val="0"/>
        <w:snapToGrid w:val="0"/>
        <w:spacing w:line="360" w:lineRule="auto"/>
        <w:ind w:firstLine="480" w:firstLineChars="200"/>
        <w:rPr>
          <w:rFonts w:hAnsi="宋体"/>
          <w:bCs/>
          <w:sz w:val="24"/>
        </w:rPr>
      </w:pPr>
      <w:r>
        <w:rPr>
          <w:rFonts w:hAnsi="宋体"/>
          <w:bCs/>
          <w:sz w:val="24"/>
        </w:rPr>
        <w:t>本基金信息披露义务人</w:t>
      </w:r>
      <w:r>
        <w:rPr>
          <w:rFonts w:hint="eastAsia" w:hAnsi="宋体"/>
          <w:bCs/>
          <w:sz w:val="24"/>
        </w:rPr>
        <w:t>以保护基金份额持有人利益为根本出发点，</w:t>
      </w:r>
      <w:r>
        <w:rPr>
          <w:rFonts w:hAnsi="宋体"/>
          <w:bCs/>
          <w:sz w:val="24"/>
        </w:rPr>
        <w:t>按照法律法规和中国证监会的规定披露基金信息，并保证所披露信息的真实性、准确性</w:t>
      </w:r>
      <w:r>
        <w:rPr>
          <w:rFonts w:hint="eastAsia" w:hAnsi="宋体"/>
          <w:bCs/>
          <w:sz w:val="24"/>
        </w:rPr>
        <w:t>、</w:t>
      </w:r>
      <w:r>
        <w:rPr>
          <w:rFonts w:hAnsi="宋体"/>
          <w:bCs/>
          <w:sz w:val="24"/>
        </w:rPr>
        <w:t>完整性</w:t>
      </w:r>
      <w:r>
        <w:rPr>
          <w:rFonts w:hint="eastAsia" w:hAnsi="宋体"/>
          <w:bCs/>
          <w:sz w:val="24"/>
        </w:rPr>
        <w:t>、及时性、简明性和易得性</w:t>
      </w:r>
      <w:r>
        <w:rPr>
          <w:rFonts w:hAnsi="宋体"/>
          <w:bCs/>
          <w:sz w:val="24"/>
        </w:rPr>
        <w:t>。</w:t>
      </w:r>
    </w:p>
    <w:p>
      <w:pPr>
        <w:adjustRightInd w:val="0"/>
        <w:snapToGrid w:val="0"/>
        <w:spacing w:line="360" w:lineRule="auto"/>
        <w:ind w:firstLine="480" w:firstLineChars="200"/>
        <w:rPr>
          <w:rFonts w:hAnsi="宋体"/>
          <w:bCs/>
          <w:sz w:val="24"/>
        </w:rPr>
      </w:pPr>
      <w:r>
        <w:rPr>
          <w:rFonts w:hAnsi="宋体"/>
          <w:bCs/>
          <w:sz w:val="24"/>
        </w:rPr>
        <w:t>本基金信息披露义务人应当在中国证监会规定时间内，将应予披露的基金信息通过中国证监会指定</w:t>
      </w:r>
      <w:r>
        <w:rPr>
          <w:rFonts w:hint="eastAsia" w:hAnsi="宋体"/>
          <w:bCs/>
          <w:sz w:val="24"/>
        </w:rPr>
        <w:t>的全国性报刊（以下简称“指定报刊”）及指定互联网网站（以下简称“指定网站”）等</w:t>
      </w:r>
      <w:r>
        <w:rPr>
          <w:rFonts w:hAnsi="宋体"/>
          <w:bCs/>
          <w:sz w:val="24"/>
        </w:rPr>
        <w:t>媒介披露，并保证基金投资者能够按照《基金合同》约定的时间和方式查阅或者复制公开披露的信息资料。</w:t>
      </w:r>
    </w:p>
    <w:p>
      <w:pPr>
        <w:adjustRightInd w:val="0"/>
        <w:snapToGrid w:val="0"/>
        <w:spacing w:line="360" w:lineRule="auto"/>
        <w:ind w:firstLine="482" w:firstLineChars="200"/>
        <w:rPr>
          <w:rFonts w:hAnsi="宋体"/>
          <w:b/>
          <w:bCs/>
          <w:sz w:val="24"/>
        </w:rPr>
      </w:pPr>
      <w:r>
        <w:rPr>
          <w:rFonts w:hAnsi="宋体"/>
          <w:b/>
          <w:bCs/>
          <w:sz w:val="24"/>
        </w:rPr>
        <w:t>（三）本基金信息披露义务人承诺公开披露的基金信息，不得有下列行为：</w:t>
      </w:r>
    </w:p>
    <w:p>
      <w:pPr>
        <w:adjustRightInd w:val="0"/>
        <w:snapToGrid w:val="0"/>
        <w:spacing w:line="360" w:lineRule="auto"/>
        <w:ind w:firstLine="480" w:firstLineChars="200"/>
        <w:rPr>
          <w:rFonts w:hAnsi="宋体"/>
          <w:bCs/>
          <w:sz w:val="24"/>
        </w:rPr>
      </w:pPr>
      <w:r>
        <w:rPr>
          <w:rFonts w:hAnsi="宋体"/>
          <w:bCs/>
          <w:sz w:val="24"/>
        </w:rPr>
        <w:t>1、虚假记载、误导性陈述或者重大遗漏；</w:t>
      </w:r>
    </w:p>
    <w:p>
      <w:pPr>
        <w:adjustRightInd w:val="0"/>
        <w:snapToGrid w:val="0"/>
        <w:spacing w:line="360" w:lineRule="auto"/>
        <w:ind w:firstLine="480" w:firstLineChars="200"/>
        <w:rPr>
          <w:rFonts w:hAnsi="宋体"/>
          <w:bCs/>
          <w:sz w:val="24"/>
        </w:rPr>
      </w:pPr>
      <w:r>
        <w:rPr>
          <w:rFonts w:hAnsi="宋体"/>
          <w:bCs/>
          <w:sz w:val="24"/>
        </w:rPr>
        <w:t>2、对证券投资业绩进行预测；</w:t>
      </w:r>
    </w:p>
    <w:p>
      <w:pPr>
        <w:adjustRightInd w:val="0"/>
        <w:snapToGrid w:val="0"/>
        <w:spacing w:line="360" w:lineRule="auto"/>
        <w:ind w:firstLine="480" w:firstLineChars="200"/>
        <w:rPr>
          <w:rFonts w:hAnsi="宋体"/>
          <w:bCs/>
          <w:sz w:val="24"/>
        </w:rPr>
      </w:pPr>
      <w:r>
        <w:rPr>
          <w:rFonts w:hAnsi="宋体"/>
          <w:bCs/>
          <w:sz w:val="24"/>
        </w:rPr>
        <w:t>3、违规承诺收益或者承担损失；</w:t>
      </w:r>
    </w:p>
    <w:p>
      <w:pPr>
        <w:adjustRightInd w:val="0"/>
        <w:snapToGrid w:val="0"/>
        <w:spacing w:line="360" w:lineRule="auto"/>
        <w:ind w:firstLine="480" w:firstLineChars="200"/>
        <w:rPr>
          <w:rFonts w:hAnsi="宋体"/>
          <w:bCs/>
          <w:sz w:val="24"/>
        </w:rPr>
      </w:pPr>
      <w:r>
        <w:rPr>
          <w:rFonts w:hAnsi="宋体"/>
          <w:bCs/>
          <w:sz w:val="24"/>
        </w:rPr>
        <w:t>4、诋毁其他基金管理人、基金托管人或者基金销售机构；</w:t>
      </w:r>
    </w:p>
    <w:p>
      <w:pPr>
        <w:adjustRightInd w:val="0"/>
        <w:snapToGrid w:val="0"/>
        <w:spacing w:line="360" w:lineRule="auto"/>
        <w:ind w:firstLine="480" w:firstLineChars="200"/>
        <w:rPr>
          <w:rFonts w:hAnsi="宋体"/>
          <w:bCs/>
          <w:sz w:val="24"/>
        </w:rPr>
      </w:pPr>
      <w:r>
        <w:rPr>
          <w:rFonts w:hAnsi="宋体"/>
          <w:bCs/>
          <w:sz w:val="24"/>
        </w:rPr>
        <w:t>5、登载任何自然人、法人</w:t>
      </w:r>
      <w:r>
        <w:rPr>
          <w:rFonts w:hint="eastAsia" w:hAnsi="宋体"/>
          <w:bCs/>
          <w:sz w:val="24"/>
        </w:rPr>
        <w:t>和</w:t>
      </w:r>
      <w:r>
        <w:rPr>
          <w:rFonts w:hAnsi="宋体"/>
          <w:bCs/>
          <w:sz w:val="24"/>
        </w:rPr>
        <w:t>非法人组织的祝贺性、恭维性或推荐性的文字；</w:t>
      </w:r>
    </w:p>
    <w:p>
      <w:pPr>
        <w:adjustRightInd w:val="0"/>
        <w:snapToGrid w:val="0"/>
        <w:spacing w:line="360" w:lineRule="auto"/>
        <w:ind w:firstLine="480" w:firstLineChars="200"/>
        <w:rPr>
          <w:rFonts w:hAnsi="宋体"/>
          <w:bCs/>
          <w:sz w:val="24"/>
        </w:rPr>
      </w:pPr>
      <w:r>
        <w:rPr>
          <w:rFonts w:hAnsi="宋体"/>
          <w:bCs/>
          <w:sz w:val="24"/>
        </w:rPr>
        <w:t>6、中国证监会禁止的其他行为。</w:t>
      </w:r>
    </w:p>
    <w:p>
      <w:pPr>
        <w:adjustRightInd w:val="0"/>
        <w:snapToGrid w:val="0"/>
        <w:spacing w:line="360" w:lineRule="auto"/>
        <w:ind w:firstLine="482" w:firstLineChars="200"/>
        <w:rPr>
          <w:rFonts w:hAnsi="宋体"/>
          <w:bCs/>
          <w:sz w:val="24"/>
        </w:rPr>
      </w:pPr>
      <w:r>
        <w:rPr>
          <w:rFonts w:hAnsi="宋体"/>
          <w:b/>
          <w:bCs/>
          <w:sz w:val="24"/>
        </w:rPr>
        <w:t>（四）</w:t>
      </w:r>
      <w:r>
        <w:rPr>
          <w:rFonts w:hAnsi="宋体"/>
          <w:bCs/>
          <w:sz w:val="24"/>
        </w:rPr>
        <w:t>本基金公开披露的信息应采用中文文本。如同时采用外文文本的，基金信息披露义务人应保证</w:t>
      </w:r>
      <w:r>
        <w:rPr>
          <w:rFonts w:hint="eastAsia" w:hAnsi="宋体"/>
          <w:bCs/>
          <w:sz w:val="24"/>
        </w:rPr>
        <w:t>不同</w:t>
      </w:r>
      <w:r>
        <w:rPr>
          <w:rFonts w:hAnsi="宋体"/>
          <w:bCs/>
          <w:sz w:val="24"/>
        </w:rPr>
        <w:t>文本的内容一致。</w:t>
      </w:r>
      <w:r>
        <w:rPr>
          <w:rFonts w:hint="eastAsia" w:hAnsi="宋体"/>
          <w:bCs/>
          <w:sz w:val="24"/>
        </w:rPr>
        <w:t>不同</w:t>
      </w:r>
      <w:r>
        <w:rPr>
          <w:rFonts w:hAnsi="宋体"/>
          <w:bCs/>
          <w:sz w:val="24"/>
        </w:rPr>
        <w:t>文本之间发生歧义的，以中文文本为准。</w:t>
      </w:r>
    </w:p>
    <w:p>
      <w:pPr>
        <w:adjustRightInd w:val="0"/>
        <w:snapToGrid w:val="0"/>
        <w:spacing w:line="360" w:lineRule="auto"/>
        <w:ind w:firstLine="480" w:firstLineChars="200"/>
        <w:rPr>
          <w:rFonts w:hAnsi="宋体"/>
          <w:bCs/>
          <w:sz w:val="24"/>
        </w:rPr>
      </w:pPr>
      <w:r>
        <w:rPr>
          <w:rFonts w:hAnsi="宋体"/>
          <w:bCs/>
          <w:sz w:val="24"/>
        </w:rPr>
        <w:t>本基金公开披露的信息采用阿拉伯数字；除特别说明外，货币单位为人民币元。</w:t>
      </w:r>
    </w:p>
    <w:p>
      <w:pPr>
        <w:adjustRightInd w:val="0"/>
        <w:snapToGrid w:val="0"/>
        <w:spacing w:line="360" w:lineRule="auto"/>
        <w:ind w:firstLine="482" w:firstLineChars="200"/>
        <w:rPr>
          <w:rFonts w:hAnsi="宋体"/>
          <w:b/>
          <w:bCs/>
          <w:sz w:val="24"/>
        </w:rPr>
      </w:pPr>
      <w:r>
        <w:rPr>
          <w:rFonts w:hAnsi="宋体"/>
          <w:b/>
          <w:bCs/>
          <w:sz w:val="24"/>
        </w:rPr>
        <w:t>（五）公开披露的基金信息</w:t>
      </w:r>
    </w:p>
    <w:p>
      <w:pPr>
        <w:adjustRightInd w:val="0"/>
        <w:snapToGrid w:val="0"/>
        <w:spacing w:line="360" w:lineRule="auto"/>
        <w:ind w:firstLine="480" w:firstLineChars="200"/>
        <w:rPr>
          <w:rFonts w:hAnsi="宋体"/>
          <w:bCs/>
          <w:sz w:val="24"/>
        </w:rPr>
      </w:pPr>
      <w:r>
        <w:rPr>
          <w:rFonts w:hAnsi="宋体"/>
          <w:bCs/>
          <w:sz w:val="24"/>
        </w:rPr>
        <w:t>公开披露的基金信息包括：</w:t>
      </w:r>
    </w:p>
    <w:p>
      <w:pPr>
        <w:adjustRightInd w:val="0"/>
        <w:snapToGrid w:val="0"/>
        <w:spacing w:line="360" w:lineRule="auto"/>
        <w:ind w:firstLine="480" w:firstLineChars="200"/>
        <w:rPr>
          <w:rFonts w:hAnsi="宋体"/>
          <w:bCs/>
          <w:sz w:val="24"/>
        </w:rPr>
      </w:pPr>
      <w:r>
        <w:rPr>
          <w:rFonts w:hAnsi="宋体"/>
          <w:bCs/>
          <w:sz w:val="24"/>
        </w:rPr>
        <w:t>1</w:t>
      </w:r>
      <w:r>
        <w:rPr>
          <w:rFonts w:hint="eastAsia" w:hAnsi="宋体"/>
          <w:bCs/>
          <w:sz w:val="24"/>
        </w:rPr>
        <w:t>、</w:t>
      </w:r>
      <w:r>
        <w:rPr>
          <w:rFonts w:hAnsi="宋体"/>
          <w:bCs/>
          <w:sz w:val="24"/>
        </w:rPr>
        <w:t>基金招募说明书、《基金合同》、基金托管协议</w:t>
      </w:r>
      <w:r>
        <w:rPr>
          <w:rFonts w:hint="eastAsia" w:hAnsi="宋体"/>
          <w:bCs/>
          <w:sz w:val="24"/>
        </w:rPr>
        <w:t>、</w:t>
      </w:r>
      <w:r>
        <w:rPr>
          <w:rFonts w:hAnsi="宋体"/>
          <w:bCs/>
          <w:sz w:val="24"/>
        </w:rPr>
        <w:t>基金产品资料概要</w:t>
      </w:r>
    </w:p>
    <w:p>
      <w:pPr>
        <w:adjustRightInd w:val="0"/>
        <w:snapToGrid w:val="0"/>
        <w:spacing w:line="360" w:lineRule="auto"/>
        <w:ind w:firstLine="480" w:firstLineChars="200"/>
        <w:rPr>
          <w:rFonts w:hAnsi="宋体"/>
          <w:bCs/>
          <w:sz w:val="24"/>
        </w:rPr>
      </w:pPr>
      <w:r>
        <w:rPr>
          <w:rFonts w:hint="eastAsia" w:hAnsi="宋体"/>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bCs/>
          <w:sz w:val="24"/>
        </w:rPr>
      </w:pPr>
      <w:r>
        <w:rPr>
          <w:rFonts w:hint="eastAsia" w:hAnsi="宋体"/>
          <w:bCs/>
          <w:sz w:val="24"/>
        </w:rPr>
        <w:t>（2）</w:t>
      </w:r>
      <w:r>
        <w:rPr>
          <w:rFonts w:hAnsi="宋体"/>
          <w:bCs/>
          <w:sz w:val="24"/>
        </w:rPr>
        <w:t>基金招募说明书应当最大限度地披露影响基金投资者决策的全部事项，说明基金认购、申购和赎回安排、基金投资、基金产品特性、风险揭示、信息披露及基金份额持有人服务等内容。</w:t>
      </w:r>
      <w:r>
        <w:rPr>
          <w:rFonts w:hint="eastAsia" w:hAnsi="宋体"/>
          <w:bCs/>
          <w:sz w:val="24"/>
        </w:rPr>
        <w:t>自基金</w:t>
      </w:r>
      <w:r>
        <w:rPr>
          <w:rFonts w:hAnsi="宋体"/>
          <w:bCs/>
          <w:sz w:val="24"/>
        </w:rPr>
        <w:t>合同生效日起，</w:t>
      </w:r>
      <w:r>
        <w:rPr>
          <w:rFonts w:hint="eastAsia" w:hAnsi="宋体"/>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djustRightInd w:val="0"/>
        <w:snapToGrid w:val="0"/>
        <w:spacing w:line="360" w:lineRule="auto"/>
        <w:ind w:firstLine="480" w:firstLineChars="200"/>
        <w:rPr>
          <w:rFonts w:hAnsi="宋体"/>
          <w:bCs/>
          <w:sz w:val="24"/>
        </w:rPr>
      </w:pPr>
      <w:r>
        <w:rPr>
          <w:rFonts w:hint="eastAsia" w:hAnsi="宋体"/>
          <w:bCs/>
          <w:sz w:val="24"/>
        </w:rPr>
        <w:t>（3）</w:t>
      </w:r>
      <w:r>
        <w:rPr>
          <w:rFonts w:hAnsi="宋体"/>
          <w:bCs/>
          <w:sz w:val="24"/>
        </w:rPr>
        <w:t>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rFonts w:hAnsi="宋体"/>
          <w:bCs/>
          <w:sz w:val="24"/>
        </w:rPr>
      </w:pPr>
      <w:r>
        <w:rPr>
          <w:rFonts w:hint="eastAsia" w:hAnsi="宋体"/>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bCs/>
          <w:sz w:val="24"/>
        </w:rPr>
      </w:pPr>
      <w:r>
        <w:rPr>
          <w:rFonts w:hint="eastAsia" w:hAnsi="宋体"/>
          <w:bCs/>
          <w:sz w:val="24"/>
        </w:rPr>
        <w:t>本基金由交银施罗德中证环境治理指数分级证券投资基金转型而来，</w:t>
      </w:r>
      <w:r>
        <w:rPr>
          <w:rFonts w:hAnsi="宋体"/>
          <w:bCs/>
          <w:sz w:val="24"/>
        </w:rPr>
        <w:t>经中国证监会</w:t>
      </w:r>
      <w:r>
        <w:rPr>
          <w:rFonts w:hint="eastAsia" w:hAnsi="宋体"/>
          <w:bCs/>
          <w:sz w:val="24"/>
        </w:rPr>
        <w:t>注册</w:t>
      </w:r>
      <w:r>
        <w:rPr>
          <w:rFonts w:hAnsi="宋体"/>
          <w:bCs/>
          <w:sz w:val="24"/>
        </w:rPr>
        <w:t>后，基金管理人</w:t>
      </w:r>
      <w:r>
        <w:rPr>
          <w:rFonts w:hint="eastAsia" w:hAnsi="宋体"/>
          <w:bCs/>
          <w:sz w:val="24"/>
        </w:rPr>
        <w:t>按照《基金法》、《信息披露办法》、基金合同编制并在本基金正式实施转型</w:t>
      </w:r>
      <w:r>
        <w:rPr>
          <w:rFonts w:hAnsi="宋体"/>
          <w:bCs/>
          <w:sz w:val="24"/>
        </w:rPr>
        <w:t>前，将基金招募说明书、《基金合同》摘要登载在指定</w:t>
      </w:r>
      <w:r>
        <w:rPr>
          <w:rFonts w:hint="eastAsia" w:hAnsi="宋体"/>
          <w:bCs/>
          <w:sz w:val="24"/>
        </w:rPr>
        <w:t>媒介</w:t>
      </w:r>
      <w:r>
        <w:rPr>
          <w:rFonts w:hAnsi="宋体"/>
          <w:bCs/>
          <w:sz w:val="24"/>
        </w:rPr>
        <w:t>上；基金管理人、基金托管人应当将《基金合同》、基金托管协议登载在网站上。</w:t>
      </w:r>
    </w:p>
    <w:p>
      <w:pPr>
        <w:adjustRightInd w:val="0"/>
        <w:snapToGrid w:val="0"/>
        <w:spacing w:line="360" w:lineRule="auto"/>
        <w:ind w:firstLine="480" w:firstLineChars="200"/>
        <w:rPr>
          <w:rFonts w:hAnsi="宋体"/>
          <w:bCs/>
          <w:sz w:val="24"/>
        </w:rPr>
      </w:pPr>
      <w:r>
        <w:rPr>
          <w:rFonts w:hint="eastAsia" w:hAnsi="宋体"/>
          <w:bCs/>
          <w:sz w:val="24"/>
        </w:rPr>
        <w:t>2、上市交易公告书</w:t>
      </w:r>
    </w:p>
    <w:p>
      <w:pPr>
        <w:adjustRightInd w:val="0"/>
        <w:snapToGrid w:val="0"/>
        <w:spacing w:line="360" w:lineRule="auto"/>
        <w:ind w:firstLine="480" w:firstLineChars="200"/>
        <w:rPr>
          <w:rFonts w:hAnsi="宋体"/>
          <w:bCs/>
          <w:sz w:val="24"/>
        </w:rPr>
      </w:pPr>
      <w:r>
        <w:rPr>
          <w:rFonts w:hint="eastAsia" w:hAnsi="宋体"/>
          <w:bCs/>
          <w:sz w:val="24"/>
        </w:rPr>
        <w:t>本基金获准在深圳证券交易所上市交易的，基金管理人应当在基金份额上市交易</w:t>
      </w:r>
      <w:r>
        <w:rPr>
          <w:rFonts w:hAnsi="宋体"/>
          <w:bCs/>
          <w:sz w:val="24"/>
        </w:rPr>
        <w:t>3</w:t>
      </w:r>
      <w:r>
        <w:rPr>
          <w:rFonts w:hint="eastAsia" w:hAnsi="宋体"/>
          <w:bCs/>
          <w:sz w:val="24"/>
        </w:rPr>
        <w:t>个工作日前，将上市交易公告书登载在指定网站上，并将上市公告交易书提示性公告登载在指定报刊上。</w:t>
      </w:r>
    </w:p>
    <w:p>
      <w:pPr>
        <w:adjustRightInd w:val="0"/>
        <w:snapToGrid w:val="0"/>
        <w:spacing w:line="360" w:lineRule="auto"/>
        <w:ind w:firstLine="480" w:firstLineChars="200"/>
        <w:rPr>
          <w:rFonts w:hAnsi="宋体"/>
          <w:bCs/>
          <w:sz w:val="24"/>
        </w:rPr>
      </w:pPr>
      <w:r>
        <w:rPr>
          <w:rFonts w:hAnsi="宋体"/>
          <w:bCs/>
          <w:sz w:val="24"/>
        </w:rPr>
        <w:t>3</w:t>
      </w:r>
      <w:r>
        <w:rPr>
          <w:rFonts w:hint="eastAsia" w:hAnsi="宋体"/>
          <w:bCs/>
          <w:sz w:val="24"/>
        </w:rPr>
        <w:t>、</w:t>
      </w:r>
      <w:r>
        <w:rPr>
          <w:rFonts w:hAnsi="宋体"/>
          <w:bCs/>
          <w:sz w:val="24"/>
        </w:rPr>
        <w:t>基金净值信息</w:t>
      </w:r>
    </w:p>
    <w:p>
      <w:pPr>
        <w:adjustRightInd w:val="0"/>
        <w:snapToGrid w:val="0"/>
        <w:spacing w:line="360" w:lineRule="auto"/>
        <w:ind w:firstLine="480" w:firstLineChars="200"/>
        <w:rPr>
          <w:rFonts w:hAnsi="宋体"/>
          <w:bCs/>
          <w:sz w:val="24"/>
        </w:rPr>
      </w:pPr>
      <w:r>
        <w:rPr>
          <w:rFonts w:hAnsi="宋体"/>
          <w:bCs/>
          <w:sz w:val="24"/>
        </w:rPr>
        <w:t>《基金合同》生效后，在开始办理</w:t>
      </w:r>
      <w:r>
        <w:rPr>
          <w:rFonts w:hint="eastAsia" w:hAnsi="宋体"/>
          <w:bCs/>
          <w:sz w:val="24"/>
        </w:rPr>
        <w:t>基金份额</w:t>
      </w:r>
      <w:r>
        <w:rPr>
          <w:rFonts w:hAnsi="宋体"/>
          <w:bCs/>
          <w:sz w:val="24"/>
        </w:rPr>
        <w:t>申购或者赎回前，基金管理人应当至少每周</w:t>
      </w:r>
      <w:r>
        <w:rPr>
          <w:rFonts w:hint="eastAsia" w:hAnsi="宋体"/>
          <w:bCs/>
          <w:sz w:val="24"/>
        </w:rPr>
        <w:t>在指定网站披露</w:t>
      </w:r>
      <w:r>
        <w:rPr>
          <w:rFonts w:hAnsi="宋体"/>
          <w:bCs/>
          <w:sz w:val="24"/>
        </w:rPr>
        <w:t>一次基金份额净值和基金份额</w:t>
      </w:r>
      <w:r>
        <w:rPr>
          <w:rFonts w:hint="eastAsia" w:hAnsi="宋体"/>
          <w:bCs/>
          <w:sz w:val="24"/>
        </w:rPr>
        <w:t>累计</w:t>
      </w:r>
      <w:r>
        <w:rPr>
          <w:rFonts w:hAnsi="宋体"/>
          <w:bCs/>
          <w:sz w:val="24"/>
        </w:rPr>
        <w:t>净值。</w:t>
      </w:r>
    </w:p>
    <w:p>
      <w:pPr>
        <w:adjustRightInd w:val="0"/>
        <w:snapToGrid w:val="0"/>
        <w:spacing w:line="360" w:lineRule="auto"/>
        <w:ind w:firstLine="480" w:firstLineChars="200"/>
        <w:rPr>
          <w:rFonts w:hAnsi="宋体"/>
          <w:bCs/>
          <w:sz w:val="24"/>
        </w:rPr>
      </w:pPr>
      <w:r>
        <w:rPr>
          <w:rFonts w:hAnsi="宋体"/>
          <w:bCs/>
          <w:sz w:val="24"/>
        </w:rPr>
        <w:t>在开始办理</w:t>
      </w:r>
      <w:r>
        <w:rPr>
          <w:rFonts w:hint="eastAsia" w:hAnsi="宋体"/>
          <w:bCs/>
          <w:sz w:val="24"/>
        </w:rPr>
        <w:t>基金份额</w:t>
      </w:r>
      <w:r>
        <w:rPr>
          <w:rFonts w:hAnsi="宋体"/>
          <w:bCs/>
          <w:sz w:val="24"/>
        </w:rPr>
        <w:t>申购或者赎回后，基金管理人应当在不晚于每个开放日的次日，通过指定网站、基金</w:t>
      </w:r>
      <w:r>
        <w:rPr>
          <w:rFonts w:hint="eastAsia" w:hAnsi="宋体"/>
          <w:bCs/>
          <w:sz w:val="24"/>
        </w:rPr>
        <w:t>销售机构网站或者营业</w:t>
      </w:r>
      <w:r>
        <w:rPr>
          <w:rFonts w:hAnsi="宋体"/>
          <w:bCs/>
          <w:sz w:val="24"/>
        </w:rPr>
        <w:t>网点披露开放日的基金份额净值和基金份额累计净值。</w:t>
      </w:r>
    </w:p>
    <w:p>
      <w:pPr>
        <w:adjustRightInd w:val="0"/>
        <w:snapToGrid w:val="0"/>
        <w:spacing w:line="360" w:lineRule="auto"/>
        <w:ind w:firstLine="480" w:firstLineChars="200"/>
        <w:rPr>
          <w:rFonts w:hAnsi="宋体"/>
          <w:bCs/>
          <w:sz w:val="24"/>
        </w:rPr>
      </w:pPr>
      <w:r>
        <w:rPr>
          <w:rFonts w:hAnsi="宋体"/>
          <w:bCs/>
          <w:sz w:val="24"/>
        </w:rPr>
        <w:t>基金管理人应当</w:t>
      </w:r>
      <w:r>
        <w:rPr>
          <w:rFonts w:hint="eastAsia" w:hAnsi="宋体"/>
          <w:bCs/>
          <w:sz w:val="24"/>
        </w:rPr>
        <w:t>在不晚于半年度和年度最后一日的次日，在指定网站披露半年度和年度最后一日的基金份额净值和基金份额累计净值</w:t>
      </w:r>
      <w:r>
        <w:rPr>
          <w:rFonts w:hAnsi="宋体"/>
          <w:bCs/>
          <w:sz w:val="24"/>
        </w:rPr>
        <w:t>。</w:t>
      </w:r>
    </w:p>
    <w:p>
      <w:pPr>
        <w:adjustRightInd w:val="0"/>
        <w:snapToGrid w:val="0"/>
        <w:spacing w:line="360" w:lineRule="auto"/>
        <w:ind w:firstLine="480" w:firstLineChars="200"/>
        <w:rPr>
          <w:rFonts w:hAnsi="宋体"/>
          <w:bCs/>
          <w:sz w:val="24"/>
        </w:rPr>
      </w:pPr>
      <w:r>
        <w:rPr>
          <w:rFonts w:hAnsi="宋体"/>
          <w:bCs/>
          <w:sz w:val="24"/>
        </w:rPr>
        <w:t>4</w:t>
      </w:r>
      <w:r>
        <w:rPr>
          <w:rFonts w:hint="eastAsia" w:hAnsi="宋体"/>
          <w:bCs/>
          <w:sz w:val="24"/>
        </w:rPr>
        <w:t>、基金份额</w:t>
      </w:r>
      <w:r>
        <w:rPr>
          <w:rFonts w:hAnsi="宋体"/>
          <w:bCs/>
          <w:sz w:val="24"/>
        </w:rPr>
        <w:t>申购、赎回价格</w:t>
      </w:r>
    </w:p>
    <w:p>
      <w:pPr>
        <w:adjustRightInd w:val="0"/>
        <w:snapToGrid w:val="0"/>
        <w:spacing w:line="360" w:lineRule="auto"/>
        <w:ind w:firstLine="480" w:firstLineChars="200"/>
        <w:rPr>
          <w:rFonts w:hAnsi="宋体"/>
          <w:bCs/>
          <w:sz w:val="24"/>
        </w:rPr>
      </w:pPr>
      <w:r>
        <w:rPr>
          <w:rFonts w:hAnsi="宋体"/>
          <w:bCs/>
          <w:sz w:val="24"/>
        </w:rPr>
        <w:t>基金管理人应当在《基金合同》、招募说明书等信息披露文件上载明</w:t>
      </w:r>
      <w:r>
        <w:rPr>
          <w:rFonts w:hint="eastAsia" w:hAnsi="宋体"/>
          <w:bCs/>
          <w:sz w:val="24"/>
        </w:rPr>
        <w:t>基金份额</w:t>
      </w:r>
      <w:r>
        <w:rPr>
          <w:rFonts w:hAnsi="宋体"/>
          <w:bCs/>
          <w:sz w:val="24"/>
        </w:rPr>
        <w:t>申购、赎回价格的计算方式及有关申购、赎回费率，并保证投资者能够在基金</w:t>
      </w:r>
      <w:r>
        <w:rPr>
          <w:rFonts w:hint="eastAsia" w:hAnsi="宋体"/>
          <w:bCs/>
          <w:sz w:val="24"/>
        </w:rPr>
        <w:t>销售机构网站或者营业</w:t>
      </w:r>
      <w:r>
        <w:rPr>
          <w:rFonts w:hAnsi="宋体"/>
          <w:bCs/>
          <w:sz w:val="24"/>
        </w:rPr>
        <w:t>网点查阅或者复制前述信息资料。</w:t>
      </w:r>
    </w:p>
    <w:p>
      <w:pPr>
        <w:adjustRightInd w:val="0"/>
        <w:snapToGrid w:val="0"/>
        <w:spacing w:line="360" w:lineRule="auto"/>
        <w:ind w:firstLine="480" w:firstLineChars="200"/>
        <w:rPr>
          <w:rFonts w:hAnsi="宋体"/>
          <w:bCs/>
          <w:sz w:val="24"/>
        </w:rPr>
      </w:pPr>
      <w:r>
        <w:rPr>
          <w:rFonts w:hAnsi="宋体"/>
          <w:bCs/>
          <w:sz w:val="24"/>
        </w:rPr>
        <w:t>5</w:t>
      </w:r>
      <w:r>
        <w:rPr>
          <w:rFonts w:hint="eastAsia" w:hAnsi="宋体"/>
          <w:bCs/>
          <w:sz w:val="24"/>
        </w:rPr>
        <w:t>、</w:t>
      </w:r>
      <w:r>
        <w:rPr>
          <w:rFonts w:hAnsi="宋体"/>
          <w:bCs/>
          <w:sz w:val="24"/>
        </w:rPr>
        <w:t>基金定期报告，包括基金年度报告、基金</w:t>
      </w:r>
      <w:r>
        <w:rPr>
          <w:rFonts w:hint="eastAsia" w:hAnsi="宋体"/>
          <w:bCs/>
          <w:sz w:val="24"/>
        </w:rPr>
        <w:t>中期</w:t>
      </w:r>
      <w:r>
        <w:rPr>
          <w:rFonts w:hAnsi="宋体"/>
          <w:bCs/>
          <w:sz w:val="24"/>
        </w:rPr>
        <w:t>报告和基金季度报告</w:t>
      </w:r>
    </w:p>
    <w:p>
      <w:pPr>
        <w:adjustRightInd w:val="0"/>
        <w:snapToGrid w:val="0"/>
        <w:spacing w:line="360" w:lineRule="auto"/>
        <w:ind w:firstLine="480" w:firstLineChars="200"/>
        <w:rPr>
          <w:rFonts w:hAnsi="宋体"/>
          <w:bCs/>
          <w:sz w:val="24"/>
        </w:rPr>
      </w:pPr>
      <w:r>
        <w:rPr>
          <w:rFonts w:hAnsi="宋体"/>
          <w:bCs/>
          <w:sz w:val="24"/>
        </w:rPr>
        <w:t>基金管理人应当在每年结束之日起</w:t>
      </w:r>
      <w:r>
        <w:rPr>
          <w:rFonts w:hint="eastAsia" w:hAnsi="宋体"/>
          <w:bCs/>
          <w:sz w:val="24"/>
        </w:rPr>
        <w:t>三个月</w:t>
      </w:r>
      <w:r>
        <w:rPr>
          <w:rFonts w:hAnsi="宋体"/>
          <w:bCs/>
          <w:sz w:val="24"/>
        </w:rPr>
        <w:t>内，编制完成基金年度报告，</w:t>
      </w:r>
      <w:r>
        <w:rPr>
          <w:rFonts w:hint="eastAsia" w:hAnsi="宋体"/>
          <w:bCs/>
          <w:sz w:val="24"/>
        </w:rPr>
        <w:t>将年度报告登载在指定网站上，并将年度报告提示性公告登载在指定报刊上</w:t>
      </w:r>
      <w:r>
        <w:rPr>
          <w:rFonts w:hAnsi="宋体"/>
          <w:bCs/>
          <w:sz w:val="24"/>
        </w:rPr>
        <w:t>。基金年度报告中的财务会计报告应当经过</w:t>
      </w:r>
      <w:r>
        <w:rPr>
          <w:rFonts w:hint="eastAsia" w:hAnsi="宋体"/>
          <w:bCs/>
          <w:sz w:val="24"/>
        </w:rPr>
        <w:t>具有证券、期货相关业务资格的会计师事务所</w:t>
      </w:r>
      <w:r>
        <w:rPr>
          <w:rFonts w:hAnsi="宋体"/>
          <w:bCs/>
          <w:sz w:val="24"/>
        </w:rPr>
        <w:t>审计。</w:t>
      </w:r>
    </w:p>
    <w:p>
      <w:pPr>
        <w:adjustRightInd w:val="0"/>
        <w:snapToGrid w:val="0"/>
        <w:spacing w:line="360" w:lineRule="auto"/>
        <w:ind w:firstLine="480" w:firstLineChars="200"/>
        <w:rPr>
          <w:rFonts w:hAnsi="宋体"/>
          <w:bCs/>
          <w:sz w:val="24"/>
        </w:rPr>
      </w:pPr>
      <w:r>
        <w:rPr>
          <w:rFonts w:hAnsi="宋体"/>
          <w:bCs/>
          <w:sz w:val="24"/>
        </w:rPr>
        <w:t>基金管理人应当在上半年结束之日起</w:t>
      </w:r>
      <w:r>
        <w:rPr>
          <w:rFonts w:hint="eastAsia" w:hAnsi="宋体"/>
          <w:bCs/>
          <w:sz w:val="24"/>
        </w:rPr>
        <w:t>两个月</w:t>
      </w:r>
      <w:r>
        <w:rPr>
          <w:rFonts w:hAnsi="宋体"/>
          <w:bCs/>
          <w:sz w:val="24"/>
        </w:rPr>
        <w:t>内，编制完成基金</w:t>
      </w:r>
      <w:r>
        <w:rPr>
          <w:rFonts w:hint="eastAsia" w:hAnsi="宋体"/>
          <w:bCs/>
          <w:sz w:val="24"/>
        </w:rPr>
        <w:t>中期</w:t>
      </w:r>
      <w:r>
        <w:rPr>
          <w:rFonts w:hAnsi="宋体"/>
          <w:bCs/>
          <w:sz w:val="24"/>
        </w:rPr>
        <w:t>报告，</w:t>
      </w:r>
      <w:r>
        <w:rPr>
          <w:rFonts w:hint="eastAsia" w:hAnsi="宋体"/>
          <w:bCs/>
          <w:sz w:val="24"/>
        </w:rPr>
        <w:t>将中期报告登载在指定网站上，并将中期报告提示性公告登载在指定报刊上</w:t>
      </w:r>
      <w:r>
        <w:rPr>
          <w:rFonts w:hAnsi="宋体"/>
          <w:bCs/>
          <w:sz w:val="24"/>
        </w:rPr>
        <w:t>。</w:t>
      </w:r>
    </w:p>
    <w:p>
      <w:pPr>
        <w:adjustRightInd w:val="0"/>
        <w:snapToGrid w:val="0"/>
        <w:spacing w:line="360" w:lineRule="auto"/>
        <w:ind w:firstLine="480" w:firstLineChars="200"/>
        <w:rPr>
          <w:rFonts w:hAnsi="宋体"/>
          <w:bCs/>
          <w:sz w:val="24"/>
        </w:rPr>
      </w:pPr>
      <w:r>
        <w:rPr>
          <w:rFonts w:hAnsi="宋体"/>
          <w:bCs/>
          <w:sz w:val="24"/>
        </w:rPr>
        <w:t>基金管理人应当在季度结束之日起15个工作日内，编制完成基金季度报告，</w:t>
      </w:r>
      <w:r>
        <w:rPr>
          <w:rFonts w:hint="eastAsia" w:hAnsi="宋体"/>
          <w:bCs/>
          <w:sz w:val="24"/>
        </w:rPr>
        <w:t>将季度报告登载在指定网站上，</w:t>
      </w:r>
      <w:r>
        <w:rPr>
          <w:rFonts w:hAnsi="宋体"/>
          <w:bCs/>
          <w:sz w:val="24"/>
        </w:rPr>
        <w:t>并将季度报告提示性公</w:t>
      </w:r>
      <w:r>
        <w:rPr>
          <w:rFonts w:hint="eastAsia" w:hAnsi="宋体"/>
          <w:bCs/>
          <w:sz w:val="24"/>
        </w:rPr>
        <w:t>告</w:t>
      </w:r>
      <w:r>
        <w:rPr>
          <w:rFonts w:hAnsi="宋体"/>
          <w:bCs/>
          <w:sz w:val="24"/>
        </w:rPr>
        <w:t>登载在指定</w:t>
      </w:r>
      <w:r>
        <w:rPr>
          <w:rFonts w:hint="eastAsia" w:hAnsi="宋体"/>
          <w:bCs/>
          <w:sz w:val="24"/>
        </w:rPr>
        <w:t>报刊</w:t>
      </w:r>
      <w:r>
        <w:rPr>
          <w:rFonts w:hAnsi="宋体"/>
          <w:bCs/>
          <w:sz w:val="24"/>
        </w:rPr>
        <w:t>上。</w:t>
      </w:r>
    </w:p>
    <w:p>
      <w:pPr>
        <w:adjustRightInd w:val="0"/>
        <w:snapToGrid w:val="0"/>
        <w:spacing w:line="360" w:lineRule="auto"/>
        <w:ind w:firstLine="480" w:firstLineChars="200"/>
        <w:rPr>
          <w:rFonts w:hAnsi="宋体"/>
          <w:bCs/>
          <w:sz w:val="24"/>
        </w:rPr>
      </w:pPr>
      <w:r>
        <w:rPr>
          <w:rFonts w:hint="eastAsia" w:hAnsi="宋体"/>
          <w:bCs/>
          <w:sz w:val="24"/>
        </w:rPr>
        <w:t>自基金</w:t>
      </w:r>
      <w:r>
        <w:rPr>
          <w:rFonts w:hAnsi="宋体"/>
          <w:bCs/>
          <w:sz w:val="24"/>
        </w:rPr>
        <w:t>合同生效日起不足2个月的，基金管理人可以不编制当期季度报告、</w:t>
      </w:r>
      <w:r>
        <w:rPr>
          <w:rFonts w:hint="eastAsia" w:hAnsi="宋体"/>
          <w:bCs/>
          <w:sz w:val="24"/>
        </w:rPr>
        <w:t>中期</w:t>
      </w:r>
      <w:r>
        <w:rPr>
          <w:rFonts w:hAnsi="宋体"/>
          <w:bCs/>
          <w:sz w:val="24"/>
        </w:rPr>
        <w:t>报告或者年度报告。</w:t>
      </w:r>
    </w:p>
    <w:p>
      <w:pPr>
        <w:adjustRightInd w:val="0"/>
        <w:snapToGrid w:val="0"/>
        <w:spacing w:line="360" w:lineRule="auto"/>
        <w:ind w:firstLine="480" w:firstLineChars="200"/>
        <w:rPr>
          <w:rFonts w:hAnsi="宋体"/>
          <w:bCs/>
          <w:sz w:val="24"/>
        </w:rPr>
      </w:pPr>
      <w:r>
        <w:rPr>
          <w:rFonts w:hint="eastAsia" w:hAnsi="宋体"/>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bCs/>
          <w:sz w:val="24"/>
        </w:rPr>
      </w:pPr>
      <w:r>
        <w:rPr>
          <w:rFonts w:hint="eastAsia" w:hAnsi="宋体"/>
          <w:bCs/>
          <w:sz w:val="24"/>
        </w:rPr>
        <w:t>基金管理人应当在基金年度报告和中期报告中披露基金组合资产情况及其流动性风险分析等。</w:t>
      </w:r>
    </w:p>
    <w:p>
      <w:pPr>
        <w:adjustRightInd w:val="0"/>
        <w:snapToGrid w:val="0"/>
        <w:spacing w:line="360" w:lineRule="auto"/>
        <w:ind w:firstLine="480" w:firstLineChars="200"/>
        <w:rPr>
          <w:rFonts w:hAnsi="宋体"/>
          <w:bCs/>
          <w:sz w:val="24"/>
        </w:rPr>
      </w:pPr>
      <w:r>
        <w:rPr>
          <w:rFonts w:hAnsi="宋体"/>
          <w:bCs/>
          <w:sz w:val="24"/>
        </w:rPr>
        <w:t>6</w:t>
      </w:r>
      <w:r>
        <w:rPr>
          <w:rFonts w:hint="eastAsia" w:hAnsi="宋体"/>
          <w:bCs/>
          <w:sz w:val="24"/>
        </w:rPr>
        <w:t>、</w:t>
      </w:r>
      <w:r>
        <w:rPr>
          <w:rFonts w:hAnsi="宋体"/>
          <w:bCs/>
          <w:sz w:val="24"/>
        </w:rPr>
        <w:t>临时报告</w:t>
      </w:r>
    </w:p>
    <w:p>
      <w:pPr>
        <w:adjustRightInd w:val="0"/>
        <w:snapToGrid w:val="0"/>
        <w:spacing w:line="360" w:lineRule="auto"/>
        <w:ind w:firstLine="480" w:firstLineChars="200"/>
        <w:rPr>
          <w:rFonts w:hAnsi="宋体"/>
          <w:bCs/>
          <w:sz w:val="24"/>
        </w:rPr>
      </w:pPr>
      <w:r>
        <w:rPr>
          <w:rFonts w:hAnsi="宋体"/>
          <w:bCs/>
          <w:sz w:val="24"/>
        </w:rPr>
        <w:t>本基金发生重大事件，有关信息披露义务人应当在2日内编制临时报告书，</w:t>
      </w:r>
      <w:r>
        <w:rPr>
          <w:rFonts w:hint="eastAsia" w:hAnsi="宋体"/>
          <w:bCs/>
          <w:sz w:val="24"/>
        </w:rPr>
        <w:t>并登载在指定报刊和指定网站上</w:t>
      </w:r>
      <w:r>
        <w:rPr>
          <w:rFonts w:hAnsi="宋体"/>
          <w:bCs/>
          <w:sz w:val="24"/>
        </w:rPr>
        <w:t>。</w:t>
      </w:r>
    </w:p>
    <w:p>
      <w:pPr>
        <w:adjustRightInd w:val="0"/>
        <w:snapToGrid w:val="0"/>
        <w:spacing w:line="360" w:lineRule="auto"/>
        <w:ind w:firstLine="480" w:firstLineChars="200"/>
        <w:rPr>
          <w:rFonts w:hAnsi="宋体"/>
          <w:bCs/>
          <w:sz w:val="24"/>
        </w:rPr>
      </w:pPr>
      <w:r>
        <w:rPr>
          <w:rFonts w:hAnsi="宋体"/>
          <w:bCs/>
          <w:sz w:val="24"/>
        </w:rPr>
        <w:t>前款所称重大事件，是指可能对基金份额持有人权益或者基金份额的价格产生重大影响的下列事件：</w:t>
      </w:r>
    </w:p>
    <w:p>
      <w:pPr>
        <w:adjustRightInd w:val="0"/>
        <w:snapToGrid w:val="0"/>
        <w:spacing w:line="360" w:lineRule="auto"/>
        <w:ind w:firstLine="480" w:firstLineChars="200"/>
        <w:rPr>
          <w:rFonts w:hAnsi="宋体"/>
          <w:bCs/>
          <w:sz w:val="24"/>
        </w:rPr>
      </w:pPr>
      <w:r>
        <w:rPr>
          <w:rFonts w:hint="eastAsia" w:hAnsi="宋体"/>
          <w:bCs/>
          <w:sz w:val="24"/>
        </w:rPr>
        <w:t>（1）</w:t>
      </w:r>
      <w:r>
        <w:rPr>
          <w:rFonts w:hAnsi="宋体"/>
          <w:bCs/>
          <w:sz w:val="24"/>
        </w:rPr>
        <w:t>基金份额持有人大会的召开</w:t>
      </w:r>
      <w:r>
        <w:rPr>
          <w:rFonts w:hint="eastAsia" w:hAnsi="宋体"/>
          <w:bCs/>
          <w:sz w:val="24"/>
        </w:rPr>
        <w:t>及决定的事项</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（2）</w:t>
      </w:r>
      <w:r>
        <w:rPr>
          <w:rFonts w:hAnsi="宋体"/>
          <w:bCs/>
          <w:sz w:val="24"/>
        </w:rPr>
        <w:t>《基金合同》</w:t>
      </w:r>
      <w:r>
        <w:rPr>
          <w:rFonts w:hint="eastAsia" w:hAnsi="宋体"/>
          <w:bCs/>
          <w:sz w:val="24"/>
        </w:rPr>
        <w:t>终止、基金清算</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（3）</w:t>
      </w:r>
      <w:r>
        <w:rPr>
          <w:rFonts w:hAnsi="宋体"/>
          <w:bCs/>
          <w:sz w:val="24"/>
        </w:rPr>
        <w:t>转换基金运作方式</w:t>
      </w:r>
      <w:r>
        <w:rPr>
          <w:rFonts w:hint="eastAsia" w:hAnsi="宋体"/>
          <w:bCs/>
          <w:sz w:val="24"/>
        </w:rPr>
        <w:t>、</w:t>
      </w:r>
      <w:r>
        <w:rPr>
          <w:rFonts w:hAnsi="宋体"/>
          <w:bCs/>
          <w:sz w:val="24"/>
        </w:rPr>
        <w:t>基金合并；</w:t>
      </w:r>
    </w:p>
    <w:p>
      <w:pPr>
        <w:adjustRightInd w:val="0"/>
        <w:snapToGrid w:val="0"/>
        <w:spacing w:line="360" w:lineRule="auto"/>
        <w:ind w:firstLine="480" w:firstLineChars="200"/>
        <w:rPr>
          <w:rFonts w:hAnsi="宋体"/>
          <w:bCs/>
          <w:sz w:val="24"/>
        </w:rPr>
      </w:pPr>
      <w:r>
        <w:rPr>
          <w:rFonts w:hint="eastAsia" w:hAnsi="宋体"/>
          <w:bCs/>
          <w:sz w:val="24"/>
        </w:rPr>
        <w:t>（4）</w:t>
      </w:r>
      <w:r>
        <w:rPr>
          <w:rFonts w:hAnsi="宋体"/>
          <w:bCs/>
          <w:sz w:val="24"/>
        </w:rPr>
        <w:t>更换基金管理人、基金托管人</w:t>
      </w:r>
      <w:r>
        <w:rPr>
          <w:rFonts w:hint="eastAsia" w:hAnsi="宋体"/>
          <w:bCs/>
          <w:sz w:val="24"/>
        </w:rPr>
        <w:t>、基金份额登记机构，基金改聘会计师事务所</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rFonts w:hAnsi="宋体"/>
          <w:bCs/>
          <w:sz w:val="24"/>
        </w:rPr>
      </w:pPr>
      <w:r>
        <w:rPr>
          <w:rFonts w:hint="eastAsia" w:hAnsi="宋体"/>
          <w:bCs/>
          <w:sz w:val="24"/>
        </w:rPr>
        <w:t>（6）</w:t>
      </w:r>
      <w:r>
        <w:rPr>
          <w:rFonts w:hAnsi="宋体"/>
          <w:bCs/>
          <w:sz w:val="24"/>
        </w:rPr>
        <w:t>基金管理人、基金托管人的法定名称、住所发生变更；</w:t>
      </w:r>
    </w:p>
    <w:p>
      <w:pPr>
        <w:adjustRightInd w:val="0"/>
        <w:snapToGrid w:val="0"/>
        <w:spacing w:line="360" w:lineRule="auto"/>
        <w:ind w:firstLine="480" w:firstLineChars="200"/>
        <w:rPr>
          <w:rFonts w:hAnsi="宋体"/>
          <w:bCs/>
          <w:sz w:val="24"/>
        </w:rPr>
      </w:pPr>
      <w:r>
        <w:rPr>
          <w:rFonts w:hint="eastAsia" w:hAnsi="宋体"/>
          <w:bCs/>
          <w:sz w:val="24"/>
        </w:rPr>
        <w:t>（7）</w:t>
      </w:r>
      <w:r>
        <w:rPr>
          <w:rFonts w:hAnsi="宋体"/>
          <w:bCs/>
          <w:sz w:val="24"/>
        </w:rPr>
        <w:t>基金管理人</w:t>
      </w:r>
      <w:r>
        <w:rPr>
          <w:rFonts w:hint="eastAsia" w:hAnsi="宋体"/>
          <w:bCs/>
          <w:sz w:val="24"/>
        </w:rPr>
        <w:t>变更持有百分之五以上股权的股东、基金管理人的实际控制人变更</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（8）</w:t>
      </w:r>
      <w:r>
        <w:rPr>
          <w:rFonts w:hAnsi="宋体"/>
          <w:bCs/>
          <w:sz w:val="24"/>
        </w:rPr>
        <w:t>基金管理人的高级管理人员、基金经理和基金托管人专门基金托管部门负责人发生变动；</w:t>
      </w:r>
    </w:p>
    <w:p>
      <w:pPr>
        <w:adjustRightInd w:val="0"/>
        <w:snapToGrid w:val="0"/>
        <w:spacing w:line="360" w:lineRule="auto"/>
        <w:ind w:firstLine="480" w:firstLineChars="200"/>
        <w:rPr>
          <w:rFonts w:hAnsi="宋体"/>
          <w:bCs/>
          <w:sz w:val="24"/>
        </w:rPr>
      </w:pPr>
      <w:r>
        <w:rPr>
          <w:rFonts w:hint="eastAsia" w:hAnsi="宋体"/>
          <w:bCs/>
          <w:sz w:val="24"/>
        </w:rPr>
        <w:t>（9）</w:t>
      </w:r>
      <w:r>
        <w:rPr>
          <w:rFonts w:hAnsi="宋体"/>
          <w:bCs/>
          <w:sz w:val="24"/>
        </w:rPr>
        <w:t>基金管理人的董事在</w:t>
      </w:r>
      <w:r>
        <w:rPr>
          <w:rFonts w:hint="eastAsia" w:hAnsi="宋体"/>
          <w:bCs/>
          <w:sz w:val="24"/>
        </w:rPr>
        <w:t>最近1</w:t>
      </w:r>
      <w:r>
        <w:rPr>
          <w:rFonts w:hAnsi="宋体"/>
          <w:bCs/>
          <w:sz w:val="24"/>
        </w:rPr>
        <w:t>2个月内变更超过百分之五十</w:t>
      </w:r>
      <w:r>
        <w:rPr>
          <w:rFonts w:hint="eastAsia" w:hAnsi="宋体"/>
          <w:bCs/>
          <w:sz w:val="24"/>
        </w:rPr>
        <w:t>，</w:t>
      </w:r>
      <w:r>
        <w:rPr>
          <w:rFonts w:hAnsi="宋体"/>
          <w:bCs/>
          <w:sz w:val="24"/>
        </w:rPr>
        <w:t>基金管理人、基金托管人专门基金托管部门的主要业务人员在</w:t>
      </w:r>
      <w:r>
        <w:rPr>
          <w:rFonts w:hint="eastAsia" w:hAnsi="宋体"/>
          <w:bCs/>
          <w:sz w:val="24"/>
        </w:rPr>
        <w:t>最近</w:t>
      </w:r>
      <w:r>
        <w:rPr>
          <w:rFonts w:hAnsi="宋体"/>
          <w:bCs/>
          <w:sz w:val="24"/>
        </w:rPr>
        <w:t>12个月内变动超过百分之三十；</w:t>
      </w:r>
    </w:p>
    <w:p>
      <w:pPr>
        <w:adjustRightInd w:val="0"/>
        <w:snapToGrid w:val="0"/>
        <w:spacing w:line="360" w:lineRule="auto"/>
        <w:ind w:firstLine="480" w:firstLineChars="200"/>
        <w:rPr>
          <w:rFonts w:hAnsi="宋体"/>
          <w:bCs/>
          <w:sz w:val="24"/>
        </w:rPr>
      </w:pPr>
      <w:r>
        <w:rPr>
          <w:rFonts w:hint="eastAsia" w:hAnsi="宋体"/>
          <w:bCs/>
          <w:sz w:val="24"/>
        </w:rPr>
        <w:t>（10）</w:t>
      </w:r>
      <w:r>
        <w:rPr>
          <w:rFonts w:hAnsi="宋体"/>
          <w:bCs/>
          <w:sz w:val="24"/>
        </w:rPr>
        <w:t>涉及基金</w:t>
      </w:r>
      <w:r>
        <w:rPr>
          <w:rFonts w:hint="eastAsia" w:hAnsi="宋体"/>
          <w:bCs/>
          <w:sz w:val="24"/>
        </w:rPr>
        <w:t>财产</w:t>
      </w:r>
      <w:r>
        <w:rPr>
          <w:rFonts w:hAnsi="宋体"/>
          <w:bCs/>
          <w:sz w:val="24"/>
        </w:rPr>
        <w:t>、基金</w:t>
      </w:r>
      <w:r>
        <w:rPr>
          <w:rFonts w:hint="eastAsia" w:hAnsi="宋体"/>
          <w:bCs/>
          <w:sz w:val="24"/>
        </w:rPr>
        <w:t>管理业务</w:t>
      </w:r>
      <w:r>
        <w:rPr>
          <w:rFonts w:hAnsi="宋体"/>
          <w:bCs/>
          <w:sz w:val="24"/>
        </w:rPr>
        <w:t>、基金托管业务的诉讼</w:t>
      </w:r>
      <w:r>
        <w:rPr>
          <w:rFonts w:hint="eastAsia" w:hAnsi="宋体"/>
          <w:bCs/>
          <w:sz w:val="24"/>
        </w:rPr>
        <w:t>或仲裁</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（11）基金管理人或其高级管理人员、基金经理因基金管理业务相关行为受到重大行政处罚、刑事处罚，基金托管人或其专门基金托管部门负责人因基金托管业务相关行为受到重大行政处罚、刑事处罚</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（12）基金管理人运用基金财产买卖基金管理人、基金托管人及其控股股东、实际控制人或者与其有重大利害关系的公司发行的证券或者承销期内承销的证券，或者从事其他</w:t>
      </w:r>
      <w:r>
        <w:rPr>
          <w:rFonts w:hAnsi="宋体"/>
          <w:bCs/>
          <w:sz w:val="24"/>
        </w:rPr>
        <w:t>重大关联交易事项</w:t>
      </w:r>
      <w:r>
        <w:rPr>
          <w:rFonts w:hint="eastAsia" w:hAnsi="宋体"/>
          <w:bCs/>
          <w:sz w:val="24"/>
        </w:rPr>
        <w:t>，但中国证监会另有规定的除外</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（13）</w:t>
      </w:r>
      <w:r>
        <w:rPr>
          <w:rFonts w:hAnsi="宋体"/>
          <w:bCs/>
          <w:sz w:val="24"/>
        </w:rPr>
        <w:t>基金收益分配事项；</w:t>
      </w:r>
    </w:p>
    <w:p>
      <w:pPr>
        <w:adjustRightInd w:val="0"/>
        <w:snapToGrid w:val="0"/>
        <w:spacing w:line="360" w:lineRule="auto"/>
        <w:ind w:firstLine="480" w:firstLineChars="200"/>
        <w:rPr>
          <w:rFonts w:hAnsi="宋体"/>
          <w:bCs/>
          <w:sz w:val="24"/>
        </w:rPr>
      </w:pPr>
      <w:r>
        <w:rPr>
          <w:rFonts w:hint="eastAsia" w:hAnsi="宋体"/>
          <w:bCs/>
          <w:sz w:val="24"/>
        </w:rPr>
        <w:t>（14）</w:t>
      </w:r>
      <w:r>
        <w:rPr>
          <w:rFonts w:hAnsi="宋体"/>
          <w:bCs/>
          <w:sz w:val="24"/>
        </w:rPr>
        <w:t>管理费、托管费</w:t>
      </w:r>
      <w:r>
        <w:rPr>
          <w:rFonts w:hint="eastAsia" w:hAnsi="宋体"/>
          <w:bCs/>
          <w:sz w:val="24"/>
        </w:rPr>
        <w:t>、标的指数许可使用费、申购费、赎回费</w:t>
      </w:r>
      <w:r>
        <w:rPr>
          <w:rFonts w:hAnsi="宋体"/>
          <w:bCs/>
          <w:sz w:val="24"/>
        </w:rPr>
        <w:t>等费用计提标准、计提方式和费率发生变更；</w:t>
      </w:r>
    </w:p>
    <w:p>
      <w:pPr>
        <w:adjustRightInd w:val="0"/>
        <w:snapToGrid w:val="0"/>
        <w:spacing w:line="360" w:lineRule="auto"/>
        <w:ind w:firstLine="480" w:firstLineChars="200"/>
        <w:rPr>
          <w:rFonts w:hAnsi="宋体"/>
          <w:bCs/>
          <w:sz w:val="24"/>
        </w:rPr>
      </w:pPr>
      <w:r>
        <w:rPr>
          <w:rFonts w:hint="eastAsia" w:hAnsi="宋体"/>
          <w:bCs/>
          <w:sz w:val="24"/>
        </w:rPr>
        <w:t>（15）</w:t>
      </w:r>
      <w:r>
        <w:rPr>
          <w:rFonts w:hAnsi="宋体"/>
          <w:bCs/>
          <w:sz w:val="24"/>
        </w:rPr>
        <w:t>基金份额净值计价错误达基金份额净值百分之零点五；</w:t>
      </w:r>
    </w:p>
    <w:p>
      <w:pPr>
        <w:adjustRightInd w:val="0"/>
        <w:snapToGrid w:val="0"/>
        <w:spacing w:line="360" w:lineRule="auto"/>
        <w:ind w:firstLine="480" w:firstLineChars="200"/>
        <w:rPr>
          <w:rFonts w:hAnsi="宋体"/>
          <w:bCs/>
          <w:sz w:val="24"/>
        </w:rPr>
      </w:pPr>
      <w:r>
        <w:rPr>
          <w:rFonts w:hint="eastAsia" w:hAnsi="宋体"/>
          <w:bCs/>
          <w:sz w:val="24"/>
        </w:rPr>
        <w:t>（16）本基金</w:t>
      </w:r>
      <w:r>
        <w:rPr>
          <w:rFonts w:hAnsi="宋体"/>
          <w:bCs/>
          <w:sz w:val="24"/>
        </w:rPr>
        <w:t>开始办理申购、赎回；</w:t>
      </w:r>
    </w:p>
    <w:p>
      <w:pPr>
        <w:adjustRightInd w:val="0"/>
        <w:snapToGrid w:val="0"/>
        <w:spacing w:line="360" w:lineRule="auto"/>
        <w:ind w:firstLine="480" w:firstLineChars="200"/>
        <w:rPr>
          <w:rFonts w:hAnsi="宋体"/>
          <w:bCs/>
          <w:sz w:val="24"/>
        </w:rPr>
      </w:pPr>
      <w:r>
        <w:rPr>
          <w:rFonts w:hint="eastAsia" w:hAnsi="宋体"/>
          <w:bCs/>
          <w:sz w:val="24"/>
        </w:rPr>
        <w:t>（17）本基金</w:t>
      </w:r>
      <w:r>
        <w:rPr>
          <w:rFonts w:hAnsi="宋体"/>
          <w:bCs/>
          <w:sz w:val="24"/>
        </w:rPr>
        <w:t>发生巨额赎回并延期</w:t>
      </w:r>
      <w:r>
        <w:rPr>
          <w:rFonts w:hint="eastAsia" w:hAnsi="宋体"/>
          <w:bCs/>
          <w:sz w:val="24"/>
        </w:rPr>
        <w:t>办理</w:t>
      </w:r>
      <w:r>
        <w:rPr>
          <w:rFonts w:hAnsi="宋体"/>
          <w:bCs/>
          <w:sz w:val="24"/>
        </w:rPr>
        <w:t>；</w:t>
      </w:r>
    </w:p>
    <w:p>
      <w:pPr>
        <w:adjustRightInd w:val="0"/>
        <w:snapToGrid w:val="0"/>
        <w:spacing w:line="360" w:lineRule="auto"/>
        <w:ind w:firstLine="480" w:firstLineChars="200"/>
        <w:rPr>
          <w:rFonts w:hAnsi="宋体"/>
          <w:bCs/>
          <w:sz w:val="24"/>
        </w:rPr>
      </w:pPr>
      <w:r>
        <w:rPr>
          <w:rFonts w:hint="eastAsia" w:hAnsi="宋体"/>
          <w:bCs/>
          <w:sz w:val="24"/>
        </w:rPr>
        <w:t>（18）本基金</w:t>
      </w:r>
      <w:r>
        <w:rPr>
          <w:rFonts w:hAnsi="宋体"/>
          <w:bCs/>
          <w:sz w:val="24"/>
        </w:rPr>
        <w:t>连续发生巨额赎回并暂停接受赎回申请或延缓支付赎回款项；</w:t>
      </w:r>
    </w:p>
    <w:p>
      <w:pPr>
        <w:adjustRightInd w:val="0"/>
        <w:snapToGrid w:val="0"/>
        <w:spacing w:line="360" w:lineRule="auto"/>
        <w:ind w:firstLine="480" w:firstLineChars="200"/>
        <w:rPr>
          <w:rFonts w:hAnsi="宋体"/>
          <w:bCs/>
          <w:sz w:val="24"/>
        </w:rPr>
      </w:pPr>
      <w:r>
        <w:rPr>
          <w:rFonts w:hint="eastAsia" w:hAnsi="宋体"/>
          <w:bCs/>
          <w:sz w:val="24"/>
        </w:rPr>
        <w:t>（19）本基金</w:t>
      </w:r>
      <w:r>
        <w:rPr>
          <w:rFonts w:hAnsi="宋体"/>
          <w:bCs/>
          <w:sz w:val="24"/>
        </w:rPr>
        <w:t>暂停接受申购、赎回申请</w:t>
      </w:r>
      <w:r>
        <w:rPr>
          <w:rFonts w:hint="eastAsia" w:hAnsi="宋体"/>
          <w:bCs/>
          <w:sz w:val="24"/>
        </w:rPr>
        <w:t>或</w:t>
      </w:r>
      <w:r>
        <w:rPr>
          <w:rFonts w:hAnsi="宋体"/>
          <w:bCs/>
          <w:sz w:val="24"/>
        </w:rPr>
        <w:t>重新接受申购、赎回申请；</w:t>
      </w:r>
    </w:p>
    <w:p>
      <w:pPr>
        <w:adjustRightInd w:val="0"/>
        <w:snapToGrid w:val="0"/>
        <w:spacing w:line="360" w:lineRule="auto"/>
        <w:ind w:firstLine="480" w:firstLineChars="200"/>
        <w:rPr>
          <w:rFonts w:hAnsi="宋体"/>
          <w:bCs/>
          <w:sz w:val="24"/>
        </w:rPr>
      </w:pPr>
      <w:r>
        <w:rPr>
          <w:rFonts w:hint="eastAsia" w:hAnsi="宋体"/>
          <w:bCs/>
          <w:sz w:val="24"/>
        </w:rPr>
        <w:t>（20）发生涉及基金申购、赎回事项调整或潜在影响投资者赎回等重大事项时；</w:t>
      </w:r>
    </w:p>
    <w:p>
      <w:pPr>
        <w:adjustRightInd w:val="0"/>
        <w:snapToGrid w:val="0"/>
        <w:spacing w:line="360" w:lineRule="auto"/>
        <w:ind w:firstLine="480" w:firstLineChars="200"/>
        <w:rPr>
          <w:rFonts w:hAnsi="宋体"/>
          <w:bCs/>
          <w:sz w:val="24"/>
        </w:rPr>
      </w:pPr>
      <w:r>
        <w:rPr>
          <w:rFonts w:hint="eastAsia" w:hAnsi="宋体"/>
          <w:bCs/>
          <w:sz w:val="24"/>
        </w:rPr>
        <w:t>（21）本基金停复牌、暂停上市、恢复上市或终止上市；</w:t>
      </w:r>
    </w:p>
    <w:p>
      <w:pPr>
        <w:adjustRightInd w:val="0"/>
        <w:snapToGrid w:val="0"/>
        <w:spacing w:line="360" w:lineRule="auto"/>
        <w:ind w:firstLine="480" w:firstLineChars="200"/>
        <w:rPr>
          <w:rFonts w:hAnsi="宋体"/>
          <w:bCs/>
          <w:sz w:val="24"/>
        </w:rPr>
      </w:pPr>
      <w:r>
        <w:rPr>
          <w:rFonts w:hint="eastAsia" w:hAnsi="宋体"/>
          <w:bCs/>
          <w:sz w:val="24"/>
        </w:rPr>
        <w:t>（22）基金信息披露义务人认为可能对基金份额持有人权益或者基金份额的价格产生重大影响的其他事项或</w:t>
      </w:r>
      <w:r>
        <w:rPr>
          <w:rFonts w:hAnsi="宋体"/>
          <w:bCs/>
          <w:sz w:val="24"/>
        </w:rPr>
        <w:t>中国证监会</w:t>
      </w:r>
      <w:r>
        <w:rPr>
          <w:rFonts w:hint="eastAsia" w:hAnsi="宋体"/>
          <w:bCs/>
          <w:sz w:val="24"/>
        </w:rPr>
        <w:t>规定和基金合同约定</w:t>
      </w:r>
      <w:r>
        <w:rPr>
          <w:rFonts w:hAnsi="宋体"/>
          <w:bCs/>
          <w:sz w:val="24"/>
        </w:rPr>
        <w:t>的其他事项。</w:t>
      </w:r>
    </w:p>
    <w:p>
      <w:pPr>
        <w:adjustRightInd w:val="0"/>
        <w:snapToGrid w:val="0"/>
        <w:spacing w:line="360" w:lineRule="auto"/>
        <w:ind w:firstLine="480" w:firstLineChars="200"/>
        <w:rPr>
          <w:rFonts w:hAnsi="宋体"/>
          <w:bCs/>
          <w:sz w:val="24"/>
        </w:rPr>
      </w:pPr>
      <w:r>
        <w:rPr>
          <w:rFonts w:hAnsi="宋体"/>
          <w:bCs/>
          <w:sz w:val="24"/>
        </w:rPr>
        <w:t>7</w:t>
      </w:r>
      <w:r>
        <w:rPr>
          <w:rFonts w:hint="eastAsia" w:hAnsi="宋体"/>
          <w:bCs/>
          <w:sz w:val="24"/>
        </w:rPr>
        <w:t>、</w:t>
      </w:r>
      <w:r>
        <w:rPr>
          <w:rFonts w:hAnsi="宋体"/>
          <w:bCs/>
          <w:sz w:val="24"/>
        </w:rPr>
        <w:t>澄清公告</w:t>
      </w:r>
    </w:p>
    <w:p>
      <w:pPr>
        <w:adjustRightInd w:val="0"/>
        <w:snapToGrid w:val="0"/>
        <w:spacing w:line="360" w:lineRule="auto"/>
        <w:ind w:firstLine="480" w:firstLineChars="200"/>
        <w:rPr>
          <w:rFonts w:hAnsi="宋体"/>
          <w:bCs/>
          <w:sz w:val="24"/>
        </w:rPr>
      </w:pPr>
      <w:r>
        <w:rPr>
          <w:rFonts w:hAnsi="宋体"/>
          <w:bCs/>
          <w:sz w:val="24"/>
        </w:rPr>
        <w:t>在《基金合同》存续期限内，任何公共媒介中出现的或者在市场上流传的消息可能对基金份额价格产生误导性影响或者引起较大波动</w:t>
      </w:r>
      <w:r>
        <w:rPr>
          <w:rFonts w:hint="eastAsia" w:hAnsi="宋体"/>
          <w:bCs/>
          <w:sz w:val="24"/>
        </w:rPr>
        <w:t>，以及可能损害基金份额持有人权益</w:t>
      </w:r>
      <w:r>
        <w:rPr>
          <w:rFonts w:hAnsi="宋体"/>
          <w:bCs/>
          <w:sz w:val="24"/>
        </w:rPr>
        <w:t>的，相关信息披露义务人知悉后应当立即对该消息进行公开澄清，并将有关情况立即报告中国证监会</w:t>
      </w:r>
      <w:r>
        <w:rPr>
          <w:rFonts w:hint="eastAsia" w:hAnsi="宋体"/>
          <w:bCs/>
          <w:sz w:val="24"/>
        </w:rPr>
        <w:t>、基金上市交易的证券交易所</w:t>
      </w:r>
      <w:r>
        <w:rPr>
          <w:rFonts w:hAnsi="宋体"/>
          <w:bCs/>
          <w:sz w:val="24"/>
        </w:rPr>
        <w:t>。</w:t>
      </w:r>
    </w:p>
    <w:p>
      <w:pPr>
        <w:adjustRightInd w:val="0"/>
        <w:snapToGrid w:val="0"/>
        <w:spacing w:line="360" w:lineRule="auto"/>
        <w:ind w:firstLine="480" w:firstLineChars="200"/>
        <w:rPr>
          <w:rFonts w:hAnsi="宋体"/>
          <w:bCs/>
          <w:sz w:val="24"/>
        </w:rPr>
      </w:pPr>
      <w:r>
        <w:rPr>
          <w:rFonts w:hAnsi="宋体"/>
          <w:bCs/>
          <w:sz w:val="24"/>
        </w:rPr>
        <w:t>8</w:t>
      </w:r>
      <w:r>
        <w:rPr>
          <w:rFonts w:hint="eastAsia" w:hAnsi="宋体"/>
          <w:bCs/>
          <w:sz w:val="24"/>
        </w:rPr>
        <w:t>、</w:t>
      </w:r>
      <w:r>
        <w:rPr>
          <w:rFonts w:hAnsi="宋体"/>
          <w:bCs/>
          <w:sz w:val="24"/>
        </w:rPr>
        <w:t>基金份额持有人大会决议</w:t>
      </w:r>
    </w:p>
    <w:p>
      <w:pPr>
        <w:adjustRightInd w:val="0"/>
        <w:snapToGrid w:val="0"/>
        <w:spacing w:line="360" w:lineRule="auto"/>
        <w:ind w:firstLine="480" w:firstLineChars="200"/>
        <w:rPr>
          <w:rFonts w:hAnsi="宋体"/>
          <w:bCs/>
          <w:sz w:val="24"/>
        </w:rPr>
      </w:pPr>
      <w:r>
        <w:rPr>
          <w:rFonts w:hAnsi="宋体"/>
          <w:bCs/>
          <w:sz w:val="24"/>
        </w:rPr>
        <w:t>基金份额持有人大会决定的事项，应当依法报</w:t>
      </w:r>
      <w:r>
        <w:rPr>
          <w:rFonts w:hint="eastAsia" w:hAnsi="宋体"/>
          <w:bCs/>
          <w:sz w:val="24"/>
        </w:rPr>
        <w:t>中国证监会</w:t>
      </w:r>
      <w:r>
        <w:rPr>
          <w:rFonts w:hAnsi="宋体"/>
          <w:bCs/>
          <w:sz w:val="24"/>
        </w:rPr>
        <w:t>备案，并予以公告。</w:t>
      </w:r>
    </w:p>
    <w:p>
      <w:pPr>
        <w:adjustRightInd w:val="0"/>
        <w:snapToGrid w:val="0"/>
        <w:spacing w:line="360" w:lineRule="auto"/>
        <w:ind w:firstLine="480" w:firstLineChars="200"/>
        <w:rPr>
          <w:rFonts w:hAnsi="宋体"/>
          <w:bCs/>
          <w:sz w:val="24"/>
        </w:rPr>
      </w:pPr>
      <w:r>
        <w:rPr>
          <w:rFonts w:hint="eastAsia" w:hAnsi="宋体"/>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rFonts w:hAnsi="宋体"/>
          <w:bCs/>
          <w:sz w:val="24"/>
        </w:rPr>
      </w:pPr>
      <w:r>
        <w:rPr>
          <w:rFonts w:hint="eastAsia" w:hAnsi="宋体"/>
          <w:bCs/>
          <w:sz w:val="24"/>
        </w:rPr>
        <w:t>9、清算报告</w:t>
      </w:r>
    </w:p>
    <w:p>
      <w:pPr>
        <w:adjustRightInd w:val="0"/>
        <w:snapToGrid w:val="0"/>
        <w:spacing w:line="360" w:lineRule="auto"/>
        <w:ind w:firstLine="480" w:firstLineChars="200"/>
        <w:rPr>
          <w:rFonts w:hAnsi="宋体"/>
          <w:bCs/>
          <w:sz w:val="24"/>
        </w:rPr>
      </w:pPr>
      <w:r>
        <w:rPr>
          <w:rFonts w:hint="eastAsia" w:hAnsi="宋体"/>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adjustRightInd w:val="0"/>
        <w:snapToGrid w:val="0"/>
        <w:spacing w:line="360" w:lineRule="auto"/>
        <w:ind w:firstLine="480" w:firstLineChars="200"/>
        <w:rPr>
          <w:rFonts w:hAnsi="宋体"/>
          <w:bCs/>
          <w:sz w:val="24"/>
        </w:rPr>
      </w:pPr>
      <w:r>
        <w:rPr>
          <w:rFonts w:hAnsi="宋体"/>
          <w:bCs/>
          <w:sz w:val="24"/>
        </w:rPr>
        <w:t>10</w:t>
      </w:r>
      <w:r>
        <w:rPr>
          <w:rFonts w:hint="eastAsia" w:hAnsi="宋体"/>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hAnsi="宋体"/>
          <w:bCs/>
          <w:sz w:val="24"/>
        </w:rPr>
      </w:pPr>
      <w:r>
        <w:rPr>
          <w:rFonts w:hAnsi="宋体"/>
          <w:bCs/>
          <w:sz w:val="24"/>
        </w:rPr>
        <w:t>11</w:t>
      </w:r>
      <w:r>
        <w:rPr>
          <w:rFonts w:hint="eastAsia" w:hAnsi="宋体"/>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hAnsi="宋体"/>
          <w:bCs/>
          <w:sz w:val="24"/>
        </w:rPr>
      </w:pPr>
      <w:r>
        <w:rPr>
          <w:rFonts w:hAnsi="宋体"/>
          <w:bCs/>
          <w:sz w:val="24"/>
        </w:rPr>
        <w:t>12</w:t>
      </w:r>
      <w:r>
        <w:rPr>
          <w:rFonts w:hint="eastAsia" w:hAnsi="宋体"/>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pPr>
        <w:adjustRightInd w:val="0"/>
        <w:snapToGrid w:val="0"/>
        <w:spacing w:line="360" w:lineRule="auto"/>
        <w:ind w:firstLine="480" w:firstLineChars="200"/>
        <w:rPr>
          <w:rFonts w:hAnsi="宋体"/>
          <w:bCs/>
          <w:sz w:val="24"/>
        </w:rPr>
      </w:pPr>
      <w:r>
        <w:rPr>
          <w:rFonts w:hAnsi="宋体"/>
          <w:bCs/>
          <w:sz w:val="24"/>
        </w:rPr>
        <w:t>13</w:t>
      </w:r>
      <w:r>
        <w:rPr>
          <w:rFonts w:hint="eastAsia" w:hAnsi="宋体"/>
          <w:bCs/>
          <w:sz w:val="24"/>
        </w:rPr>
        <w:t>、</w:t>
      </w:r>
      <w:r>
        <w:rPr>
          <w:rFonts w:hAnsi="宋体"/>
          <w:bCs/>
          <w:sz w:val="24"/>
        </w:rPr>
        <w:t>中国证监会规定的其他信息。</w:t>
      </w:r>
    </w:p>
    <w:p>
      <w:pPr>
        <w:adjustRightInd w:val="0"/>
        <w:snapToGrid w:val="0"/>
        <w:spacing w:line="360" w:lineRule="auto"/>
        <w:ind w:firstLine="482" w:firstLineChars="200"/>
        <w:rPr>
          <w:rFonts w:hAnsi="宋体"/>
          <w:b/>
          <w:bCs/>
          <w:sz w:val="24"/>
        </w:rPr>
      </w:pPr>
      <w:r>
        <w:rPr>
          <w:rFonts w:hAnsi="宋体"/>
          <w:b/>
          <w:bCs/>
          <w:sz w:val="24"/>
        </w:rPr>
        <w:t>（六）信息披露事务管理</w:t>
      </w:r>
    </w:p>
    <w:p>
      <w:pPr>
        <w:adjustRightInd w:val="0"/>
        <w:snapToGrid w:val="0"/>
        <w:spacing w:line="360" w:lineRule="auto"/>
        <w:ind w:firstLine="480" w:firstLineChars="200"/>
        <w:rPr>
          <w:rFonts w:hAnsi="宋体"/>
          <w:bCs/>
          <w:sz w:val="24"/>
        </w:rPr>
      </w:pPr>
      <w:r>
        <w:rPr>
          <w:rFonts w:hAnsi="宋体"/>
          <w:bCs/>
          <w:sz w:val="24"/>
        </w:rPr>
        <w:t>基金管理人、基金托管人应当建立健全信息披露管理制度，指定</w:t>
      </w:r>
      <w:r>
        <w:rPr>
          <w:rFonts w:hint="eastAsia" w:hAnsi="宋体"/>
          <w:bCs/>
          <w:sz w:val="24"/>
        </w:rPr>
        <w:t>专门部门及高级管理人员</w:t>
      </w:r>
      <w:r>
        <w:rPr>
          <w:rFonts w:hAnsi="宋体"/>
          <w:bCs/>
          <w:sz w:val="24"/>
        </w:rPr>
        <w:t>负责管理信息披露事务。</w:t>
      </w:r>
    </w:p>
    <w:p>
      <w:pPr>
        <w:adjustRightInd w:val="0"/>
        <w:snapToGrid w:val="0"/>
        <w:spacing w:line="360" w:lineRule="auto"/>
        <w:ind w:firstLine="480" w:firstLineChars="200"/>
        <w:rPr>
          <w:rFonts w:hAnsi="宋体"/>
          <w:bCs/>
          <w:sz w:val="24"/>
        </w:rPr>
      </w:pPr>
      <w:r>
        <w:rPr>
          <w:rFonts w:hAnsi="宋体"/>
          <w:bCs/>
          <w:sz w:val="24"/>
        </w:rPr>
        <w:t>基金信息披露义务人公开披露基金信息，应当符合中国证监会相关基金信息披露内容与格式准则等法规的规定。</w:t>
      </w:r>
    </w:p>
    <w:p>
      <w:pPr>
        <w:adjustRightInd w:val="0"/>
        <w:snapToGrid w:val="0"/>
        <w:spacing w:line="360" w:lineRule="auto"/>
        <w:ind w:firstLine="480" w:firstLineChars="200"/>
        <w:rPr>
          <w:rFonts w:hAnsi="宋体"/>
          <w:bCs/>
          <w:sz w:val="24"/>
        </w:rPr>
      </w:pPr>
      <w:r>
        <w:rPr>
          <w:rFonts w:hAnsi="宋体"/>
          <w:bCs/>
          <w:sz w:val="24"/>
        </w:rPr>
        <w:t>基金托管人应当按照相关法律法规、中国证监会的规定和《基金合同》的约定，对基金管理人编制的基金资产净值、基金份额净值</w:t>
      </w:r>
      <w:r>
        <w:rPr>
          <w:rFonts w:hint="eastAsia" w:hAnsi="宋体"/>
          <w:bCs/>
          <w:sz w:val="24"/>
        </w:rPr>
        <w:t>、</w:t>
      </w:r>
      <w:r>
        <w:rPr>
          <w:rFonts w:hAnsi="宋体"/>
          <w:bCs/>
          <w:sz w:val="24"/>
        </w:rPr>
        <w:t>基金份额累计净值、</w:t>
      </w:r>
      <w:r>
        <w:rPr>
          <w:rFonts w:hint="eastAsia" w:hAnsi="宋体"/>
          <w:bCs/>
          <w:sz w:val="24"/>
        </w:rPr>
        <w:t>基金</w:t>
      </w:r>
      <w:r>
        <w:rPr>
          <w:rFonts w:hAnsi="宋体"/>
          <w:bCs/>
          <w:sz w:val="24"/>
        </w:rPr>
        <w:t>份额申购赎回价格、基金定期报告</w:t>
      </w:r>
      <w:r>
        <w:rPr>
          <w:rFonts w:hint="eastAsia" w:hAnsi="宋体"/>
          <w:bCs/>
          <w:sz w:val="24"/>
        </w:rPr>
        <w:t>、</w:t>
      </w:r>
      <w:r>
        <w:rPr>
          <w:rFonts w:hAnsi="宋体"/>
          <w:bCs/>
          <w:sz w:val="24"/>
        </w:rPr>
        <w:t>更新的招募说明书</w:t>
      </w:r>
      <w:r>
        <w:rPr>
          <w:rFonts w:hint="eastAsia" w:hAnsi="宋体"/>
          <w:bCs/>
          <w:sz w:val="24"/>
        </w:rPr>
        <w:t>、基金产品资料概要、基金清算报告</w:t>
      </w:r>
      <w:r>
        <w:rPr>
          <w:rFonts w:hAnsi="宋体"/>
          <w:bCs/>
          <w:sz w:val="24"/>
        </w:rPr>
        <w:t>等公开披露的相关基金信息进行复核、审查，并向基金管理人进行书面或电子确认。</w:t>
      </w:r>
    </w:p>
    <w:p>
      <w:pPr>
        <w:adjustRightInd w:val="0"/>
        <w:snapToGrid w:val="0"/>
        <w:spacing w:line="360" w:lineRule="auto"/>
        <w:ind w:firstLine="480" w:firstLineChars="200"/>
        <w:rPr>
          <w:rFonts w:hAnsi="宋体"/>
          <w:bCs/>
          <w:sz w:val="24"/>
        </w:rPr>
      </w:pPr>
      <w:r>
        <w:rPr>
          <w:rFonts w:hAnsi="宋体"/>
          <w:bCs/>
          <w:sz w:val="24"/>
        </w:rPr>
        <w:t>基金管理人、基金托管人应当在指定报刊中选择</w:t>
      </w:r>
      <w:r>
        <w:rPr>
          <w:rFonts w:hint="eastAsia" w:hAnsi="宋体"/>
          <w:bCs/>
          <w:sz w:val="24"/>
        </w:rPr>
        <w:t>一家报刊</w:t>
      </w:r>
      <w:r>
        <w:rPr>
          <w:rFonts w:hAnsi="宋体"/>
          <w:bCs/>
          <w:sz w:val="24"/>
        </w:rPr>
        <w:t>披露</w:t>
      </w:r>
      <w:r>
        <w:rPr>
          <w:rFonts w:hint="eastAsia" w:hAnsi="宋体"/>
          <w:bCs/>
          <w:sz w:val="24"/>
        </w:rPr>
        <w:t>本基金</w:t>
      </w:r>
      <w:r>
        <w:rPr>
          <w:rFonts w:hAnsi="宋体"/>
          <w:bCs/>
          <w:sz w:val="24"/>
        </w:rPr>
        <w:t>信息。</w:t>
      </w:r>
      <w:r>
        <w:rPr>
          <w:rFonts w:hint="eastAsia" w:hAnsi="宋体"/>
          <w:bCs/>
          <w:sz w:val="24"/>
        </w:rPr>
        <w:t>基金管理人、基金托管人应当向中国证监会基金电子披露网站报送拟披露的基金信息，并保证相关报送信息的真实、准确、完整、及时。</w:t>
      </w:r>
    </w:p>
    <w:p>
      <w:pPr>
        <w:adjustRightInd w:val="0"/>
        <w:snapToGrid w:val="0"/>
        <w:spacing w:line="360" w:lineRule="auto"/>
        <w:ind w:firstLine="480" w:firstLineChars="200"/>
        <w:rPr>
          <w:rFonts w:hAnsi="宋体"/>
          <w:bCs/>
          <w:sz w:val="24"/>
        </w:rPr>
      </w:pPr>
      <w:r>
        <w:rPr>
          <w:rFonts w:hAnsi="宋体"/>
          <w:bCs/>
          <w:sz w:val="24"/>
        </w:rPr>
        <w:t>基金管理人、基金托管人除依法在指定</w:t>
      </w:r>
      <w:r>
        <w:rPr>
          <w:rFonts w:hint="eastAsia" w:hAnsi="宋体"/>
          <w:bCs/>
          <w:sz w:val="24"/>
        </w:rPr>
        <w:t>媒介</w:t>
      </w:r>
      <w:r>
        <w:rPr>
          <w:rFonts w:hAnsi="宋体"/>
          <w:bCs/>
          <w:sz w:val="24"/>
        </w:rPr>
        <w:t>上披露信息外，还可以根据需要在其他公共媒介披露信息，但是其他公共媒介不得早于指定</w:t>
      </w:r>
      <w:r>
        <w:rPr>
          <w:rFonts w:hint="eastAsia" w:hAnsi="宋体"/>
          <w:bCs/>
          <w:sz w:val="24"/>
        </w:rPr>
        <w:t>媒介和基金上市交易的证券交易所网站</w:t>
      </w:r>
      <w:r>
        <w:rPr>
          <w:rFonts w:hAnsi="宋体"/>
          <w:bCs/>
          <w:sz w:val="24"/>
        </w:rPr>
        <w:t>披露信息，并且在不同媒介上披露同一信息的内容应当一致。</w:t>
      </w:r>
    </w:p>
    <w:p>
      <w:pPr>
        <w:adjustRightInd w:val="0"/>
        <w:snapToGrid w:val="0"/>
        <w:spacing w:line="360" w:lineRule="auto"/>
        <w:ind w:firstLine="480" w:firstLineChars="200"/>
        <w:rPr>
          <w:rFonts w:hAnsi="宋体"/>
          <w:bCs/>
          <w:sz w:val="24"/>
        </w:rPr>
      </w:pPr>
      <w:r>
        <w:rPr>
          <w:rFonts w:hAnsi="宋体"/>
          <w:bCs/>
          <w:sz w:val="24"/>
        </w:rPr>
        <w:t>为基金信息披露义务人公开披露的基金信息出具审计报告、法律意见书的专业机构，应当制作工作底稿，并将相关档案至少保存到《基金合同》终止后</w:t>
      </w:r>
      <w:r>
        <w:rPr>
          <w:rFonts w:hint="eastAsia" w:hAnsi="宋体"/>
          <w:bCs/>
          <w:sz w:val="24"/>
        </w:rPr>
        <w:t>十</w:t>
      </w:r>
      <w:r>
        <w:rPr>
          <w:rFonts w:hAnsi="宋体"/>
          <w:bCs/>
          <w:sz w:val="24"/>
        </w:rPr>
        <w:t>年。</w:t>
      </w:r>
    </w:p>
    <w:p>
      <w:pPr>
        <w:adjustRightInd w:val="0"/>
        <w:snapToGrid w:val="0"/>
        <w:spacing w:line="360" w:lineRule="auto"/>
        <w:ind w:firstLine="480" w:firstLineChars="200"/>
        <w:rPr>
          <w:rFonts w:hAnsi="宋体"/>
          <w:bCs/>
          <w:sz w:val="24"/>
        </w:rPr>
      </w:pPr>
      <w:r>
        <w:rPr>
          <w:rFonts w:hint="eastAsia" w:hAnsi="宋体"/>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rFonts w:hAnsi="宋体"/>
          <w:bCs/>
          <w:sz w:val="24"/>
        </w:rPr>
        <w:t>符合中国证监会及自律规则的相关规定。前述</w:t>
      </w:r>
      <w:r>
        <w:rPr>
          <w:rFonts w:hint="eastAsia" w:hAnsi="宋体"/>
          <w:bCs/>
          <w:sz w:val="24"/>
        </w:rPr>
        <w:t>自主</w:t>
      </w:r>
      <w:r>
        <w:rPr>
          <w:rFonts w:hAnsi="宋体"/>
          <w:bCs/>
          <w:sz w:val="24"/>
        </w:rPr>
        <w:t>披露如产生信息披露</w:t>
      </w:r>
      <w:r>
        <w:rPr>
          <w:rFonts w:hint="eastAsia" w:hAnsi="宋体"/>
          <w:bCs/>
          <w:sz w:val="24"/>
        </w:rPr>
        <w:t>费用</w:t>
      </w:r>
      <w:r>
        <w:rPr>
          <w:rFonts w:hAnsi="宋体"/>
          <w:bCs/>
          <w:sz w:val="24"/>
        </w:rPr>
        <w:t>，该费用不</w:t>
      </w:r>
      <w:r>
        <w:rPr>
          <w:rFonts w:hint="eastAsia" w:hAnsi="宋体"/>
          <w:bCs/>
          <w:sz w:val="24"/>
        </w:rPr>
        <w:t>得</w:t>
      </w:r>
      <w:r>
        <w:rPr>
          <w:rFonts w:hAnsi="宋体"/>
          <w:bCs/>
          <w:sz w:val="24"/>
        </w:rPr>
        <w:t>从基金财产中列支。</w:t>
      </w:r>
    </w:p>
    <w:p>
      <w:pPr>
        <w:adjustRightInd w:val="0"/>
        <w:snapToGrid w:val="0"/>
        <w:spacing w:line="360" w:lineRule="auto"/>
        <w:ind w:firstLine="482" w:firstLineChars="200"/>
        <w:rPr>
          <w:rFonts w:hAnsi="宋体"/>
          <w:b/>
          <w:bCs/>
          <w:sz w:val="24"/>
        </w:rPr>
      </w:pPr>
      <w:r>
        <w:rPr>
          <w:rFonts w:hAnsi="宋体"/>
          <w:b/>
          <w:bCs/>
          <w:sz w:val="24"/>
        </w:rPr>
        <w:t>（七）信息披露文件的存放与查阅</w:t>
      </w:r>
    </w:p>
    <w:p>
      <w:pPr>
        <w:adjustRightInd w:val="0"/>
        <w:snapToGrid w:val="0"/>
        <w:spacing w:line="360" w:lineRule="auto"/>
        <w:ind w:firstLine="480" w:firstLineChars="200"/>
        <w:rPr>
          <w:rFonts w:hAnsi="宋体"/>
          <w:bCs/>
          <w:sz w:val="24"/>
        </w:rPr>
      </w:pPr>
      <w:r>
        <w:rPr>
          <w:rFonts w:hint="eastAsia" w:hAnsi="宋体"/>
          <w:bCs/>
          <w:sz w:val="24"/>
        </w:rPr>
        <w:t>依法必须披露的信息发布后，基金管理人、基金托管人应当按照相关法律法规规定将信息置备于各自住所和基金上市交易的证券交易所网站，供社会公众查阅、复制。</w:t>
      </w:r>
    </w:p>
    <w:p>
      <w:pPr>
        <w:adjustRightInd w:val="0"/>
        <w:snapToGrid w:val="0"/>
        <w:spacing w:line="360" w:lineRule="auto"/>
        <w:ind w:firstLine="482" w:firstLineChars="200"/>
        <w:rPr>
          <w:rFonts w:hAnsi="宋体"/>
          <w:bCs/>
          <w:sz w:val="24"/>
        </w:rPr>
      </w:pPr>
      <w:r>
        <w:rPr>
          <w:rFonts w:hint="eastAsia" w:hAnsi="宋体"/>
          <w:b/>
          <w:bCs/>
          <w:sz w:val="24"/>
        </w:rPr>
        <w:t>（八）</w:t>
      </w:r>
      <w:r>
        <w:rPr>
          <w:rFonts w:hint="eastAsia" w:hAnsi="宋体"/>
          <w:bCs/>
          <w:sz w:val="24"/>
        </w:rPr>
        <w:t>本基金信息披露事项以法律法规规定及本章节约定的内容为准。</w:t>
      </w: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widowControl/>
        <w:spacing w:line="440" w:lineRule="exact"/>
        <w:rPr>
          <w:rFonts w:ascii="宋体" w:hAnsi="宋体"/>
          <w:b/>
          <w:kern w:val="0"/>
          <w:sz w:val="30"/>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1" w:name="_Toc524440794"/>
      <w:r>
        <w:rPr>
          <w:rFonts w:hint="eastAsia" w:ascii="宋体" w:hAnsi="宋体"/>
          <w:b/>
          <w:kern w:val="0"/>
          <w:sz w:val="30"/>
        </w:rPr>
        <w:t>十八、风险揭示</w:t>
      </w:r>
      <w:bookmarkEnd w:id="91"/>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Pr>
          <w:rFonts w:hint="eastAsia" w:hAnsi="宋体"/>
          <w:kern w:val="0"/>
          <w:sz w:val="24"/>
          <w:szCs w:val="24"/>
        </w:rPr>
        <w:t>基金</w:t>
      </w:r>
      <w:r>
        <w:rPr>
          <w:rFonts w:hAnsi="宋体"/>
          <w:sz w:val="24"/>
          <w:szCs w:val="24"/>
        </w:rPr>
        <w:t>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扣除申购申请份额总数及基金转换中转入申请份额总数后的余额）超过基金总份额的百分之十时，投资人将可能无法及时赎回持有的全部基金份额。</w:t>
      </w:r>
    </w:p>
    <w:p>
      <w:pPr>
        <w:adjustRightInd w:val="0"/>
        <w:snapToGrid w:val="0"/>
        <w:spacing w:line="360" w:lineRule="auto"/>
        <w:ind w:firstLine="480" w:firstLineChars="200"/>
        <w:rPr>
          <w:sz w:val="24"/>
          <w:szCs w:val="24"/>
        </w:rPr>
      </w:pPr>
      <w:r>
        <w:rPr>
          <w:rFonts w:hAnsi="宋体"/>
          <w:sz w:val="24"/>
          <w:szCs w:val="24"/>
        </w:rPr>
        <w:t>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w:t>
      </w:r>
      <w:r>
        <w:rPr>
          <w:rFonts w:hAnsi="宋体"/>
          <w:sz w:val="24"/>
          <w:szCs w:val="24"/>
        </w:rPr>
        <w:t>基金产品资料概要等基金法律文件，了解基金的风险收益特征，并根据自身的投资目的、投资期限、投资经验、资产状况等判断基金是否和投资人的风险承受能力相适应。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widowControl/>
        <w:adjustRightInd w:val="0"/>
        <w:snapToGrid w:val="0"/>
        <w:spacing w:line="360" w:lineRule="auto"/>
        <w:ind w:firstLine="482" w:firstLineChars="200"/>
        <w:rPr>
          <w:b/>
          <w:kern w:val="0"/>
          <w:sz w:val="24"/>
          <w:szCs w:val="24"/>
        </w:rPr>
      </w:pPr>
      <w:r>
        <w:rPr>
          <w:rFonts w:hAnsi="宋体"/>
          <w:b/>
          <w:kern w:val="0"/>
          <w:sz w:val="24"/>
          <w:szCs w:val="24"/>
        </w:rPr>
        <w:t>（一）市场风险</w:t>
      </w:r>
      <w:r>
        <w:rPr>
          <w:b/>
          <w:kern w:val="0"/>
          <w:sz w:val="24"/>
          <w:szCs w:val="24"/>
        </w:rPr>
        <w:t xml:space="preserve"> </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widowControl/>
        <w:adjustRightInd w:val="0"/>
        <w:snapToGrid w:val="0"/>
        <w:spacing w:line="360" w:lineRule="auto"/>
        <w:ind w:firstLine="482" w:firstLineChars="200"/>
        <w:rPr>
          <w:b/>
          <w:kern w:val="0"/>
          <w:sz w:val="24"/>
          <w:szCs w:val="24"/>
        </w:rPr>
      </w:pPr>
      <w:r>
        <w:rPr>
          <w:rFonts w:hAnsi="宋体"/>
          <w:b/>
          <w:kern w:val="0"/>
          <w:sz w:val="24"/>
          <w:szCs w:val="24"/>
        </w:rPr>
        <w:t>（二）管理风险</w:t>
      </w:r>
      <w:r>
        <w:rPr>
          <w:b/>
          <w:kern w:val="0"/>
          <w:sz w:val="24"/>
          <w:szCs w:val="24"/>
        </w:rPr>
        <w:t xml:space="preserve"> </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pPr>
        <w:widowControl/>
        <w:adjustRightInd w:val="0"/>
        <w:snapToGrid w:val="0"/>
        <w:spacing w:line="360" w:lineRule="auto"/>
        <w:ind w:firstLine="482" w:firstLineChars="200"/>
        <w:rPr>
          <w:b/>
          <w:kern w:val="0"/>
          <w:sz w:val="24"/>
          <w:szCs w:val="24"/>
        </w:rPr>
      </w:pPr>
      <w:r>
        <w:rPr>
          <w:rFonts w:hAnsi="宋体"/>
          <w:b/>
          <w:kern w:val="0"/>
          <w:sz w:val="24"/>
          <w:szCs w:val="24"/>
        </w:rPr>
        <w:t>（三）流动性风险</w:t>
      </w:r>
      <w:r>
        <w:rPr>
          <w:b/>
          <w:kern w:val="0"/>
          <w:sz w:val="24"/>
          <w:szCs w:val="24"/>
        </w:rPr>
        <w:t xml:space="preserve"> </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bookmarkStart w:id="92" w:name="_Hlk524362955"/>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2"/>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当基金出现巨额赎回时，对于场外赎回申请，基金管理人可以根据基金当时的资产组合状况决定全额赎回或部分延期赎回。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巨额赎回业务的场内处理，按照深圳证券交易所及中国证券登记结算有限责任公司的有关规定办理。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bookmarkStart w:id="93" w:name="_Hlk524362990"/>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3"/>
    </w:p>
    <w:p>
      <w:pPr>
        <w:widowControl/>
        <w:adjustRightInd w:val="0"/>
        <w:snapToGrid w:val="0"/>
        <w:spacing w:line="360" w:lineRule="auto"/>
        <w:ind w:firstLine="482" w:firstLineChars="200"/>
        <w:rPr>
          <w:b/>
          <w:kern w:val="0"/>
          <w:sz w:val="24"/>
          <w:szCs w:val="24"/>
        </w:rPr>
      </w:pPr>
      <w:r>
        <w:rPr>
          <w:rFonts w:hAnsi="宋体"/>
          <w:b/>
          <w:kern w:val="0"/>
          <w:sz w:val="24"/>
          <w:szCs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pPr>
        <w:widowControl/>
        <w:adjustRightInd w:val="0"/>
        <w:snapToGrid w:val="0"/>
        <w:spacing w:line="360" w:lineRule="auto"/>
        <w:ind w:firstLine="482" w:firstLineChars="200"/>
        <w:rPr>
          <w:b/>
          <w:kern w:val="0"/>
          <w:sz w:val="24"/>
          <w:szCs w:val="24"/>
        </w:rPr>
      </w:pPr>
      <w:r>
        <w:rPr>
          <w:b/>
          <w:kern w:val="0"/>
          <w:sz w:val="24"/>
          <w:szCs w:val="24"/>
        </w:rPr>
        <w:t>（五）本基金投资策略所特有的</w:t>
      </w:r>
      <w:r>
        <w:rPr>
          <w:rFonts w:hint="eastAsia"/>
          <w:b/>
          <w:kern w:val="0"/>
          <w:sz w:val="24"/>
          <w:szCs w:val="24"/>
        </w:rPr>
        <w:t>指数化投资</w:t>
      </w:r>
      <w:r>
        <w:rPr>
          <w:b/>
          <w:kern w:val="0"/>
          <w:sz w:val="24"/>
          <w:szCs w:val="24"/>
        </w:rPr>
        <w:t>风险</w:t>
      </w:r>
    </w:p>
    <w:p>
      <w:pPr>
        <w:widowControl/>
        <w:adjustRightInd w:val="0"/>
        <w:snapToGrid w:val="0"/>
        <w:spacing w:line="360" w:lineRule="auto"/>
        <w:ind w:firstLine="480" w:firstLineChars="200"/>
        <w:rPr>
          <w:sz w:val="24"/>
          <w:szCs w:val="24"/>
        </w:rPr>
      </w:pPr>
      <w:r>
        <w:rPr>
          <w:sz w:val="24"/>
          <w:szCs w:val="24"/>
        </w:rPr>
        <w:t>1、标的指数回报与股票市场平均回报偏离的风险</w:t>
      </w:r>
    </w:p>
    <w:p>
      <w:pPr>
        <w:widowControl/>
        <w:adjustRightInd w:val="0"/>
        <w:snapToGrid w:val="0"/>
        <w:spacing w:line="360" w:lineRule="auto"/>
        <w:ind w:firstLine="480" w:firstLineChars="200"/>
        <w:rPr>
          <w:sz w:val="24"/>
          <w:szCs w:val="24"/>
        </w:rPr>
      </w:pPr>
      <w:r>
        <w:rPr>
          <w:sz w:val="24"/>
          <w:szCs w:val="24"/>
        </w:rPr>
        <w:t>标的指数并不能完全代表整个股票市场。标的指数成份股的平均回报率与整个股票市场的平均回报率可能存在偏离。</w:t>
      </w:r>
    </w:p>
    <w:p>
      <w:pPr>
        <w:widowControl/>
        <w:adjustRightInd w:val="0"/>
        <w:snapToGrid w:val="0"/>
        <w:spacing w:line="360" w:lineRule="auto"/>
        <w:ind w:firstLine="480" w:firstLineChars="200"/>
        <w:rPr>
          <w:sz w:val="24"/>
          <w:szCs w:val="24"/>
        </w:rPr>
      </w:pPr>
      <w:r>
        <w:rPr>
          <w:sz w:val="24"/>
          <w:szCs w:val="24"/>
        </w:rPr>
        <w:t>2、标的指数波动的风险</w:t>
      </w:r>
    </w:p>
    <w:p>
      <w:pPr>
        <w:widowControl/>
        <w:adjustRightInd w:val="0"/>
        <w:snapToGrid w:val="0"/>
        <w:spacing w:line="360" w:lineRule="auto"/>
        <w:ind w:firstLine="480" w:firstLineChars="200"/>
        <w:rPr>
          <w:sz w:val="24"/>
          <w:szCs w:val="24"/>
        </w:rPr>
      </w:pPr>
      <w:r>
        <w:rPr>
          <w:sz w:val="24"/>
          <w:szCs w:val="24"/>
        </w:rPr>
        <w:t>标的指数成份股的价格可能受到政治因素、经济因素、上市公司经营状况、投资人心理和交易制度等各种因素的影响而波动，导致指数波动，从而使基金收益水平发生变化，产生风险。</w:t>
      </w:r>
    </w:p>
    <w:p>
      <w:pPr>
        <w:widowControl/>
        <w:adjustRightInd w:val="0"/>
        <w:snapToGrid w:val="0"/>
        <w:spacing w:line="360" w:lineRule="auto"/>
        <w:ind w:firstLine="480" w:firstLineChars="200"/>
        <w:rPr>
          <w:sz w:val="24"/>
          <w:szCs w:val="24"/>
        </w:rPr>
      </w:pPr>
      <w:r>
        <w:rPr>
          <w:sz w:val="24"/>
          <w:szCs w:val="24"/>
        </w:rPr>
        <w:t>3、基金投资组合回报与标的指数回报偏离的风险</w:t>
      </w:r>
    </w:p>
    <w:p>
      <w:pPr>
        <w:widowControl/>
        <w:adjustRightInd w:val="0"/>
        <w:snapToGrid w:val="0"/>
        <w:spacing w:line="360" w:lineRule="auto"/>
        <w:ind w:firstLine="480" w:firstLineChars="200"/>
        <w:rPr>
          <w:sz w:val="24"/>
          <w:szCs w:val="24"/>
        </w:rPr>
      </w:pPr>
      <w:r>
        <w:rPr>
          <w:sz w:val="24"/>
          <w:szCs w:val="24"/>
        </w:rPr>
        <w:t>以下因素可能使基金投资组合的收益率与标的指数的收益率发生偏离：</w:t>
      </w:r>
    </w:p>
    <w:p>
      <w:pPr>
        <w:widowControl/>
        <w:adjustRightInd w:val="0"/>
        <w:snapToGrid w:val="0"/>
        <w:spacing w:line="360" w:lineRule="auto"/>
        <w:ind w:firstLine="480" w:firstLineChars="200"/>
        <w:rPr>
          <w:sz w:val="24"/>
          <w:szCs w:val="24"/>
        </w:rPr>
      </w:pPr>
      <w:r>
        <w:rPr>
          <w:sz w:val="24"/>
          <w:szCs w:val="24"/>
        </w:rPr>
        <w:t>（1）由于标的指数调整成份股或变更编制方法，使本基金在相应的组合调整中产生跟踪偏离度与跟踪误差。</w:t>
      </w:r>
    </w:p>
    <w:p>
      <w:pPr>
        <w:widowControl/>
        <w:adjustRightInd w:val="0"/>
        <w:snapToGrid w:val="0"/>
        <w:spacing w:line="360" w:lineRule="auto"/>
        <w:ind w:firstLine="480" w:firstLineChars="200"/>
        <w:rPr>
          <w:sz w:val="24"/>
          <w:szCs w:val="24"/>
        </w:rPr>
      </w:pPr>
      <w:r>
        <w:rPr>
          <w:sz w:val="24"/>
          <w:szCs w:val="24"/>
        </w:rPr>
        <w:t>（2）由于标的指数成份股发生配股、增发等行为导致成份股在标的指数中的权重发生变化，使本基金在相应的组合调整中产生跟踪偏离度和跟踪误差。</w:t>
      </w:r>
    </w:p>
    <w:p>
      <w:pPr>
        <w:widowControl/>
        <w:adjustRightInd w:val="0"/>
        <w:snapToGrid w:val="0"/>
        <w:spacing w:line="360" w:lineRule="auto"/>
        <w:ind w:firstLine="480" w:firstLineChars="200"/>
        <w:rPr>
          <w:sz w:val="24"/>
          <w:szCs w:val="24"/>
        </w:rPr>
      </w:pPr>
      <w:r>
        <w:rPr>
          <w:sz w:val="24"/>
          <w:szCs w:val="24"/>
        </w:rPr>
        <w:t>（3）标的指数成份股派发现金红利、新股市值配售收益将导致基金收益率超过标的指数收益率，产生正的跟踪偏离度。</w:t>
      </w:r>
    </w:p>
    <w:p>
      <w:pPr>
        <w:widowControl/>
        <w:adjustRightInd w:val="0"/>
        <w:snapToGrid w:val="0"/>
        <w:spacing w:line="360" w:lineRule="auto"/>
        <w:ind w:firstLine="480" w:firstLineChars="200"/>
        <w:rPr>
          <w:sz w:val="24"/>
          <w:szCs w:val="24"/>
        </w:rPr>
      </w:pPr>
      <w:r>
        <w:rPr>
          <w:sz w:val="24"/>
          <w:szCs w:val="24"/>
        </w:rPr>
        <w:t>（4）由于标的指数成份股停牌、摘牌或流动性差等原因使本基金无法及时调整投资组合或承担冲击成本而产生跟踪偏离度和跟踪误差。</w:t>
      </w:r>
    </w:p>
    <w:p>
      <w:pPr>
        <w:widowControl/>
        <w:adjustRightInd w:val="0"/>
        <w:snapToGrid w:val="0"/>
        <w:spacing w:line="360" w:lineRule="auto"/>
        <w:ind w:firstLine="480" w:firstLineChars="200"/>
        <w:rPr>
          <w:sz w:val="24"/>
          <w:szCs w:val="24"/>
        </w:rPr>
      </w:pPr>
      <w:r>
        <w:rPr>
          <w:sz w:val="24"/>
          <w:szCs w:val="24"/>
        </w:rPr>
        <w:t>（5）因法律法规的限制或其他限制，本基金可能不能投资于部分标的指数成分股。在使用替代方法，如投资同行业中相关性较高的股票以替代上述投资受限股票时，会产生一定的跟踪偏离度和跟踪误差。</w:t>
      </w:r>
    </w:p>
    <w:p>
      <w:pPr>
        <w:widowControl/>
        <w:adjustRightInd w:val="0"/>
        <w:snapToGrid w:val="0"/>
        <w:spacing w:line="360" w:lineRule="auto"/>
        <w:ind w:firstLine="480" w:firstLineChars="200"/>
        <w:rPr>
          <w:sz w:val="24"/>
          <w:szCs w:val="24"/>
        </w:rPr>
      </w:pPr>
      <w:r>
        <w:rPr>
          <w:sz w:val="24"/>
          <w:szCs w:val="24"/>
        </w:rPr>
        <w:t>（6）基金有投资成本、各种费用及税收，而指数编制不考虑费用和税收，这将导致基金收益率落后于标的指数收益率，产生负的跟踪偏离度。</w:t>
      </w:r>
    </w:p>
    <w:p>
      <w:pPr>
        <w:widowControl/>
        <w:adjustRightInd w:val="0"/>
        <w:snapToGrid w:val="0"/>
        <w:spacing w:line="360" w:lineRule="auto"/>
        <w:ind w:firstLine="480" w:firstLineChars="200"/>
        <w:rPr>
          <w:sz w:val="24"/>
          <w:szCs w:val="24"/>
        </w:rPr>
      </w:pPr>
      <w:r>
        <w:rPr>
          <w:sz w:val="24"/>
          <w:szCs w:val="24"/>
        </w:rPr>
        <w:t>（7）在本基金指数化投资过程中，基金管理人的管理能力，例如跟踪指数的水平、技术手段、买入卖出的时机选择等，都会对本基金的收益产生影响，从而影响本基金对标的指数的跟踪程度。</w:t>
      </w:r>
    </w:p>
    <w:p>
      <w:pPr>
        <w:widowControl/>
        <w:adjustRightInd w:val="0"/>
        <w:snapToGrid w:val="0"/>
        <w:spacing w:line="360" w:lineRule="auto"/>
        <w:ind w:firstLine="480" w:firstLineChars="200"/>
        <w:rPr>
          <w:sz w:val="24"/>
          <w:szCs w:val="24"/>
        </w:rPr>
      </w:pPr>
      <w:r>
        <w:rPr>
          <w:sz w:val="24"/>
          <w:szCs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pPr>
        <w:widowControl/>
        <w:adjustRightInd w:val="0"/>
        <w:snapToGrid w:val="0"/>
        <w:spacing w:line="360" w:lineRule="auto"/>
        <w:ind w:firstLine="480" w:firstLineChars="200"/>
        <w:rPr>
          <w:kern w:val="0"/>
          <w:sz w:val="24"/>
          <w:szCs w:val="24"/>
        </w:rPr>
      </w:pPr>
      <w:r>
        <w:rPr>
          <w:kern w:val="0"/>
          <w:sz w:val="24"/>
          <w:szCs w:val="24"/>
        </w:rPr>
        <w:t>4、标的指数变更的风险</w:t>
      </w:r>
    </w:p>
    <w:p>
      <w:pPr>
        <w:widowControl/>
        <w:adjustRightInd w:val="0"/>
        <w:snapToGrid w:val="0"/>
        <w:spacing w:line="360" w:lineRule="auto"/>
        <w:ind w:firstLine="480" w:firstLineChars="200"/>
        <w:rPr>
          <w:kern w:val="0"/>
          <w:sz w:val="24"/>
          <w:szCs w:val="24"/>
        </w:rPr>
      </w:pPr>
      <w:r>
        <w:rPr>
          <w:rFonts w:hint="eastAsia"/>
          <w:kern w:val="0"/>
          <w:sz w:val="24"/>
        </w:rPr>
        <w:t>尽管可能性很小，但</w:t>
      </w:r>
      <w:r>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pPr>
        <w:widowControl/>
        <w:adjustRightInd w:val="0"/>
        <w:snapToGrid w:val="0"/>
        <w:spacing w:line="360" w:lineRule="auto"/>
        <w:ind w:firstLine="480" w:firstLineChars="200"/>
        <w:rPr>
          <w:bCs/>
          <w:kern w:val="0"/>
          <w:sz w:val="24"/>
          <w:szCs w:val="24"/>
        </w:rPr>
      </w:pPr>
      <w:r>
        <w:rPr>
          <w:rFonts w:hint="eastAsia"/>
          <w:bCs/>
          <w:kern w:val="0"/>
          <w:sz w:val="24"/>
          <w:szCs w:val="24"/>
        </w:rPr>
        <w:t>5、跟踪误差控制未达约定目标的风险</w:t>
      </w:r>
    </w:p>
    <w:p>
      <w:pPr>
        <w:widowControl/>
        <w:adjustRightInd w:val="0"/>
        <w:snapToGrid w:val="0"/>
        <w:spacing w:line="360" w:lineRule="auto"/>
        <w:ind w:firstLine="480" w:firstLineChars="200"/>
        <w:rPr>
          <w:bCs/>
          <w:kern w:val="0"/>
          <w:sz w:val="24"/>
          <w:szCs w:val="24"/>
        </w:rPr>
      </w:pPr>
      <w:r>
        <w:rPr>
          <w:rFonts w:hint="eastAsia"/>
          <w:bCs/>
          <w:kern w:val="0"/>
          <w:sz w:val="24"/>
          <w:szCs w:val="24"/>
        </w:rPr>
        <w:t>本基金力争控制本基金日均跟踪偏离度的绝对值不超过0.</w:t>
      </w:r>
      <w:r>
        <w:rPr>
          <w:bCs/>
          <w:kern w:val="0"/>
          <w:sz w:val="24"/>
          <w:szCs w:val="24"/>
        </w:rPr>
        <w:t>35</w:t>
      </w:r>
      <w:r>
        <w:rPr>
          <w:rFonts w:hint="eastAsia"/>
          <w:bCs/>
          <w:kern w:val="0"/>
          <w:sz w:val="24"/>
          <w:szCs w:val="24"/>
        </w:rPr>
        <w:t>%，年跟踪误差不超过</w:t>
      </w:r>
      <w:r>
        <w:rPr>
          <w:bCs/>
          <w:kern w:val="0"/>
          <w:sz w:val="24"/>
          <w:szCs w:val="24"/>
        </w:rPr>
        <w:t>4</w:t>
      </w:r>
      <w:r>
        <w:rPr>
          <w:rFonts w:hint="eastAsia"/>
          <w:bCs/>
          <w:kern w:val="0"/>
          <w:sz w:val="24"/>
          <w:szCs w:val="24"/>
        </w:rPr>
        <w:t>%。但因标的指数编制规则调整或其他因素可能导致跟踪误差超过上述范围，本基金净值表现与指数价格走势可能发生较大偏离。</w:t>
      </w:r>
    </w:p>
    <w:p>
      <w:pPr>
        <w:widowControl/>
        <w:adjustRightInd w:val="0"/>
        <w:snapToGrid w:val="0"/>
        <w:spacing w:line="360" w:lineRule="auto"/>
        <w:ind w:firstLine="480" w:firstLineChars="200"/>
        <w:rPr>
          <w:bCs/>
          <w:kern w:val="0"/>
          <w:sz w:val="24"/>
          <w:szCs w:val="24"/>
        </w:rPr>
      </w:pPr>
      <w:r>
        <w:rPr>
          <w:rFonts w:hint="eastAsia"/>
          <w:bCs/>
          <w:kern w:val="0"/>
          <w:sz w:val="24"/>
          <w:szCs w:val="24"/>
        </w:rPr>
        <w:t>6、指数编制机构停止服务的风险</w:t>
      </w:r>
    </w:p>
    <w:p>
      <w:pPr>
        <w:widowControl/>
        <w:adjustRightInd w:val="0"/>
        <w:snapToGrid w:val="0"/>
        <w:spacing w:line="360" w:lineRule="auto"/>
        <w:ind w:firstLine="480" w:firstLineChars="200"/>
        <w:rPr>
          <w:bCs/>
          <w:kern w:val="0"/>
          <w:sz w:val="24"/>
          <w:szCs w:val="24"/>
        </w:rPr>
      </w:pPr>
      <w:r>
        <w:rPr>
          <w:rFonts w:hint="eastAsia"/>
          <w:bCs/>
          <w:kern w:val="0"/>
          <w:sz w:val="24"/>
          <w:szCs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bookmarkStart w:id="94" w:name="_Hlk67315711"/>
      <w:r>
        <w:rPr>
          <w:rFonts w:hint="eastAsia"/>
          <w:bCs/>
          <w:kern w:val="0"/>
          <w:sz w:val="24"/>
          <w:szCs w:val="24"/>
        </w:rPr>
        <w:t>更换基金标的指数、转换运作方式，与其他基金合并或者终止基金合同等，并</w:t>
      </w:r>
      <w:bookmarkEnd w:id="94"/>
      <w:r>
        <w:rPr>
          <w:rFonts w:hint="eastAsia"/>
          <w:bCs/>
          <w:kern w:val="0"/>
          <w:sz w:val="24"/>
          <w:szCs w:val="24"/>
        </w:rPr>
        <w:t>在</w:t>
      </w:r>
      <w:r>
        <w:rPr>
          <w:bCs/>
          <w:kern w:val="0"/>
          <w:sz w:val="24"/>
          <w:szCs w:val="24"/>
        </w:rPr>
        <w:t>6</w:t>
      </w:r>
      <w:r>
        <w:rPr>
          <w:rFonts w:hint="eastAsia"/>
          <w:bCs/>
          <w:kern w:val="0"/>
          <w:sz w:val="24"/>
          <w:szCs w:val="24"/>
        </w:rPr>
        <w:t>个月内召集基金份额持有人大会进行表决，基金份额持有人大会未成功召开或就上述事项表决未通过的，基金合同终止。</w:t>
      </w:r>
      <w:r>
        <w:rPr>
          <w:rFonts w:hint="eastAsia"/>
          <w:bCs/>
          <w:sz w:val="24"/>
        </w:rPr>
        <w:t>投资人将面临更换基金标的指数、转换运作方式，与其他基金合并或者终止基金合同等风险。</w:t>
      </w:r>
      <w:r>
        <w:rPr>
          <w:rFonts w:hint="eastAsia"/>
          <w:bCs/>
          <w:kern w:val="0"/>
          <w:sz w:val="24"/>
          <w:szCs w:val="24"/>
        </w:rPr>
        <w:t xml:space="preserve"> </w:t>
      </w:r>
    </w:p>
    <w:p>
      <w:pPr>
        <w:widowControl/>
        <w:adjustRightInd w:val="0"/>
        <w:snapToGrid w:val="0"/>
        <w:spacing w:line="360" w:lineRule="auto"/>
        <w:ind w:firstLine="480" w:firstLineChars="200"/>
        <w:rPr>
          <w:bCs/>
          <w:kern w:val="0"/>
          <w:sz w:val="24"/>
          <w:szCs w:val="24"/>
        </w:rPr>
      </w:pPr>
      <w:r>
        <w:rPr>
          <w:rFonts w:hint="eastAsia"/>
          <w:bCs/>
          <w:kern w:val="0"/>
          <w:sz w:val="24"/>
          <w:szCs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widowControl/>
        <w:adjustRightInd w:val="0"/>
        <w:snapToGrid w:val="0"/>
        <w:spacing w:line="360" w:lineRule="auto"/>
        <w:ind w:firstLine="480" w:firstLineChars="200"/>
        <w:rPr>
          <w:bCs/>
          <w:kern w:val="0"/>
          <w:sz w:val="24"/>
          <w:szCs w:val="24"/>
        </w:rPr>
      </w:pPr>
      <w:r>
        <w:rPr>
          <w:bCs/>
          <w:kern w:val="0"/>
          <w:sz w:val="24"/>
          <w:szCs w:val="24"/>
        </w:rPr>
        <w:t>7</w:t>
      </w:r>
      <w:r>
        <w:rPr>
          <w:rFonts w:hint="eastAsia"/>
          <w:bCs/>
          <w:kern w:val="0"/>
          <w:sz w:val="24"/>
          <w:szCs w:val="24"/>
        </w:rPr>
        <w:t>、成份股停牌的风险</w:t>
      </w:r>
    </w:p>
    <w:p>
      <w:pPr>
        <w:widowControl/>
        <w:adjustRightInd w:val="0"/>
        <w:snapToGrid w:val="0"/>
        <w:spacing w:line="360" w:lineRule="auto"/>
        <w:ind w:firstLine="480" w:firstLineChars="200"/>
        <w:rPr>
          <w:bCs/>
          <w:kern w:val="0"/>
          <w:sz w:val="24"/>
          <w:szCs w:val="24"/>
        </w:rPr>
      </w:pPr>
      <w:r>
        <w:rPr>
          <w:rFonts w:hint="eastAsia"/>
          <w:bCs/>
          <w:kern w:val="0"/>
          <w:sz w:val="24"/>
          <w:szCs w:val="24"/>
        </w:rPr>
        <w:t>标的指数成份股可能因各种原因临时或长期停牌，发生成份股停牌时可能面临如下风险：</w:t>
      </w:r>
    </w:p>
    <w:p>
      <w:pPr>
        <w:widowControl/>
        <w:adjustRightInd w:val="0"/>
        <w:snapToGrid w:val="0"/>
        <w:spacing w:line="360" w:lineRule="auto"/>
        <w:ind w:firstLine="480" w:firstLineChars="200"/>
        <w:rPr>
          <w:bCs/>
          <w:kern w:val="0"/>
          <w:sz w:val="24"/>
          <w:szCs w:val="24"/>
        </w:rPr>
      </w:pPr>
      <w:r>
        <w:rPr>
          <w:rFonts w:hint="eastAsia"/>
          <w:bCs/>
          <w:kern w:val="0"/>
          <w:sz w:val="24"/>
          <w:szCs w:val="24"/>
        </w:rPr>
        <w:t>（1）基金可能因无法及时调整投资组合而导致跟踪偏离度和跟踪误差扩大。</w:t>
      </w:r>
    </w:p>
    <w:p>
      <w:pPr>
        <w:widowControl/>
        <w:adjustRightInd w:val="0"/>
        <w:snapToGrid w:val="0"/>
        <w:spacing w:line="360" w:lineRule="auto"/>
        <w:ind w:firstLine="480" w:firstLineChars="200"/>
        <w:rPr>
          <w:bCs/>
          <w:kern w:val="0"/>
          <w:sz w:val="24"/>
          <w:szCs w:val="24"/>
        </w:rPr>
      </w:pPr>
      <w:r>
        <w:rPr>
          <w:rFonts w:hint="eastAsia"/>
          <w:bCs/>
          <w:kern w:val="0"/>
          <w:sz w:val="24"/>
          <w:szCs w:val="24"/>
        </w:rPr>
        <w:t>（</w:t>
      </w:r>
      <w:r>
        <w:rPr>
          <w:bCs/>
          <w:kern w:val="0"/>
          <w:sz w:val="24"/>
          <w:szCs w:val="24"/>
        </w:rPr>
        <w:t>2</w:t>
      </w:r>
      <w:r>
        <w:rPr>
          <w:rFonts w:hint="eastAsia"/>
          <w:bCs/>
          <w:kern w:val="0"/>
          <w:sz w:val="24"/>
          <w:szCs w:val="24"/>
        </w:rPr>
        <w:t>）若成份股停牌时间较长，在约定时间内仍未能及时买入或卖出的，由此可能影响投资者的投资损益并使基金产生跟踪偏离度和跟踪误差。</w:t>
      </w:r>
    </w:p>
    <w:p>
      <w:pPr>
        <w:widowControl/>
        <w:adjustRightInd w:val="0"/>
        <w:snapToGrid w:val="0"/>
        <w:spacing w:line="360" w:lineRule="auto"/>
        <w:ind w:firstLine="480" w:firstLineChars="200"/>
        <w:rPr>
          <w:bCs/>
          <w:kern w:val="0"/>
          <w:sz w:val="24"/>
          <w:szCs w:val="24"/>
        </w:rPr>
      </w:pPr>
      <w:r>
        <w:rPr>
          <w:rFonts w:hint="eastAsia"/>
          <w:bCs/>
          <w:kern w:val="0"/>
          <w:sz w:val="24"/>
          <w:szCs w:val="24"/>
        </w:rPr>
        <w:t>（</w:t>
      </w:r>
      <w:r>
        <w:rPr>
          <w:bCs/>
          <w:kern w:val="0"/>
          <w:sz w:val="24"/>
          <w:szCs w:val="24"/>
        </w:rPr>
        <w:t>3</w:t>
      </w:r>
      <w:r>
        <w:rPr>
          <w:rFonts w:hint="eastAsia"/>
          <w:bCs/>
          <w:kern w:val="0"/>
          <w:sz w:val="24"/>
          <w:szCs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pPr>
        <w:widowControl/>
        <w:adjustRightInd w:val="0"/>
        <w:snapToGrid w:val="0"/>
        <w:spacing w:line="360" w:lineRule="auto"/>
        <w:ind w:firstLine="480" w:firstLineChars="200"/>
        <w:rPr>
          <w:bCs/>
          <w:kern w:val="0"/>
          <w:sz w:val="24"/>
          <w:szCs w:val="24"/>
        </w:rPr>
      </w:pPr>
      <w:r>
        <w:rPr>
          <w:rFonts w:hint="eastAsia"/>
          <w:bCs/>
          <w:kern w:val="0"/>
          <w:sz w:val="24"/>
          <w:szCs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widowControl/>
        <w:adjustRightInd w:val="0"/>
        <w:snapToGrid w:val="0"/>
        <w:spacing w:line="360" w:lineRule="auto"/>
        <w:ind w:firstLine="482" w:firstLineChars="200"/>
        <w:rPr>
          <w:b/>
          <w:color w:val="000000"/>
          <w:kern w:val="0"/>
          <w:sz w:val="24"/>
          <w:szCs w:val="24"/>
        </w:rPr>
      </w:pPr>
      <w:r>
        <w:rPr>
          <w:b/>
          <w:color w:val="000000"/>
          <w:kern w:val="0"/>
          <w:sz w:val="24"/>
          <w:szCs w:val="24"/>
        </w:rPr>
        <w:t>（六）基金运作的特定风险</w:t>
      </w:r>
    </w:p>
    <w:p>
      <w:pPr>
        <w:widowControl/>
        <w:adjustRightInd w:val="0"/>
        <w:snapToGrid w:val="0"/>
        <w:spacing w:line="360" w:lineRule="auto"/>
        <w:ind w:firstLine="480" w:firstLineChars="200"/>
        <w:rPr>
          <w:color w:val="000000"/>
          <w:kern w:val="0"/>
          <w:sz w:val="24"/>
          <w:szCs w:val="24"/>
        </w:rPr>
      </w:pPr>
      <w:r>
        <w:rPr>
          <w:color w:val="000000"/>
          <w:kern w:val="0"/>
          <w:sz w:val="24"/>
          <w:szCs w:val="24"/>
        </w:rPr>
        <w:t>1、上市交易风险</w:t>
      </w:r>
    </w:p>
    <w:p>
      <w:pPr>
        <w:widowControl/>
        <w:adjustRightInd w:val="0"/>
        <w:snapToGrid w:val="0"/>
        <w:spacing w:line="360" w:lineRule="auto"/>
        <w:ind w:firstLine="480" w:firstLineChars="200"/>
        <w:rPr>
          <w:color w:val="000000"/>
          <w:kern w:val="0"/>
          <w:sz w:val="24"/>
          <w:szCs w:val="24"/>
        </w:rPr>
      </w:pPr>
      <w:r>
        <w:rPr>
          <w:rFonts w:hint="eastAsia"/>
          <w:sz w:val="24"/>
          <w:szCs w:val="24"/>
        </w:rPr>
        <w:t>本基金基金份额上市交易后</w:t>
      </w:r>
      <w:r>
        <w:rPr>
          <w:sz w:val="24"/>
          <w:szCs w:val="24"/>
        </w:rPr>
        <w:t>，由于上市期间可能因</w:t>
      </w:r>
      <w:r>
        <w:rPr>
          <w:rFonts w:hint="eastAsia" w:hAnsi="宋体"/>
          <w:kern w:val="0"/>
          <w:sz w:val="24"/>
          <w:szCs w:val="24"/>
        </w:rPr>
        <w:t>发生</w:t>
      </w:r>
      <w:r>
        <w:rPr>
          <w:rFonts w:hAnsi="宋体"/>
          <w:kern w:val="0"/>
          <w:sz w:val="24"/>
          <w:szCs w:val="24"/>
        </w:rPr>
        <w:t>停牌情形</w:t>
      </w:r>
      <w:r>
        <w:rPr>
          <w:sz w:val="24"/>
          <w:szCs w:val="24"/>
        </w:rPr>
        <w:t>导致基金停牌，投资人在停牌期间不能买卖</w:t>
      </w:r>
      <w:r>
        <w:rPr>
          <w:rFonts w:hint="eastAsia"/>
          <w:sz w:val="24"/>
          <w:szCs w:val="24"/>
        </w:rPr>
        <w:t>对应</w:t>
      </w:r>
      <w:r>
        <w:rPr>
          <w:sz w:val="24"/>
          <w:szCs w:val="24"/>
        </w:rPr>
        <w:t>上市交易份额，</w:t>
      </w:r>
      <w:r>
        <w:rPr>
          <w:rFonts w:hint="eastAsia"/>
          <w:kern w:val="0"/>
          <w:sz w:val="24"/>
        </w:rPr>
        <w:t>从而产生不能买卖基金份额的</w:t>
      </w:r>
      <w:r>
        <w:rPr>
          <w:sz w:val="24"/>
          <w:szCs w:val="24"/>
        </w:rPr>
        <w:t>风险；同时，可能因上市后交易对手不足而产生流动性风险；另外，</w:t>
      </w:r>
      <w:r>
        <w:rPr>
          <w:rFonts w:hint="eastAsia"/>
          <w:sz w:val="24"/>
          <w:szCs w:val="24"/>
        </w:rPr>
        <w:t>当本基金存续期内不满足深圳证券交易所规定的上市条件时，本基金存在暂停上市或终止上市的可能</w:t>
      </w:r>
      <w:r>
        <w:rPr>
          <w:sz w:val="24"/>
          <w:szCs w:val="24"/>
        </w:rPr>
        <w:t>。</w:t>
      </w:r>
    </w:p>
    <w:p>
      <w:pPr>
        <w:widowControl/>
        <w:adjustRightInd w:val="0"/>
        <w:snapToGrid w:val="0"/>
        <w:spacing w:line="360" w:lineRule="auto"/>
        <w:ind w:firstLine="480" w:firstLineChars="200"/>
        <w:rPr>
          <w:color w:val="000000"/>
          <w:kern w:val="0"/>
          <w:sz w:val="24"/>
          <w:szCs w:val="24"/>
        </w:rPr>
      </w:pPr>
      <w:r>
        <w:rPr>
          <w:rFonts w:hint="eastAsia"/>
          <w:color w:val="000000"/>
          <w:kern w:val="0"/>
          <w:sz w:val="24"/>
          <w:szCs w:val="24"/>
        </w:rPr>
        <w:t>2</w:t>
      </w:r>
      <w:r>
        <w:rPr>
          <w:color w:val="000000"/>
          <w:kern w:val="0"/>
          <w:sz w:val="24"/>
          <w:szCs w:val="24"/>
        </w:rPr>
        <w:t>、</w:t>
      </w:r>
      <w:r>
        <w:rPr>
          <w:rFonts w:hint="eastAsia"/>
          <w:color w:val="000000"/>
          <w:kern w:val="0"/>
          <w:sz w:val="24"/>
          <w:szCs w:val="24"/>
        </w:rPr>
        <w:t>基金份额的</w:t>
      </w:r>
      <w:r>
        <w:rPr>
          <w:color w:val="000000"/>
          <w:kern w:val="0"/>
          <w:sz w:val="24"/>
          <w:szCs w:val="24"/>
        </w:rPr>
        <w:t>折/溢价交易风险</w:t>
      </w:r>
    </w:p>
    <w:p>
      <w:pPr>
        <w:widowControl/>
        <w:adjustRightInd w:val="0"/>
        <w:snapToGrid w:val="0"/>
        <w:spacing w:line="360" w:lineRule="auto"/>
        <w:ind w:firstLine="480" w:firstLineChars="200"/>
        <w:rPr>
          <w:color w:val="000000"/>
          <w:kern w:val="0"/>
          <w:sz w:val="24"/>
          <w:szCs w:val="24"/>
        </w:rPr>
      </w:pPr>
      <w:r>
        <w:rPr>
          <w:rFonts w:hint="eastAsia"/>
          <w:sz w:val="24"/>
          <w:szCs w:val="24"/>
        </w:rPr>
        <w:t>本基金基金份额上市交易后，由于受市场供求关系的影响，基金份额的交易价格与基金份额净值可能发生偏离而出现折/溢价交易风险</w:t>
      </w:r>
      <w:r>
        <w:rPr>
          <w:color w:val="000000"/>
          <w:kern w:val="0"/>
          <w:sz w:val="24"/>
          <w:szCs w:val="24"/>
        </w:rPr>
        <w:t>。</w:t>
      </w:r>
    </w:p>
    <w:p>
      <w:pPr>
        <w:widowControl/>
        <w:adjustRightInd w:val="0"/>
        <w:snapToGrid w:val="0"/>
        <w:spacing w:line="360" w:lineRule="auto"/>
        <w:ind w:firstLine="482" w:firstLineChars="200"/>
        <w:rPr>
          <w:b/>
          <w:kern w:val="0"/>
          <w:sz w:val="24"/>
          <w:szCs w:val="24"/>
        </w:rPr>
      </w:pPr>
      <w:r>
        <w:rPr>
          <w:b/>
          <w:kern w:val="0"/>
          <w:sz w:val="24"/>
          <w:szCs w:val="24"/>
        </w:rPr>
        <w:t>（七）投资股指期货的特定风险</w:t>
      </w:r>
    </w:p>
    <w:p>
      <w:pPr>
        <w:widowControl/>
        <w:adjustRightInd w:val="0"/>
        <w:snapToGrid w:val="0"/>
        <w:spacing w:line="360" w:lineRule="auto"/>
        <w:ind w:firstLine="480" w:firstLineChars="200"/>
        <w:rPr>
          <w:kern w:val="0"/>
          <w:sz w:val="24"/>
          <w:szCs w:val="24"/>
        </w:rPr>
      </w:pPr>
      <w:r>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kern w:val="0"/>
          <w:sz w:val="24"/>
          <w:szCs w:val="24"/>
        </w:rPr>
        <w:t>（1）市场风险是指由于股指期货价格变动而给投资者带来的风险。市场风险是股指期货投资中最主要的风险。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（八）投资科创板股票的特定风险</w:t>
      </w:r>
      <w:r>
        <w:rPr>
          <w:rFonts w:hAnsi="宋体"/>
          <w:b/>
          <w:kern w:val="0"/>
          <w:sz w:val="24"/>
          <w:szCs w:val="24"/>
        </w:rPr>
        <w:t xml:space="preserve"> </w:t>
      </w:r>
    </w:p>
    <w:p>
      <w:pPr>
        <w:widowControl/>
        <w:adjustRightInd w:val="0"/>
        <w:snapToGrid w:val="0"/>
        <w:spacing w:line="360" w:lineRule="auto"/>
        <w:ind w:firstLine="480" w:firstLineChars="200"/>
        <w:rPr>
          <w:kern w:val="0"/>
          <w:sz w:val="24"/>
          <w:szCs w:val="24"/>
        </w:rPr>
      </w:pPr>
      <w:r>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widowControl/>
        <w:adjustRightInd w:val="0"/>
        <w:snapToGrid w:val="0"/>
        <w:spacing w:line="360" w:lineRule="auto"/>
        <w:ind w:firstLine="480" w:firstLineChars="200"/>
        <w:rPr>
          <w:kern w:val="0"/>
          <w:sz w:val="24"/>
          <w:szCs w:val="24"/>
        </w:rPr>
      </w:pPr>
      <w:r>
        <w:rPr>
          <w:rFonts w:hint="eastAsia"/>
          <w:kern w:val="0"/>
          <w:sz w:val="24"/>
          <w:szCs w:val="24"/>
        </w:rPr>
        <w:t>（1）市场风险</w:t>
      </w:r>
    </w:p>
    <w:p>
      <w:pPr>
        <w:widowControl/>
        <w:adjustRightInd w:val="0"/>
        <w:snapToGrid w:val="0"/>
        <w:spacing w:line="360" w:lineRule="auto"/>
        <w:ind w:firstLine="480" w:firstLineChars="200"/>
        <w:rPr>
          <w:kern w:val="0"/>
          <w:sz w:val="24"/>
          <w:szCs w:val="24"/>
        </w:rPr>
      </w:pPr>
      <w:r>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widowControl/>
        <w:adjustRightInd w:val="0"/>
        <w:snapToGrid w:val="0"/>
        <w:spacing w:line="360" w:lineRule="auto"/>
        <w:ind w:firstLine="480" w:firstLineChars="200"/>
        <w:rPr>
          <w:kern w:val="0"/>
          <w:sz w:val="24"/>
          <w:szCs w:val="24"/>
        </w:rPr>
      </w:pPr>
      <w:r>
        <w:rPr>
          <w:rFonts w:hint="eastAsia"/>
          <w:kern w:val="0"/>
          <w:sz w:val="24"/>
          <w:szCs w:val="24"/>
        </w:rPr>
        <w:t>科创板个股上市前五日无涨跌停限制，第六日开始涨跌幅限制在正负20%以内，个股波动幅度较其他股票加大，市场风险随之上升。</w:t>
      </w:r>
    </w:p>
    <w:p>
      <w:pPr>
        <w:widowControl/>
        <w:adjustRightInd w:val="0"/>
        <w:snapToGrid w:val="0"/>
        <w:spacing w:line="360" w:lineRule="auto"/>
        <w:ind w:firstLine="480" w:firstLineChars="200"/>
        <w:rPr>
          <w:kern w:val="0"/>
          <w:sz w:val="24"/>
          <w:szCs w:val="24"/>
        </w:rPr>
      </w:pPr>
      <w:r>
        <w:rPr>
          <w:rFonts w:hint="eastAsia"/>
          <w:kern w:val="0"/>
          <w:sz w:val="24"/>
          <w:szCs w:val="24"/>
        </w:rPr>
        <w:t>（2）流动性风险</w:t>
      </w:r>
    </w:p>
    <w:p>
      <w:pPr>
        <w:widowControl/>
        <w:adjustRightInd w:val="0"/>
        <w:snapToGrid w:val="0"/>
        <w:spacing w:line="360" w:lineRule="auto"/>
        <w:ind w:firstLine="480" w:firstLineChars="200"/>
        <w:rPr>
          <w:kern w:val="0"/>
          <w:sz w:val="24"/>
          <w:szCs w:val="24"/>
        </w:rPr>
      </w:pPr>
      <w:r>
        <w:rPr>
          <w:rFonts w:hint="eastAsia"/>
          <w:kern w:val="0"/>
          <w:sz w:val="24"/>
          <w:szCs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rPr>
          <w:kern w:val="0"/>
          <w:sz w:val="24"/>
          <w:szCs w:val="24"/>
        </w:rPr>
      </w:pPr>
      <w:r>
        <w:rPr>
          <w:rFonts w:hint="eastAsia"/>
          <w:kern w:val="0"/>
          <w:sz w:val="24"/>
          <w:szCs w:val="24"/>
        </w:rPr>
        <w:t>（3）退市风险</w:t>
      </w:r>
    </w:p>
    <w:p>
      <w:pPr>
        <w:widowControl/>
        <w:adjustRightInd w:val="0"/>
        <w:snapToGrid w:val="0"/>
        <w:spacing w:line="360" w:lineRule="auto"/>
        <w:ind w:firstLine="480" w:firstLineChars="200"/>
        <w:rPr>
          <w:kern w:val="0"/>
          <w:sz w:val="24"/>
          <w:szCs w:val="24"/>
        </w:rPr>
      </w:pPr>
      <w:r>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widowControl/>
        <w:adjustRightInd w:val="0"/>
        <w:snapToGrid w:val="0"/>
        <w:spacing w:line="360" w:lineRule="auto"/>
        <w:ind w:firstLine="480" w:firstLineChars="200"/>
        <w:rPr>
          <w:kern w:val="0"/>
          <w:sz w:val="24"/>
          <w:szCs w:val="24"/>
        </w:rPr>
      </w:pPr>
      <w:r>
        <w:rPr>
          <w:rFonts w:hint="eastAsia"/>
          <w:kern w:val="0"/>
          <w:sz w:val="24"/>
          <w:szCs w:val="24"/>
        </w:rPr>
        <w:t>（4）集中度风险</w:t>
      </w:r>
    </w:p>
    <w:p>
      <w:pPr>
        <w:widowControl/>
        <w:adjustRightInd w:val="0"/>
        <w:snapToGrid w:val="0"/>
        <w:spacing w:line="360" w:lineRule="auto"/>
        <w:ind w:firstLine="480" w:firstLineChars="200"/>
        <w:rPr>
          <w:kern w:val="0"/>
          <w:sz w:val="24"/>
          <w:szCs w:val="24"/>
        </w:rPr>
      </w:pPr>
      <w:r>
        <w:rPr>
          <w:rFonts w:hint="eastAsia"/>
          <w:kern w:val="0"/>
          <w:sz w:val="24"/>
          <w:szCs w:val="24"/>
        </w:rPr>
        <w:t>科创板为新设板块，初期可投标的较少，投资者容易集中投资于少量个股，市场可能存在高集中度状况，整体存在集中度风险。</w:t>
      </w:r>
    </w:p>
    <w:p>
      <w:pPr>
        <w:widowControl/>
        <w:adjustRightInd w:val="0"/>
        <w:snapToGrid w:val="0"/>
        <w:spacing w:line="360" w:lineRule="auto"/>
        <w:ind w:firstLine="480" w:firstLineChars="200"/>
        <w:rPr>
          <w:kern w:val="0"/>
          <w:sz w:val="24"/>
          <w:szCs w:val="24"/>
        </w:rPr>
      </w:pPr>
      <w:r>
        <w:rPr>
          <w:rFonts w:hint="eastAsia"/>
          <w:kern w:val="0"/>
          <w:sz w:val="24"/>
          <w:szCs w:val="24"/>
        </w:rPr>
        <w:t>（5）系统性风险</w:t>
      </w:r>
    </w:p>
    <w:p>
      <w:pPr>
        <w:widowControl/>
        <w:adjustRightInd w:val="0"/>
        <w:snapToGrid w:val="0"/>
        <w:spacing w:line="360" w:lineRule="auto"/>
        <w:ind w:firstLine="480" w:firstLineChars="200"/>
        <w:rPr>
          <w:kern w:val="0"/>
          <w:sz w:val="24"/>
          <w:szCs w:val="24"/>
        </w:rPr>
      </w:pPr>
      <w:r>
        <w:rPr>
          <w:rFonts w:hint="eastAsia"/>
          <w:kern w:val="0"/>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rPr>
          <w:kern w:val="0"/>
          <w:sz w:val="24"/>
          <w:szCs w:val="24"/>
        </w:rPr>
      </w:pPr>
      <w:r>
        <w:rPr>
          <w:rFonts w:hint="eastAsia"/>
          <w:kern w:val="0"/>
          <w:sz w:val="24"/>
          <w:szCs w:val="24"/>
        </w:rPr>
        <w:t>（6）政策风险</w:t>
      </w:r>
    </w:p>
    <w:p>
      <w:pPr>
        <w:widowControl/>
        <w:adjustRightInd w:val="0"/>
        <w:snapToGrid w:val="0"/>
        <w:spacing w:line="360" w:lineRule="auto"/>
        <w:ind w:firstLine="480" w:firstLineChars="200"/>
        <w:rPr>
          <w:kern w:val="0"/>
          <w:sz w:val="24"/>
          <w:szCs w:val="24"/>
        </w:rPr>
      </w:pPr>
      <w:r>
        <w:rPr>
          <w:rFonts w:hint="eastAsia"/>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rPr>
          <w:b/>
          <w:kern w:val="0"/>
          <w:sz w:val="24"/>
          <w:szCs w:val="24"/>
        </w:rPr>
      </w:pPr>
      <w:r>
        <w:rPr>
          <w:rFonts w:hAnsi="宋体"/>
          <w:b/>
          <w:kern w:val="0"/>
          <w:sz w:val="24"/>
          <w:szCs w:val="24"/>
        </w:rPr>
        <w:t>（</w:t>
      </w:r>
      <w:r>
        <w:rPr>
          <w:rFonts w:hint="eastAsia" w:hAnsi="宋体"/>
          <w:b/>
          <w:kern w:val="0"/>
          <w:sz w:val="24"/>
          <w:szCs w:val="24"/>
        </w:rPr>
        <w:t>九</w:t>
      </w:r>
      <w:r>
        <w:rPr>
          <w:rFonts w:hAnsi="宋体"/>
          <w:b/>
          <w:kern w:val="0"/>
          <w:sz w:val="24"/>
          <w:szCs w:val="24"/>
        </w:rPr>
        <w:t>）</w:t>
      </w:r>
      <w:r>
        <w:rPr>
          <w:rFonts w:hint="eastAsia"/>
          <w:b/>
          <w:kern w:val="0"/>
          <w:sz w:val="24"/>
          <w:szCs w:val="24"/>
        </w:rPr>
        <w:t>投资存托凭证的特定风险</w:t>
      </w:r>
    </w:p>
    <w:p>
      <w:pPr>
        <w:widowControl/>
        <w:adjustRightInd w:val="0"/>
        <w:snapToGrid w:val="0"/>
        <w:spacing w:line="360" w:lineRule="auto"/>
        <w:ind w:firstLine="480" w:firstLineChars="200"/>
        <w:rPr>
          <w:kern w:val="0"/>
          <w:sz w:val="24"/>
          <w:szCs w:val="24"/>
        </w:rPr>
      </w:pPr>
      <w:r>
        <w:rPr>
          <w:rFonts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kern w:val="0"/>
          <w:sz w:val="24"/>
          <w:szCs w:val="24"/>
        </w:rPr>
      </w:pPr>
      <w:r>
        <w:rPr>
          <w:rFonts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kern w:val="0"/>
          <w:sz w:val="24"/>
          <w:szCs w:val="24"/>
        </w:rPr>
      </w:pPr>
      <w:r>
        <w:rPr>
          <w:rFonts w:hint="eastAsia"/>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rPr>
          <w:b/>
          <w:kern w:val="0"/>
          <w:sz w:val="24"/>
          <w:szCs w:val="24"/>
        </w:rPr>
      </w:pPr>
      <w:r>
        <w:rPr>
          <w:rFonts w:hAnsi="宋体"/>
          <w:b/>
          <w:kern w:val="0"/>
          <w:sz w:val="24"/>
          <w:szCs w:val="24"/>
        </w:rPr>
        <w:t>（</w:t>
      </w:r>
      <w:r>
        <w:rPr>
          <w:rFonts w:hint="eastAsia" w:hAnsi="宋体"/>
          <w:b/>
          <w:kern w:val="0"/>
          <w:sz w:val="24"/>
          <w:szCs w:val="24"/>
        </w:rPr>
        <w:t>十</w:t>
      </w:r>
      <w:r>
        <w:rPr>
          <w:rFonts w:hAnsi="宋体"/>
          <w:b/>
          <w:kern w:val="0"/>
          <w:sz w:val="24"/>
          <w:szCs w:val="24"/>
        </w:rPr>
        <w:t>）其他风险</w:t>
      </w:r>
      <w:r>
        <w:rPr>
          <w:b/>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5" w:name="OLE_LINK15"/>
    </w:p>
    <w:p>
      <w:pPr>
        <w:widowControl/>
        <w:spacing w:line="360" w:lineRule="auto"/>
        <w:rPr>
          <w:kern w:val="0"/>
          <w:sz w:val="24"/>
        </w:rPr>
      </w:pPr>
    </w:p>
    <w:p>
      <w:pPr>
        <w:widowControl/>
        <w:jc w:val="left"/>
        <w:rPr>
          <w:rFonts w:hAnsi="宋体"/>
          <w:b/>
          <w:kern w:val="0"/>
          <w:sz w:val="30"/>
        </w:rPr>
      </w:pPr>
      <w:r>
        <w:rPr>
          <w:rFonts w:hAnsi="宋体"/>
          <w:b/>
          <w:kern w:val="0"/>
          <w:sz w:val="30"/>
        </w:rPr>
        <w:br w:type="page"/>
      </w:r>
    </w:p>
    <w:p>
      <w:pPr>
        <w:widowControl/>
        <w:adjustRightInd w:val="0"/>
        <w:snapToGrid w:val="0"/>
        <w:spacing w:before="143" w:beforeLines="50" w:after="143" w:afterLines="50" w:line="360" w:lineRule="auto"/>
        <w:jc w:val="center"/>
        <w:outlineLvl w:val="0"/>
        <w:rPr>
          <w:b/>
          <w:kern w:val="0"/>
          <w:sz w:val="30"/>
        </w:rPr>
      </w:pPr>
      <w:bookmarkStart w:id="96" w:name="_Toc524440795"/>
      <w:r>
        <w:rPr>
          <w:rFonts w:hint="eastAsia" w:hAnsi="宋体"/>
          <w:b/>
          <w:kern w:val="0"/>
          <w:sz w:val="30"/>
        </w:rPr>
        <w:t>十九</w:t>
      </w:r>
      <w:r>
        <w:rPr>
          <w:rFonts w:hAnsi="宋体"/>
          <w:b/>
          <w:kern w:val="0"/>
          <w:sz w:val="30"/>
        </w:rPr>
        <w:t>、基金合同的变更、终止与基金财</w:t>
      </w:r>
      <w:bookmarkEnd w:id="95"/>
      <w:r>
        <w:rPr>
          <w:rFonts w:hAnsi="宋体"/>
          <w:b/>
          <w:kern w:val="0"/>
          <w:sz w:val="30"/>
        </w:rPr>
        <w:t>产的清算</w:t>
      </w:r>
      <w:bookmarkEnd w:id="96"/>
    </w:p>
    <w:p>
      <w:pPr>
        <w:widowControl/>
        <w:adjustRightInd w:val="0"/>
        <w:snapToGrid w:val="0"/>
        <w:spacing w:line="360" w:lineRule="auto"/>
        <w:ind w:firstLine="482" w:firstLineChars="200"/>
        <w:jc w:val="left"/>
        <w:rPr>
          <w:b/>
          <w:kern w:val="0"/>
          <w:sz w:val="24"/>
        </w:rPr>
      </w:pPr>
      <w:r>
        <w:rPr>
          <w:rFonts w:hAnsi="宋体"/>
          <w:b/>
          <w:kern w:val="0"/>
          <w:sz w:val="24"/>
        </w:rPr>
        <w:t>（一）《基金合同》的变更</w:t>
      </w:r>
    </w:p>
    <w:p>
      <w:pPr>
        <w:autoSpaceDE w:val="0"/>
        <w:autoSpaceDN w:val="0"/>
        <w:adjustRightInd w:val="0"/>
        <w:snapToGri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adjustRightInd w:val="0"/>
        <w:snapToGrid w:val="0"/>
        <w:spacing w:line="360" w:lineRule="auto"/>
        <w:ind w:firstLine="480" w:firstLineChars="200"/>
        <w:jc w:val="left"/>
        <w:rPr>
          <w:rFonts w:hAnsi="宋体"/>
          <w:b/>
          <w:kern w:val="0"/>
          <w:sz w:val="24"/>
        </w:rPr>
      </w:pPr>
      <w:r>
        <w:rPr>
          <w:bCs/>
          <w:sz w:val="24"/>
        </w:rPr>
        <w:t>2、关于《基金合同》变更的基金份额持有人大会决议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pPr>
        <w:adjustRightInd w:val="0"/>
        <w:snapToGrid w:val="0"/>
        <w:spacing w:line="360" w:lineRule="auto"/>
        <w:ind w:firstLine="482" w:firstLineChars="200"/>
        <w:jc w:val="left"/>
        <w:rPr>
          <w:b/>
          <w:kern w:val="0"/>
          <w:sz w:val="24"/>
        </w:rPr>
      </w:pPr>
      <w:r>
        <w:rPr>
          <w:rFonts w:hAnsi="宋体"/>
          <w:b/>
          <w:kern w:val="0"/>
          <w:sz w:val="24"/>
        </w:rPr>
        <w:t>（二）《基金合同》的终止事由</w:t>
      </w:r>
    </w:p>
    <w:p>
      <w:pPr>
        <w:adjustRightInd w:val="0"/>
        <w:snapToGrid w:val="0"/>
        <w:spacing w:line="360" w:lineRule="auto"/>
        <w:ind w:firstLine="480" w:firstLineChars="200"/>
        <w:jc w:val="left"/>
        <w:rPr>
          <w:bCs/>
          <w:sz w:val="24"/>
        </w:rPr>
      </w:pPr>
      <w:r>
        <w:rPr>
          <w:bCs/>
          <w:sz w:val="24"/>
        </w:rPr>
        <w:t>有下列情形之一的，《基金合同》应当终止：</w:t>
      </w:r>
    </w:p>
    <w:p>
      <w:pPr>
        <w:adjustRightInd w:val="0"/>
        <w:snapToGrid w:val="0"/>
        <w:spacing w:line="360" w:lineRule="auto"/>
        <w:ind w:firstLine="480" w:firstLineChars="200"/>
        <w:jc w:val="left"/>
        <w:rPr>
          <w:bCs/>
          <w:sz w:val="24"/>
        </w:rPr>
      </w:pPr>
      <w:r>
        <w:rPr>
          <w:bCs/>
          <w:sz w:val="24"/>
        </w:rPr>
        <w:t>1、基金份额持有人大会决定终止的；</w:t>
      </w:r>
    </w:p>
    <w:p>
      <w:pPr>
        <w:adjustRightInd w:val="0"/>
        <w:snapToGrid w:val="0"/>
        <w:spacing w:line="360" w:lineRule="auto"/>
        <w:ind w:firstLine="480" w:firstLineChars="200"/>
        <w:jc w:val="left"/>
        <w:rPr>
          <w:bCs/>
          <w:sz w:val="24"/>
        </w:rPr>
      </w:pPr>
      <w:r>
        <w:rPr>
          <w:bCs/>
          <w:sz w:val="24"/>
        </w:rPr>
        <w:t xml:space="preserve">2、基金管理人、基金托管人职责终止，在6个月内没有新基金管理人、新基金托管人承接的； </w:t>
      </w:r>
    </w:p>
    <w:p>
      <w:pPr>
        <w:adjustRightInd w:val="0"/>
        <w:snapToGrid w:val="0"/>
        <w:spacing w:line="360" w:lineRule="auto"/>
        <w:ind w:firstLine="480" w:firstLineChars="200"/>
        <w:jc w:val="left"/>
        <w:rPr>
          <w:bCs/>
          <w:sz w:val="24"/>
        </w:rPr>
      </w:pPr>
      <w:r>
        <w:rPr>
          <w:rFonts w:hint="eastAsia"/>
          <w:bCs/>
          <w:sz w:val="24"/>
        </w:rPr>
        <w:t>3</w:t>
      </w:r>
      <w:r>
        <w:rPr>
          <w:bCs/>
          <w:sz w:val="24"/>
        </w:rPr>
        <w:t>、</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djustRightInd w:val="0"/>
        <w:snapToGrid w:val="0"/>
        <w:spacing w:line="360" w:lineRule="auto"/>
        <w:ind w:firstLine="480" w:firstLineChars="200"/>
        <w:jc w:val="left"/>
        <w:rPr>
          <w:bCs/>
          <w:sz w:val="24"/>
        </w:rPr>
      </w:pPr>
      <w:r>
        <w:rPr>
          <w:bCs/>
          <w:sz w:val="24"/>
        </w:rPr>
        <w:t>4、《基金合同》约定的其他情形；</w:t>
      </w:r>
    </w:p>
    <w:p>
      <w:pPr>
        <w:adjustRightInd w:val="0"/>
        <w:snapToGrid w:val="0"/>
        <w:spacing w:line="360" w:lineRule="auto"/>
        <w:ind w:firstLine="480" w:firstLineChars="200"/>
        <w:jc w:val="left"/>
        <w:rPr>
          <w:rFonts w:hAnsi="宋体"/>
          <w:b/>
          <w:kern w:val="0"/>
          <w:sz w:val="24"/>
        </w:rPr>
      </w:pPr>
      <w:r>
        <w:rPr>
          <w:bCs/>
          <w:sz w:val="24"/>
        </w:rPr>
        <w:t>5、相关法律法规和中国证监会规定的其他情况。</w:t>
      </w:r>
    </w:p>
    <w:p>
      <w:pPr>
        <w:widowControl/>
        <w:adjustRightInd w:val="0"/>
        <w:snapToGrid w:val="0"/>
        <w:spacing w:line="360" w:lineRule="auto"/>
        <w:ind w:firstLine="482" w:firstLineChars="200"/>
        <w:jc w:val="left"/>
        <w:rPr>
          <w:b/>
          <w:kern w:val="0"/>
          <w:sz w:val="24"/>
        </w:rPr>
      </w:pPr>
      <w:r>
        <w:rPr>
          <w:rFonts w:hAnsi="宋体"/>
          <w:b/>
          <w:kern w:val="0"/>
          <w:sz w:val="24"/>
        </w:rPr>
        <w:t>（三）基金财产的清算</w:t>
      </w:r>
    </w:p>
    <w:p>
      <w:pPr>
        <w:adjustRightInd w:val="0"/>
        <w:snapToGrid w:val="0"/>
        <w:spacing w:line="360" w:lineRule="auto"/>
        <w:ind w:firstLine="480" w:firstLineChars="200"/>
        <w:jc w:val="left"/>
        <w:rPr>
          <w:bCs/>
          <w:sz w:val="24"/>
        </w:rPr>
      </w:pPr>
      <w:r>
        <w:rPr>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jc w:val="left"/>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djustRightInd w:val="0"/>
        <w:snapToGrid w:val="0"/>
        <w:spacing w:line="360" w:lineRule="auto"/>
        <w:ind w:firstLine="480" w:firstLineChars="200"/>
        <w:jc w:val="left"/>
        <w:rPr>
          <w:bCs/>
          <w:sz w:val="24"/>
        </w:rPr>
      </w:pPr>
      <w:r>
        <w:rPr>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jc w:val="left"/>
        <w:rPr>
          <w:bCs/>
          <w:sz w:val="24"/>
        </w:rPr>
      </w:pPr>
      <w:r>
        <w:rPr>
          <w:bCs/>
          <w:sz w:val="24"/>
        </w:rPr>
        <w:t>4、基金财产清算程序：</w:t>
      </w:r>
    </w:p>
    <w:p>
      <w:pPr>
        <w:adjustRightInd w:val="0"/>
        <w:snapToGrid w:val="0"/>
        <w:spacing w:line="360" w:lineRule="auto"/>
        <w:ind w:firstLine="480" w:firstLineChars="200"/>
        <w:jc w:val="left"/>
        <w:rPr>
          <w:bCs/>
          <w:sz w:val="24"/>
        </w:rPr>
      </w:pPr>
      <w:r>
        <w:rPr>
          <w:bCs/>
          <w:sz w:val="24"/>
        </w:rPr>
        <w:t>（1）《基金合同》终止情形出现时，由基金财产清算小组统一接管基金</w:t>
      </w:r>
      <w:r>
        <w:rPr>
          <w:rFonts w:hint="eastAsia"/>
          <w:bCs/>
          <w:sz w:val="24"/>
        </w:rPr>
        <w:t>财产</w:t>
      </w:r>
      <w:r>
        <w:rPr>
          <w:bCs/>
          <w:sz w:val="24"/>
        </w:rPr>
        <w:t>；</w:t>
      </w:r>
    </w:p>
    <w:p>
      <w:pPr>
        <w:adjustRightInd w:val="0"/>
        <w:snapToGrid w:val="0"/>
        <w:spacing w:line="360" w:lineRule="auto"/>
        <w:ind w:firstLine="480" w:firstLineChars="200"/>
        <w:jc w:val="left"/>
        <w:rPr>
          <w:bCs/>
          <w:sz w:val="24"/>
        </w:rPr>
      </w:pPr>
      <w:r>
        <w:rPr>
          <w:bCs/>
          <w:sz w:val="24"/>
        </w:rPr>
        <w:t>（2）对基金财产和债权债务进行清理和确认；</w:t>
      </w:r>
    </w:p>
    <w:p>
      <w:pPr>
        <w:adjustRightInd w:val="0"/>
        <w:snapToGrid w:val="0"/>
        <w:spacing w:line="360" w:lineRule="auto"/>
        <w:ind w:firstLine="480" w:firstLineChars="200"/>
        <w:jc w:val="left"/>
        <w:rPr>
          <w:bCs/>
          <w:sz w:val="24"/>
        </w:rPr>
      </w:pPr>
      <w:r>
        <w:rPr>
          <w:bCs/>
          <w:sz w:val="24"/>
        </w:rPr>
        <w:t>（3）对基金财产进行估值和变现；</w:t>
      </w:r>
    </w:p>
    <w:p>
      <w:pPr>
        <w:adjustRightInd w:val="0"/>
        <w:snapToGrid w:val="0"/>
        <w:spacing w:line="360" w:lineRule="auto"/>
        <w:ind w:firstLine="480" w:firstLineChars="200"/>
        <w:jc w:val="left"/>
        <w:rPr>
          <w:bCs/>
          <w:sz w:val="24"/>
        </w:rPr>
      </w:pPr>
      <w:r>
        <w:rPr>
          <w:bCs/>
          <w:sz w:val="24"/>
        </w:rPr>
        <w:t>（4）制作清算报告；</w:t>
      </w:r>
    </w:p>
    <w:p>
      <w:pPr>
        <w:adjustRightInd w:val="0"/>
        <w:snapToGrid w:val="0"/>
        <w:spacing w:line="360" w:lineRule="auto"/>
        <w:ind w:firstLine="480" w:firstLineChars="200"/>
        <w:jc w:val="left"/>
        <w:rPr>
          <w:bCs/>
          <w:sz w:val="24"/>
        </w:rPr>
      </w:pPr>
      <w:r>
        <w:rPr>
          <w:bCs/>
          <w:sz w:val="24"/>
        </w:rPr>
        <w:t>（5）聘请会计师事务所对清算报告进行外部审计，聘请律师事务所对清算报告出具法律意见书；</w:t>
      </w:r>
    </w:p>
    <w:p>
      <w:pPr>
        <w:adjustRightInd w:val="0"/>
        <w:snapToGrid w:val="0"/>
        <w:spacing w:line="360" w:lineRule="auto"/>
        <w:ind w:firstLine="480" w:firstLineChars="200"/>
        <w:jc w:val="left"/>
        <w:rPr>
          <w:bCs/>
          <w:sz w:val="24"/>
        </w:rPr>
      </w:pPr>
      <w:r>
        <w:rPr>
          <w:bCs/>
          <w:sz w:val="24"/>
        </w:rPr>
        <w:t>（6）将清算报告报中国证监会备案并公告</w:t>
      </w:r>
      <w:r>
        <w:rPr>
          <w:rFonts w:hint="eastAsia"/>
          <w:bCs/>
          <w:sz w:val="24"/>
        </w:rPr>
        <w:t>；</w:t>
      </w:r>
    </w:p>
    <w:p>
      <w:pPr>
        <w:adjustRightInd w:val="0"/>
        <w:snapToGrid w:val="0"/>
        <w:spacing w:line="360" w:lineRule="auto"/>
        <w:ind w:firstLine="480" w:firstLineChars="200"/>
        <w:jc w:val="left"/>
        <w:rPr>
          <w:bCs/>
          <w:sz w:val="24"/>
        </w:rPr>
      </w:pPr>
      <w:r>
        <w:rPr>
          <w:bCs/>
          <w:sz w:val="24"/>
        </w:rPr>
        <w:t>（7）对基金</w:t>
      </w:r>
      <w:r>
        <w:rPr>
          <w:rFonts w:hint="eastAsia"/>
          <w:bCs/>
          <w:sz w:val="24"/>
        </w:rPr>
        <w:t>剩余</w:t>
      </w:r>
      <w:r>
        <w:rPr>
          <w:bCs/>
          <w:sz w:val="24"/>
        </w:rPr>
        <w:t>财产进行分配</w:t>
      </w:r>
      <w:r>
        <w:rPr>
          <w:rFonts w:hint="eastAsia"/>
          <w:bCs/>
          <w:sz w:val="24"/>
        </w:rPr>
        <w:t>。</w:t>
      </w:r>
    </w:p>
    <w:p>
      <w:pPr>
        <w:adjustRightInd w:val="0"/>
        <w:snapToGrid w:val="0"/>
        <w:spacing w:line="360" w:lineRule="auto"/>
        <w:ind w:firstLine="480" w:firstLineChars="200"/>
        <w:jc w:val="left"/>
        <w:rPr>
          <w:rFonts w:hAnsi="宋体"/>
          <w:b/>
          <w:kern w:val="0"/>
          <w:sz w:val="24"/>
        </w:rPr>
      </w:pPr>
      <w:r>
        <w:rPr>
          <w:bCs/>
          <w:sz w:val="24"/>
        </w:rPr>
        <w:t>5、基金财产清算的期限为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pPr>
        <w:widowControl/>
        <w:adjustRightInd w:val="0"/>
        <w:snapToGrid w:val="0"/>
        <w:spacing w:line="360" w:lineRule="auto"/>
        <w:ind w:firstLine="482" w:firstLineChars="200"/>
        <w:jc w:val="left"/>
        <w:rPr>
          <w:b/>
          <w:color w:val="000000"/>
          <w:sz w:val="24"/>
        </w:rPr>
      </w:pPr>
      <w:r>
        <w:rPr>
          <w:rFonts w:hAnsi="宋体"/>
          <w:b/>
          <w:color w:val="000000"/>
          <w:sz w:val="24"/>
        </w:rPr>
        <w:t>（四）清算费用</w:t>
      </w:r>
    </w:p>
    <w:p>
      <w:pPr>
        <w:adjustRightInd w:val="0"/>
        <w:snapToGrid w:val="0"/>
        <w:spacing w:line="360" w:lineRule="auto"/>
        <w:ind w:firstLine="480" w:firstLineChars="200"/>
        <w:jc w:val="left"/>
        <w:rPr>
          <w:rFonts w:hAnsi="宋体"/>
          <w:b/>
          <w:kern w:val="0"/>
          <w:sz w:val="24"/>
        </w:rPr>
      </w:pPr>
      <w:r>
        <w:rPr>
          <w:bCs/>
          <w:sz w:val="24"/>
        </w:rPr>
        <w:t>清算费用是指基金财产清算小组在进行基金清算过程中发生的所有合理费用，清算费用由基金财产清算小组优先从基金财产中支付。</w:t>
      </w:r>
    </w:p>
    <w:p>
      <w:pPr>
        <w:widowControl/>
        <w:adjustRightInd w:val="0"/>
        <w:snapToGrid w:val="0"/>
        <w:spacing w:line="360" w:lineRule="auto"/>
        <w:ind w:firstLine="482" w:firstLineChars="200"/>
        <w:jc w:val="left"/>
        <w:rPr>
          <w:b/>
          <w:color w:val="000000"/>
          <w:sz w:val="24"/>
        </w:rPr>
      </w:pPr>
      <w:r>
        <w:rPr>
          <w:rFonts w:hAnsi="宋体"/>
          <w:b/>
          <w:color w:val="000000"/>
          <w:sz w:val="24"/>
        </w:rPr>
        <w:t>（五）</w:t>
      </w:r>
      <w:r>
        <w:rPr>
          <w:b/>
          <w:bCs/>
          <w:sz w:val="24"/>
        </w:rPr>
        <w:t>基金财产清算剩余资产的分配</w:t>
      </w:r>
    </w:p>
    <w:p>
      <w:pPr>
        <w:adjustRightInd w:val="0"/>
        <w:snapToGrid w:val="0"/>
        <w:spacing w:line="360" w:lineRule="auto"/>
        <w:ind w:firstLine="480" w:firstLineChars="200"/>
        <w:jc w:val="left"/>
        <w:rPr>
          <w:rFonts w:hAnsi="宋体"/>
          <w:b/>
          <w:kern w:val="0"/>
          <w:sz w:val="24"/>
        </w:rPr>
      </w:pPr>
      <w:r>
        <w:rPr>
          <w:bCs/>
          <w:sz w:val="24"/>
        </w:rPr>
        <w:t>依据基金财产清算的分配方案，将基金财产清算后的全部剩余资产扣除基金财产清算费用、交纳所欠税款并清偿基金债务后，</w:t>
      </w:r>
      <w:r>
        <w:rPr>
          <w:rFonts w:hint="eastAsia"/>
          <w:bCs/>
          <w:sz w:val="24"/>
        </w:rPr>
        <w:t>按基金合同终止日基金份额持有人持有的基金份额比例进行分配</w:t>
      </w:r>
      <w:r>
        <w:rPr>
          <w:bCs/>
          <w:sz w:val="24"/>
        </w:rPr>
        <w:t>。</w:t>
      </w:r>
    </w:p>
    <w:p>
      <w:pPr>
        <w:widowControl/>
        <w:adjustRightInd w:val="0"/>
        <w:snapToGrid w:val="0"/>
        <w:spacing w:line="360" w:lineRule="auto"/>
        <w:ind w:firstLine="482" w:firstLineChars="200"/>
        <w:jc w:val="left"/>
        <w:rPr>
          <w:b/>
          <w:color w:val="000000"/>
          <w:sz w:val="24"/>
        </w:rPr>
      </w:pPr>
      <w:r>
        <w:rPr>
          <w:rFonts w:hAnsi="宋体"/>
          <w:b/>
          <w:color w:val="000000"/>
          <w:sz w:val="24"/>
        </w:rPr>
        <w:t>（六）基金财产清算的公告</w:t>
      </w:r>
    </w:p>
    <w:p>
      <w:pPr>
        <w:adjustRightInd w:val="0"/>
        <w:snapToGrid w:val="0"/>
        <w:spacing w:line="360" w:lineRule="auto"/>
        <w:ind w:firstLine="480" w:firstLineChars="200"/>
        <w:jc w:val="left"/>
        <w:rPr>
          <w:rFonts w:hAnsi="宋体"/>
          <w:b/>
          <w:kern w:val="0"/>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widowControl/>
        <w:adjustRightInd w:val="0"/>
        <w:snapToGrid w:val="0"/>
        <w:spacing w:line="360" w:lineRule="auto"/>
        <w:ind w:firstLine="482" w:firstLineChars="200"/>
        <w:jc w:val="left"/>
        <w:rPr>
          <w:b/>
          <w:color w:val="000000"/>
          <w:sz w:val="24"/>
        </w:rPr>
      </w:pPr>
      <w:r>
        <w:rPr>
          <w:rFonts w:hAnsi="宋体"/>
          <w:b/>
          <w:color w:val="000000"/>
          <w:sz w:val="24"/>
        </w:rPr>
        <w:t>（七）基金财产清算账册及文件的保存</w:t>
      </w:r>
    </w:p>
    <w:p>
      <w:pPr>
        <w:adjustRightInd w:val="0"/>
        <w:snapToGrid w:val="0"/>
        <w:spacing w:line="360" w:lineRule="auto"/>
        <w:ind w:firstLine="480" w:firstLineChars="200"/>
        <w:jc w:val="left"/>
        <w:rPr>
          <w:rFonts w:hAnsi="宋体"/>
          <w:b/>
          <w:kern w:val="0"/>
          <w:sz w:val="24"/>
        </w:rPr>
      </w:pPr>
      <w:r>
        <w:rPr>
          <w:bCs/>
          <w:sz w:val="24"/>
        </w:rPr>
        <w:t>基金财产清算账册及有关文件由基金托管人保存</w:t>
      </w:r>
      <w:r>
        <w:rPr>
          <w:rFonts w:hint="eastAsia"/>
          <w:bCs/>
          <w:sz w:val="24"/>
        </w:rPr>
        <w:t>15</w:t>
      </w:r>
      <w:r>
        <w:rPr>
          <w:bCs/>
          <w:sz w:val="24"/>
        </w:rPr>
        <w:t>年以上。</w:t>
      </w:r>
    </w:p>
    <w:p>
      <w:pPr>
        <w:widowControl/>
        <w:adjustRightInd w:val="0"/>
        <w:snapToGrid w:val="0"/>
        <w:spacing w:line="500" w:lineRule="exact"/>
        <w:ind w:firstLine="480" w:firstLineChars="200"/>
        <w:rPr>
          <w:rFonts w:ascii="宋体" w:hAnsi="宋体"/>
          <w:kern w:val="0"/>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7" w:name="_Toc524440796"/>
      <w:bookmarkStart w:id="98" w:name="OLE_LINK9"/>
      <w:bookmarkStart w:id="99" w:name="OLE_LINK10"/>
      <w:bookmarkStart w:id="100" w:name="OLE_LINK12"/>
      <w:r>
        <w:rPr>
          <w:rFonts w:hint="eastAsia" w:ascii="宋体" w:hAnsi="宋体"/>
          <w:b/>
          <w:kern w:val="0"/>
          <w:sz w:val="30"/>
        </w:rPr>
        <w:t>二十、基金合同内容摘要</w:t>
      </w:r>
      <w:bookmarkEnd w:id="97"/>
    </w:p>
    <w:p>
      <w:pPr>
        <w:widowControl/>
        <w:adjustRightInd w:val="0"/>
        <w:snapToGrid w:val="0"/>
        <w:spacing w:line="360" w:lineRule="auto"/>
        <w:ind w:firstLine="482" w:firstLineChars="200"/>
        <w:rPr>
          <w:b/>
          <w:kern w:val="0"/>
          <w:sz w:val="24"/>
        </w:rPr>
      </w:pPr>
      <w:r>
        <w:rPr>
          <w:rFonts w:hAnsi="宋体"/>
          <w:b/>
          <w:kern w:val="0"/>
          <w:sz w:val="24"/>
        </w:rPr>
        <w:t>（一）基金</w:t>
      </w:r>
      <w:r>
        <w:rPr>
          <w:rFonts w:hint="eastAsia" w:hAnsi="宋体"/>
          <w:b/>
          <w:kern w:val="0"/>
          <w:sz w:val="24"/>
        </w:rPr>
        <w:t>份额持有人、基金管理人和基金托管人的</w:t>
      </w:r>
      <w:r>
        <w:rPr>
          <w:rFonts w:hAnsi="宋体"/>
          <w:b/>
          <w:kern w:val="0"/>
          <w:sz w:val="24"/>
        </w:rPr>
        <w:t>权利</w:t>
      </w:r>
      <w:r>
        <w:rPr>
          <w:rFonts w:hint="eastAsia" w:hAnsi="宋体"/>
          <w:b/>
          <w:kern w:val="0"/>
          <w:sz w:val="24"/>
        </w:rPr>
        <w:t>与</w:t>
      </w:r>
      <w:r>
        <w:rPr>
          <w:rFonts w:hAnsi="宋体"/>
          <w:b/>
          <w:kern w:val="0"/>
          <w:sz w:val="24"/>
        </w:rPr>
        <w:t>义务</w:t>
      </w:r>
    </w:p>
    <w:p>
      <w:pPr>
        <w:widowControl/>
        <w:adjustRightInd w:val="0"/>
        <w:snapToGrid w:val="0"/>
        <w:spacing w:line="360" w:lineRule="auto"/>
        <w:ind w:firstLine="480" w:firstLineChars="200"/>
        <w:rPr>
          <w:kern w:val="0"/>
          <w:sz w:val="24"/>
        </w:rPr>
      </w:pPr>
      <w:r>
        <w:rPr>
          <w:kern w:val="0"/>
          <w:sz w:val="24"/>
        </w:rPr>
        <w:t>1</w:t>
      </w:r>
      <w:r>
        <w:rPr>
          <w:rFonts w:hAnsi="宋体"/>
          <w:kern w:val="0"/>
          <w:sz w:val="24"/>
        </w:rPr>
        <w:t>、基金管理人的权利与义务</w:t>
      </w:r>
      <w:r>
        <w:rPr>
          <w:kern w:val="0"/>
          <w:sz w:val="24"/>
        </w:rPr>
        <w:t xml:space="preserve"> </w:t>
      </w:r>
    </w:p>
    <w:p>
      <w:pPr>
        <w:widowControl/>
        <w:adjustRightInd w:val="0"/>
        <w:snapToGrid w:val="0"/>
        <w:spacing w:line="360" w:lineRule="auto"/>
        <w:ind w:firstLine="480" w:firstLineChars="200"/>
        <w:rPr>
          <w:bCs/>
          <w:sz w:val="24"/>
        </w:rPr>
      </w:pPr>
      <w:r>
        <w:rPr>
          <w:bCs/>
          <w:sz w:val="24"/>
        </w:rPr>
        <w:t>（1）根据《基金法》、《运作办法》及其他有关规定，基金管理人的权利包括但不限于：</w:t>
      </w:r>
    </w:p>
    <w:p>
      <w:pPr>
        <w:adjustRightInd w:val="0"/>
        <w:snapToGrid w:val="0"/>
        <w:spacing w:line="360" w:lineRule="auto"/>
        <w:ind w:firstLine="480" w:firstLineChars="200"/>
        <w:rPr>
          <w:bCs/>
          <w:sz w:val="24"/>
        </w:rPr>
      </w:pPr>
      <w:r>
        <w:rPr>
          <w:rFonts w:hint="eastAsia"/>
          <w:bCs/>
          <w:sz w:val="24"/>
        </w:rPr>
        <w:t>1）依法募集资金；</w:t>
      </w:r>
    </w:p>
    <w:p>
      <w:pPr>
        <w:adjustRightInd w:val="0"/>
        <w:snapToGrid w:val="0"/>
        <w:spacing w:line="360" w:lineRule="auto"/>
        <w:ind w:firstLine="480" w:firstLineChars="200"/>
        <w:rPr>
          <w:bCs/>
          <w:sz w:val="24"/>
        </w:rPr>
      </w:pPr>
      <w:r>
        <w:rPr>
          <w:rFonts w:hint="eastAsia"/>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rFonts w:hint="eastAsia"/>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rFonts w:hint="eastAsia"/>
          <w:bCs/>
          <w:sz w:val="24"/>
        </w:rPr>
        <w:t>4）销售基金份额；</w:t>
      </w:r>
    </w:p>
    <w:p>
      <w:pPr>
        <w:adjustRightInd w:val="0"/>
        <w:snapToGrid w:val="0"/>
        <w:spacing w:line="360" w:lineRule="auto"/>
        <w:ind w:firstLine="480" w:firstLineChars="200"/>
        <w:rPr>
          <w:bCs/>
          <w:sz w:val="24"/>
        </w:rPr>
      </w:pPr>
      <w:r>
        <w:rPr>
          <w:rFonts w:hint="eastAsia"/>
          <w:bCs/>
          <w:sz w:val="24"/>
        </w:rPr>
        <w:t>5）按照规定召集基金份额持有人大会；</w:t>
      </w:r>
    </w:p>
    <w:p>
      <w:pPr>
        <w:adjustRightInd w:val="0"/>
        <w:snapToGrid w:val="0"/>
        <w:spacing w:line="360" w:lineRule="auto"/>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rFonts w:hint="eastAsia"/>
          <w:bCs/>
          <w:sz w:val="24"/>
        </w:rPr>
        <w:t>7）在基金托管人更换时，提名新的基金托管人；</w:t>
      </w:r>
    </w:p>
    <w:p>
      <w:pPr>
        <w:adjustRightInd w:val="0"/>
        <w:snapToGrid w:val="0"/>
        <w:spacing w:line="360" w:lineRule="auto"/>
        <w:ind w:firstLine="480" w:firstLineChars="200"/>
        <w:rPr>
          <w:bCs/>
          <w:sz w:val="24"/>
        </w:rPr>
      </w:pPr>
      <w:r>
        <w:rPr>
          <w:rFonts w:hint="eastAsia"/>
          <w:bCs/>
          <w:sz w:val="24"/>
        </w:rPr>
        <w:t xml:space="preserve">8）选择、更换基金销售机构，对基金销售机构的相关行为进行监督和处理； </w:t>
      </w:r>
    </w:p>
    <w:p>
      <w:pPr>
        <w:adjustRightInd w:val="0"/>
        <w:snapToGrid w:val="0"/>
        <w:spacing w:line="360" w:lineRule="auto"/>
        <w:ind w:firstLine="480" w:firstLineChars="200"/>
        <w:rPr>
          <w:bCs/>
          <w:sz w:val="24"/>
        </w:rPr>
      </w:pPr>
      <w:r>
        <w:rPr>
          <w:rFonts w:hint="eastAsia"/>
          <w:bCs/>
          <w:sz w:val="24"/>
        </w:rPr>
        <w:t xml:space="preserve">9）担任或委托其他符合条件的机构担任基金登记机构办理基金登记业务并获得《基金合同》规定的费用； </w:t>
      </w:r>
    </w:p>
    <w:p>
      <w:pPr>
        <w:adjustRightInd w:val="0"/>
        <w:snapToGrid w:val="0"/>
        <w:spacing w:line="360" w:lineRule="auto"/>
        <w:ind w:firstLine="480" w:firstLineChars="200"/>
        <w:rPr>
          <w:bCs/>
          <w:sz w:val="24"/>
        </w:rPr>
      </w:pPr>
      <w:r>
        <w:rPr>
          <w:rFonts w:hint="eastAsia"/>
          <w:bCs/>
          <w:sz w:val="24"/>
        </w:rPr>
        <w:t>10）依据《基金合同》及有关法律规定决定基金收益的分配方案；</w:t>
      </w:r>
      <w:r>
        <w:rPr>
          <w:rFonts w:hint="eastAsia"/>
          <w:bCs/>
          <w:sz w:val="24"/>
        </w:rPr>
        <w:tab/>
      </w:r>
    </w:p>
    <w:p>
      <w:pPr>
        <w:adjustRightInd w:val="0"/>
        <w:snapToGrid w:val="0"/>
        <w:spacing w:line="360" w:lineRule="auto"/>
        <w:ind w:firstLine="480" w:firstLineChars="200"/>
        <w:rPr>
          <w:bCs/>
          <w:sz w:val="24"/>
        </w:rPr>
      </w:pPr>
      <w:r>
        <w:rPr>
          <w:rFonts w:hint="eastAsia"/>
          <w:bCs/>
          <w:sz w:val="24"/>
        </w:rPr>
        <w:t xml:space="preserve">11）在《基金合同》约定的范围内，拒绝或暂停受理申购与赎回申请； </w:t>
      </w:r>
    </w:p>
    <w:p>
      <w:pPr>
        <w:adjustRightInd w:val="0"/>
        <w:snapToGrid w:val="0"/>
        <w:spacing w:line="360" w:lineRule="auto"/>
        <w:ind w:firstLine="480" w:firstLineChars="200"/>
        <w:rPr>
          <w:bCs/>
          <w:sz w:val="24"/>
        </w:rPr>
      </w:pPr>
      <w:r>
        <w:rPr>
          <w:rFonts w:hint="eastAsia"/>
          <w:bCs/>
          <w:sz w:val="24"/>
        </w:rPr>
        <w:t>12）依照法律法规为基金的利益对被投资公司行使股东权利，为基金的利益行使因基金财产投资于证券所产生的权利；</w:t>
      </w:r>
      <w:r>
        <w:rPr>
          <w:rFonts w:hint="eastAsia"/>
          <w:bCs/>
          <w:sz w:val="24"/>
        </w:rPr>
        <w:tab/>
      </w:r>
    </w:p>
    <w:p>
      <w:pPr>
        <w:adjustRightInd w:val="0"/>
        <w:snapToGrid w:val="0"/>
        <w:spacing w:line="360" w:lineRule="auto"/>
        <w:ind w:firstLine="480" w:firstLineChars="200"/>
        <w:rPr>
          <w:bCs/>
          <w:sz w:val="24"/>
        </w:rPr>
      </w:pPr>
      <w:r>
        <w:rPr>
          <w:rFonts w:hint="eastAsia"/>
          <w:bCs/>
          <w:sz w:val="24"/>
        </w:rPr>
        <w:t xml:space="preserve">13）在法律法规允许的前提下，为基金的利益依法为基金进行融资； </w:t>
      </w:r>
    </w:p>
    <w:p>
      <w:pPr>
        <w:adjustRightInd w:val="0"/>
        <w:snapToGrid w:val="0"/>
        <w:spacing w:line="360" w:lineRule="auto"/>
        <w:ind w:firstLine="480" w:firstLineChars="200"/>
        <w:rPr>
          <w:bCs/>
          <w:sz w:val="24"/>
        </w:rPr>
      </w:pPr>
      <w:r>
        <w:rPr>
          <w:rFonts w:hint="eastAsia"/>
          <w:bCs/>
          <w:sz w:val="24"/>
        </w:rPr>
        <w:t>14）以基金管理人的名义，代表基金份额持有人的利益行使诉讼权利或者实施其他法律行为；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15）选择、更换律师事务所、会计师事务所、证券经纪商、期货经纪机构或其他为基金提供服务的外部机构；</w:t>
      </w:r>
      <w:r>
        <w:rPr>
          <w:rFonts w:hint="eastAsia"/>
          <w:bCs/>
          <w:sz w:val="24"/>
        </w:rPr>
        <w:tab/>
      </w:r>
    </w:p>
    <w:p>
      <w:pPr>
        <w:adjustRightInd w:val="0"/>
        <w:snapToGrid w:val="0"/>
        <w:spacing w:line="360" w:lineRule="auto"/>
        <w:ind w:firstLine="480" w:firstLineChars="200"/>
        <w:rPr>
          <w:bCs/>
          <w:sz w:val="24"/>
        </w:rPr>
      </w:pPr>
      <w:r>
        <w:rPr>
          <w:rFonts w:hint="eastAsia"/>
          <w:bCs/>
          <w:sz w:val="24"/>
        </w:rPr>
        <w:t>16）在符合有关法律、法规的前提下，制定和调整有关基金申购、赎回、转换、上市交易等的业务规则；</w:t>
      </w:r>
    </w:p>
    <w:p>
      <w:pPr>
        <w:adjustRightInd w:val="0"/>
        <w:snapToGrid w:val="0"/>
        <w:spacing w:line="360" w:lineRule="auto"/>
        <w:ind w:firstLine="480" w:firstLineChars="200"/>
        <w:rPr>
          <w:bCs/>
          <w:sz w:val="24"/>
        </w:rPr>
      </w:pPr>
      <w:r>
        <w:rPr>
          <w:rFonts w:hint="eastAsia"/>
          <w:bCs/>
          <w:sz w:val="24"/>
        </w:rPr>
        <w:t>17）法律法规及中国证监会规定的和《基金合同》约定的其他权利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r>
        <w:rPr>
          <w:rFonts w:hint="eastAsia"/>
          <w:bCs/>
          <w:sz w:val="24"/>
        </w:rPr>
        <w:t>1）依法募集资金，办理或者委托经中国证监会认定的其他机构办理基金份额的申购、赎回和登记事宜；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rPr>
          <w:bCs/>
          <w:sz w:val="24"/>
          <w:szCs w:val="24"/>
        </w:rPr>
      </w:pPr>
      <w:r>
        <w:rPr>
          <w:rFonts w:hint="eastAsia"/>
          <w:bCs/>
          <w:sz w:val="24"/>
        </w:rPr>
        <w:t>8）采取适当合理的措施使计算基金份额申购、赎回和注销价格的方法符合《基金合同》等法律文件的规定，按有关规定</w:t>
      </w:r>
      <w:r>
        <w:rPr>
          <w:bCs/>
          <w:sz w:val="24"/>
        </w:rPr>
        <w:t>计算并公告基金净值</w:t>
      </w:r>
      <w:r>
        <w:rPr>
          <w:rFonts w:hint="eastAsia"/>
          <w:bCs/>
          <w:sz w:val="24"/>
        </w:rPr>
        <w:t>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16）按规定保存基金财产管理业务活动的会计账册、报表、记录和其他相关资料15年以上；</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p>
    <w:p>
      <w:pPr>
        <w:adjustRightInd w:val="0"/>
        <w:snapToGrid w:val="0"/>
        <w:spacing w:line="360" w:lineRule="auto"/>
        <w:ind w:firstLine="480" w:firstLineChars="200"/>
        <w:rPr>
          <w:bCs/>
          <w:sz w:val="24"/>
        </w:rPr>
      </w:pPr>
      <w:r>
        <w:rPr>
          <w:rFonts w:hint="eastAsia"/>
          <w:bCs/>
          <w:sz w:val="24"/>
        </w:rPr>
        <w:t>24）执行生效的基金份额持有人大会的决议；</w:t>
      </w:r>
    </w:p>
    <w:p>
      <w:pPr>
        <w:adjustRightInd w:val="0"/>
        <w:snapToGrid w:val="0"/>
        <w:spacing w:line="360" w:lineRule="auto"/>
        <w:ind w:firstLine="480" w:firstLineChars="200"/>
        <w:rPr>
          <w:bCs/>
          <w:sz w:val="24"/>
        </w:rPr>
      </w:pPr>
      <w:r>
        <w:rPr>
          <w:rFonts w:hint="eastAsia"/>
          <w:bCs/>
          <w:sz w:val="24"/>
        </w:rPr>
        <w:t>25）建立并保存基金份额持有人名册；</w:t>
      </w:r>
    </w:p>
    <w:p>
      <w:pPr>
        <w:adjustRightInd w:val="0"/>
        <w:snapToGrid w:val="0"/>
        <w:spacing w:line="360" w:lineRule="auto"/>
        <w:ind w:firstLine="480" w:firstLineChars="200"/>
        <w:rPr>
          <w:bCs/>
          <w:sz w:val="24"/>
        </w:rPr>
      </w:pPr>
      <w:r>
        <w:rPr>
          <w:rFonts w:hint="eastAsia"/>
          <w:bCs/>
          <w:sz w:val="24"/>
        </w:rPr>
        <w:t>26）法律法规及中国证监会规定的和《基金合同》约定的其他义务</w:t>
      </w:r>
      <w:r>
        <w:rPr>
          <w:bCs/>
          <w:sz w:val="24"/>
        </w:rPr>
        <w:t>。</w:t>
      </w:r>
      <w:bookmarkStart w:id="101" w:name="_Hlt88897298"/>
      <w:bookmarkEnd w:id="101"/>
    </w:p>
    <w:p>
      <w:pPr>
        <w:widowControl/>
        <w:adjustRightInd w:val="0"/>
        <w:snapToGrid w:val="0"/>
        <w:spacing w:line="360" w:lineRule="auto"/>
        <w:ind w:firstLine="480" w:firstLineChars="200"/>
        <w:rPr>
          <w:kern w:val="0"/>
          <w:sz w:val="24"/>
        </w:rPr>
      </w:pPr>
      <w:r>
        <w:rPr>
          <w:kern w:val="0"/>
          <w:sz w:val="24"/>
        </w:rPr>
        <w:t>2</w:t>
      </w:r>
      <w:r>
        <w:rPr>
          <w:rFonts w:hAnsi="宋体"/>
          <w:kern w:val="0"/>
          <w:sz w:val="24"/>
        </w:rPr>
        <w:t>、基金托管人的权利与义务</w:t>
      </w:r>
      <w:r>
        <w:rPr>
          <w:kern w:val="0"/>
          <w:sz w:val="24"/>
        </w:rPr>
        <w:t xml:space="preserve"> </w:t>
      </w:r>
    </w:p>
    <w:p>
      <w:pPr>
        <w:adjustRightInd w:val="0"/>
        <w:snapToGrid w:val="0"/>
        <w:spacing w:line="360" w:lineRule="auto"/>
        <w:ind w:firstLine="480" w:firstLineChars="200"/>
        <w:rPr>
          <w:bCs/>
          <w:sz w:val="24"/>
        </w:rPr>
      </w:pPr>
      <w:r>
        <w:rPr>
          <w:bCs/>
          <w:sz w:val="24"/>
        </w:rPr>
        <w:t>（1）根据《基金法》、《运作办法》及其他有关规定，基金托管人的权利包括但不限于：</w:t>
      </w:r>
    </w:p>
    <w:p>
      <w:pPr>
        <w:adjustRightInd w:val="0"/>
        <w:snapToGrid w:val="0"/>
        <w:spacing w:line="360" w:lineRule="auto"/>
        <w:ind w:firstLine="480" w:firstLineChars="200"/>
        <w:rPr>
          <w:bCs/>
          <w:sz w:val="24"/>
        </w:rPr>
      </w:pPr>
      <w:r>
        <w:rPr>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w:t>
      </w:r>
      <w:r>
        <w:rPr>
          <w:rFonts w:hint="eastAsia"/>
          <w:bCs/>
          <w:sz w:val="24"/>
        </w:rPr>
        <w:t>协助开立股指期货业务相关账户及交易编码、</w:t>
      </w:r>
      <w:r>
        <w:rPr>
          <w:bCs/>
          <w:sz w:val="24"/>
        </w:rPr>
        <w:t>为基金办理证券交易资金清算</w:t>
      </w:r>
      <w:r>
        <w:rPr>
          <w:rFonts w:hint="eastAsia"/>
          <w:bCs/>
          <w:sz w:val="24"/>
        </w:rPr>
        <w:t>；</w:t>
      </w:r>
    </w:p>
    <w:p>
      <w:pPr>
        <w:adjustRightInd w:val="0"/>
        <w:snapToGrid w:val="0"/>
        <w:spacing w:line="360" w:lineRule="auto"/>
        <w:ind w:firstLine="480" w:firstLineChars="200"/>
        <w:rPr>
          <w:bCs/>
          <w:sz w:val="24"/>
        </w:rPr>
      </w:pPr>
      <w:r>
        <w:rPr>
          <w:bCs/>
          <w:sz w:val="24"/>
        </w:rPr>
        <w:t>5）提议召开或召集基金份额持有人大会；</w:t>
      </w:r>
    </w:p>
    <w:p>
      <w:pPr>
        <w:adjustRightInd w:val="0"/>
        <w:snapToGrid w:val="0"/>
        <w:spacing w:line="360" w:lineRule="auto"/>
        <w:ind w:firstLine="480" w:firstLineChars="200"/>
        <w:rPr>
          <w:bCs/>
          <w:sz w:val="24"/>
        </w:rPr>
      </w:pPr>
      <w:r>
        <w:rPr>
          <w:bCs/>
          <w:sz w:val="24"/>
        </w:rPr>
        <w:t>6）在基金管理人更换时，提名新的基金管理人；</w:t>
      </w:r>
    </w:p>
    <w:p>
      <w:pPr>
        <w:adjustRightInd w:val="0"/>
        <w:snapToGrid w:val="0"/>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adjustRightInd w:val="0"/>
        <w:snapToGrid w:val="0"/>
        <w:spacing w:line="360" w:lineRule="auto"/>
        <w:ind w:firstLine="480" w:firstLineChars="200"/>
        <w:rPr>
          <w:bCs/>
          <w:sz w:val="24"/>
        </w:rPr>
      </w:pPr>
      <w:r>
        <w:rPr>
          <w:bCs/>
          <w:sz w:val="24"/>
        </w:rPr>
        <w:t>（2）根据《基金法》、《运作办法》及其他有关规定，基金托管人的义务包括但不限于：</w:t>
      </w:r>
    </w:p>
    <w:p>
      <w:pPr>
        <w:adjustRightInd w:val="0"/>
        <w:snapToGrid w:val="0"/>
        <w:spacing w:line="360" w:lineRule="auto"/>
        <w:ind w:firstLine="480" w:firstLineChars="200"/>
        <w:rPr>
          <w:bCs/>
          <w:sz w:val="24"/>
        </w:rPr>
      </w:pPr>
      <w:r>
        <w:rPr>
          <w:bCs/>
          <w:sz w:val="24"/>
        </w:rPr>
        <w:t>1）以诚实信用、勤勉尽责的原则持有并安全保管基金财产；</w:t>
      </w:r>
    </w:p>
    <w:p>
      <w:pPr>
        <w:adjustRightInd w:val="0"/>
        <w:snapToGrid w:val="0"/>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bCs/>
          <w:sz w:val="24"/>
        </w:rPr>
        <w:t>6）按规定开设基金财产的资金账户和证券账户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pPr>
        <w:adjustRightInd w:val="0"/>
        <w:snapToGrid w:val="0"/>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bCs/>
          <w:sz w:val="24"/>
        </w:rPr>
        <w:t>8）</w:t>
      </w:r>
      <w:r>
        <w:rPr>
          <w:rFonts w:hint="eastAsia"/>
          <w:bCs/>
          <w:sz w:val="24"/>
        </w:rPr>
        <w:t>复核、审查基金管理人计算的基金净值信息、基金份额申购、赎回价格</w:t>
      </w:r>
      <w:r>
        <w:rPr>
          <w:bCs/>
          <w:sz w:val="24"/>
        </w:rPr>
        <w:t>；</w:t>
      </w:r>
    </w:p>
    <w:p>
      <w:pPr>
        <w:adjustRightInd w:val="0"/>
        <w:snapToGrid w:val="0"/>
        <w:spacing w:line="360" w:lineRule="auto"/>
        <w:ind w:firstLine="480" w:firstLineChars="200"/>
        <w:rPr>
          <w:bCs/>
          <w:sz w:val="24"/>
        </w:rPr>
      </w:pPr>
      <w:r>
        <w:rPr>
          <w:bCs/>
          <w:sz w:val="24"/>
        </w:rPr>
        <w:t>9）办理与基金托管业务活动有关的信息披露事项；</w:t>
      </w:r>
    </w:p>
    <w:p>
      <w:pPr>
        <w:adjustRightInd w:val="0"/>
        <w:snapToGrid w:val="0"/>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bCs/>
          <w:sz w:val="24"/>
        </w:rPr>
        <w:t>11）保存基金托管业务活动的记录、账册、报表和其他相关资料</w:t>
      </w:r>
      <w:r>
        <w:rPr>
          <w:rFonts w:hint="eastAsia"/>
          <w:bCs/>
          <w:sz w:val="24"/>
        </w:rPr>
        <w:t>15</w:t>
      </w:r>
      <w:r>
        <w:rPr>
          <w:bCs/>
          <w:sz w:val="24"/>
        </w:rPr>
        <w:t>年以上；</w:t>
      </w:r>
    </w:p>
    <w:p>
      <w:pPr>
        <w:adjustRightInd w:val="0"/>
        <w:snapToGrid w:val="0"/>
        <w:spacing w:line="360" w:lineRule="auto"/>
        <w:ind w:firstLine="480" w:firstLineChars="200"/>
        <w:rPr>
          <w:bCs/>
          <w:sz w:val="24"/>
        </w:rPr>
      </w:pPr>
      <w:r>
        <w:rPr>
          <w:bCs/>
          <w:sz w:val="24"/>
        </w:rPr>
        <w:t>12）建立并保存基金份额持有人名册；</w:t>
      </w:r>
    </w:p>
    <w:p>
      <w:pPr>
        <w:adjustRightInd w:val="0"/>
        <w:snapToGrid w:val="0"/>
        <w:spacing w:line="360" w:lineRule="auto"/>
        <w:ind w:firstLine="480" w:firstLineChars="200"/>
        <w:rPr>
          <w:bCs/>
          <w:sz w:val="24"/>
        </w:rPr>
      </w:pPr>
      <w:r>
        <w:rPr>
          <w:bCs/>
          <w:sz w:val="24"/>
        </w:rPr>
        <w:t>13）按规定制作相关账册并与基金管理人核对；</w:t>
      </w:r>
    </w:p>
    <w:p>
      <w:pPr>
        <w:adjustRightInd w:val="0"/>
        <w:snapToGrid w:val="0"/>
        <w:spacing w:line="360" w:lineRule="auto"/>
        <w:ind w:firstLine="480" w:firstLineChars="200"/>
        <w:rPr>
          <w:bCs/>
          <w:sz w:val="24"/>
        </w:rPr>
      </w:pPr>
      <w:r>
        <w:rPr>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adjustRightInd w:val="0"/>
        <w:snapToGrid w:val="0"/>
        <w:spacing w:line="360" w:lineRule="auto"/>
        <w:ind w:firstLine="480" w:firstLineChars="200"/>
        <w:rPr>
          <w:bCs/>
          <w:sz w:val="24"/>
        </w:rPr>
      </w:pPr>
      <w:r>
        <w:rPr>
          <w:bCs/>
          <w:sz w:val="24"/>
        </w:rPr>
        <w:t>16）按照法律法规和《基金合同》的规定监督基金管理人的投资运作；</w:t>
      </w:r>
    </w:p>
    <w:p>
      <w:pPr>
        <w:adjustRightInd w:val="0"/>
        <w:snapToGrid w:val="0"/>
        <w:spacing w:line="360" w:lineRule="auto"/>
        <w:ind w:firstLine="480" w:firstLineChars="200"/>
        <w:rPr>
          <w:bCs/>
          <w:sz w:val="24"/>
        </w:rPr>
      </w:pPr>
      <w:r>
        <w:rPr>
          <w:bCs/>
          <w:sz w:val="24"/>
        </w:rPr>
        <w:t>17）参加基金财产清算小组，参与基金财产的保管、清理、估价、变现和分配；</w:t>
      </w:r>
    </w:p>
    <w:p>
      <w:pPr>
        <w:adjustRightInd w:val="0"/>
        <w:snapToGrid w:val="0"/>
        <w:spacing w:line="360" w:lineRule="auto"/>
        <w:ind w:firstLine="480" w:firstLineChars="200"/>
        <w:rPr>
          <w:bCs/>
          <w:sz w:val="24"/>
        </w:rPr>
      </w:pPr>
      <w:r>
        <w:rPr>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adjustRightInd w:val="0"/>
        <w:snapToGrid w:val="0"/>
        <w:spacing w:line="360" w:lineRule="auto"/>
        <w:ind w:firstLine="480" w:firstLineChars="200"/>
        <w:rPr>
          <w:bCs/>
          <w:sz w:val="24"/>
        </w:rPr>
      </w:pPr>
      <w:r>
        <w:rPr>
          <w:bCs/>
          <w:sz w:val="24"/>
        </w:rPr>
        <w:t>22）</w:t>
      </w:r>
      <w:bookmarkStart w:id="102" w:name="_Toc523711670"/>
      <w:r>
        <w:rPr>
          <w:bCs/>
          <w:sz w:val="24"/>
        </w:rPr>
        <w:t>法律法规及中国证监会规定的和《基金合同》约定的其他义务。</w:t>
      </w:r>
    </w:p>
    <w:bookmarkEnd w:id="102"/>
    <w:p>
      <w:pPr>
        <w:widowControl/>
        <w:adjustRightInd w:val="0"/>
        <w:snapToGrid w:val="0"/>
        <w:spacing w:line="360" w:lineRule="auto"/>
        <w:ind w:firstLine="480" w:firstLineChars="200"/>
        <w:rPr>
          <w:bCs/>
          <w:sz w:val="24"/>
        </w:rPr>
      </w:pPr>
      <w:r>
        <w:rPr>
          <w:bCs/>
          <w:sz w:val="24"/>
        </w:rPr>
        <w:t xml:space="preserve">3、基金份额持有人的权利与义务 </w:t>
      </w:r>
    </w:p>
    <w:p>
      <w:pPr>
        <w:widowControl/>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每份基金份额具有同等的合法权益</w:t>
      </w:r>
      <w:r>
        <w:rPr>
          <w:bCs/>
          <w:sz w:val="24"/>
        </w:rPr>
        <w:t>。</w:t>
      </w:r>
    </w:p>
    <w:p>
      <w:pPr>
        <w:widowControl/>
        <w:adjustRightInd w:val="0"/>
        <w:snapToGrid w:val="0"/>
        <w:spacing w:line="360" w:lineRule="auto"/>
        <w:ind w:firstLine="480" w:firstLineChars="200"/>
        <w:rPr>
          <w:bCs/>
          <w:sz w:val="24"/>
        </w:rPr>
      </w:pPr>
      <w:r>
        <w:rPr>
          <w:bCs/>
          <w:sz w:val="24"/>
        </w:rPr>
        <w:t>（1）根据《基金法》、《运作办法》</w:t>
      </w:r>
      <w:bookmarkStart w:id="103" w:name="_Hlt88825668"/>
      <w:bookmarkEnd w:id="103"/>
      <w:r>
        <w:rPr>
          <w:bCs/>
          <w:sz w:val="24"/>
        </w:rPr>
        <w:t>及其他有关规定，基金份额持有人的权利包括但不限于：</w:t>
      </w:r>
    </w:p>
    <w:p>
      <w:pPr>
        <w:adjustRightInd w:val="0"/>
        <w:snapToGrid w:val="0"/>
        <w:spacing w:line="360" w:lineRule="auto"/>
        <w:ind w:firstLine="480" w:firstLineChars="200"/>
        <w:rPr>
          <w:bCs/>
          <w:sz w:val="24"/>
        </w:rPr>
      </w:pPr>
      <w:r>
        <w:rPr>
          <w:bCs/>
          <w:sz w:val="24"/>
        </w:rPr>
        <w:t>1）分享基金财产收益；</w:t>
      </w:r>
    </w:p>
    <w:p>
      <w:pPr>
        <w:adjustRightInd w:val="0"/>
        <w:snapToGrid w:val="0"/>
        <w:spacing w:line="360" w:lineRule="auto"/>
        <w:ind w:firstLine="480" w:firstLineChars="200"/>
        <w:rPr>
          <w:bCs/>
          <w:sz w:val="24"/>
        </w:rPr>
      </w:pPr>
      <w:r>
        <w:rPr>
          <w:bCs/>
          <w:sz w:val="24"/>
        </w:rPr>
        <w:t>2）参与分配清算后的剩余基金财产；</w:t>
      </w:r>
    </w:p>
    <w:p>
      <w:pPr>
        <w:adjustRightInd w:val="0"/>
        <w:snapToGrid w:val="0"/>
        <w:spacing w:line="360" w:lineRule="auto"/>
        <w:ind w:firstLine="480" w:firstLineChars="200"/>
        <w:rPr>
          <w:bCs/>
          <w:sz w:val="24"/>
        </w:rPr>
      </w:pPr>
      <w:r>
        <w:rPr>
          <w:bCs/>
          <w:sz w:val="24"/>
        </w:rPr>
        <w:t>3）</w:t>
      </w:r>
      <w:r>
        <w:rPr>
          <w:rFonts w:hint="eastAsia"/>
          <w:bCs/>
          <w:sz w:val="24"/>
        </w:rPr>
        <w:t>依法并按照基金合同和招募说明书的规定申请赎回或转让其持有的基金份额</w:t>
      </w:r>
      <w:r>
        <w:rPr>
          <w:bCs/>
          <w:sz w:val="24"/>
        </w:rPr>
        <w:t>；</w:t>
      </w:r>
    </w:p>
    <w:p>
      <w:pPr>
        <w:adjustRightInd w:val="0"/>
        <w:snapToGrid w:val="0"/>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adjustRightInd w:val="0"/>
        <w:snapToGrid w:val="0"/>
        <w:spacing w:line="360" w:lineRule="auto"/>
        <w:ind w:firstLine="480" w:firstLineChars="200"/>
        <w:rPr>
          <w:bCs/>
          <w:sz w:val="24"/>
        </w:rPr>
      </w:pPr>
      <w:r>
        <w:rPr>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bCs/>
          <w:sz w:val="24"/>
        </w:rPr>
        <w:t>6）查阅或者复制公开披露的基金信息资料；</w:t>
      </w:r>
    </w:p>
    <w:p>
      <w:pPr>
        <w:adjustRightInd w:val="0"/>
        <w:snapToGrid w:val="0"/>
        <w:spacing w:line="360" w:lineRule="auto"/>
        <w:ind w:firstLine="480" w:firstLineChars="200"/>
        <w:rPr>
          <w:bCs/>
          <w:sz w:val="24"/>
        </w:rPr>
      </w:pPr>
      <w:r>
        <w:rPr>
          <w:bCs/>
          <w:sz w:val="24"/>
        </w:rPr>
        <w:t>7）监督基金管理人的投资运作；</w:t>
      </w:r>
    </w:p>
    <w:p>
      <w:pPr>
        <w:adjustRightInd w:val="0"/>
        <w:snapToGrid w:val="0"/>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adjustRightInd w:val="0"/>
        <w:snapToGrid w:val="0"/>
        <w:spacing w:line="360" w:lineRule="auto"/>
        <w:ind w:firstLine="480" w:firstLineChars="200"/>
        <w:rPr>
          <w:bCs/>
          <w:sz w:val="24"/>
        </w:rPr>
      </w:pPr>
      <w:r>
        <w:rPr>
          <w:bCs/>
          <w:sz w:val="24"/>
        </w:rPr>
        <w:t>9）法律法规及中国证监会规定的和《基金合同》约定的其他权利。</w:t>
      </w:r>
    </w:p>
    <w:p>
      <w:pPr>
        <w:widowControl/>
        <w:adjustRightInd w:val="0"/>
        <w:snapToGrid w:val="0"/>
        <w:spacing w:line="360" w:lineRule="auto"/>
        <w:ind w:firstLine="480" w:firstLineChars="200"/>
        <w:rPr>
          <w:bCs/>
          <w:sz w:val="24"/>
        </w:rPr>
      </w:pPr>
      <w:r>
        <w:rPr>
          <w:bCs/>
          <w:sz w:val="24"/>
        </w:rPr>
        <w:t>（2）根据《基金法》、《运作办法》及其他有关规定，基金份额持有人的义务包括但不限于：</w:t>
      </w:r>
    </w:p>
    <w:p>
      <w:pPr>
        <w:adjustRightInd w:val="0"/>
        <w:snapToGrid w:val="0"/>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adjustRightInd w:val="0"/>
        <w:snapToGrid w:val="0"/>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adjustRightInd w:val="0"/>
        <w:snapToGrid w:val="0"/>
        <w:spacing w:line="360" w:lineRule="auto"/>
        <w:ind w:firstLine="480" w:firstLineChars="200"/>
        <w:rPr>
          <w:bCs/>
          <w:sz w:val="24"/>
        </w:rPr>
      </w:pPr>
      <w:r>
        <w:rPr>
          <w:bCs/>
          <w:sz w:val="24"/>
        </w:rPr>
        <w:t>3）关注基金信息披露，及时行使权利和履行义务；</w:t>
      </w:r>
    </w:p>
    <w:p>
      <w:pPr>
        <w:adjustRightInd w:val="0"/>
        <w:snapToGrid w:val="0"/>
        <w:spacing w:line="360" w:lineRule="auto"/>
        <w:ind w:firstLine="480" w:firstLineChars="200"/>
        <w:rPr>
          <w:bCs/>
          <w:sz w:val="24"/>
        </w:rPr>
      </w:pPr>
      <w:bookmarkStart w:id="104" w:name="OLE_LINK57"/>
      <w:bookmarkStart w:id="105" w:name="OLE_LINK56"/>
      <w:r>
        <w:rPr>
          <w:bCs/>
          <w:sz w:val="24"/>
        </w:rPr>
        <w:t>4）缴纳基金申购款项及法律法规和《基金合同》所规定的费用；</w:t>
      </w:r>
    </w:p>
    <w:bookmarkEnd w:id="104"/>
    <w:bookmarkEnd w:id="105"/>
    <w:p>
      <w:pPr>
        <w:adjustRightInd w:val="0"/>
        <w:snapToGrid w:val="0"/>
        <w:spacing w:line="360" w:lineRule="auto"/>
        <w:ind w:firstLine="480" w:firstLineChars="200"/>
        <w:rPr>
          <w:bCs/>
          <w:sz w:val="24"/>
        </w:rPr>
      </w:pPr>
      <w:r>
        <w:rPr>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bCs/>
          <w:sz w:val="24"/>
        </w:rPr>
        <w:t>6）不从事任何有损基金及其他《基金合同》当事人合法权益的活动；</w:t>
      </w:r>
    </w:p>
    <w:p>
      <w:pPr>
        <w:adjustRightInd w:val="0"/>
        <w:snapToGrid w:val="0"/>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adjustRightInd w:val="0"/>
        <w:snapToGrid w:val="0"/>
        <w:spacing w:line="360" w:lineRule="auto"/>
        <w:ind w:firstLine="480" w:firstLineChars="200"/>
        <w:rPr>
          <w:bCs/>
          <w:sz w:val="24"/>
        </w:rPr>
      </w:pPr>
      <w:r>
        <w:rPr>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w:t>
      </w:r>
      <w:r>
        <w:rPr>
          <w:bCs/>
          <w:sz w:val="24"/>
        </w:rPr>
        <w:t>）法律法规及中国证监会规定的和《基金合同》约定的其他义务。</w:t>
      </w:r>
    </w:p>
    <w:p>
      <w:pPr>
        <w:widowControl/>
        <w:adjustRightInd w:val="0"/>
        <w:snapToGrid w:val="0"/>
        <w:spacing w:before="143" w:beforeLines="50" w:line="360" w:lineRule="auto"/>
        <w:ind w:firstLine="482" w:firstLineChars="200"/>
        <w:rPr>
          <w:b/>
          <w:kern w:val="0"/>
          <w:sz w:val="24"/>
        </w:rPr>
      </w:pPr>
      <w:r>
        <w:rPr>
          <w:b/>
          <w:kern w:val="0"/>
          <w:sz w:val="24"/>
        </w:rPr>
        <w:t>（二）基金份额持有人大会</w:t>
      </w:r>
      <w:r>
        <w:rPr>
          <w:rFonts w:hint="eastAsia"/>
          <w:b/>
          <w:kern w:val="0"/>
          <w:sz w:val="24"/>
        </w:rPr>
        <w:t>召集、议事及表决的程序和规则</w:t>
      </w:r>
      <w:r>
        <w:rPr>
          <w:b/>
          <w:kern w:val="0"/>
          <w:sz w:val="24"/>
        </w:rPr>
        <w:t xml:space="preserve"> </w:t>
      </w:r>
    </w:p>
    <w:p>
      <w:pPr>
        <w:adjustRightInd w:val="0"/>
        <w:snapToGrid w:val="0"/>
        <w:spacing w:line="360" w:lineRule="auto"/>
        <w:ind w:firstLine="480" w:firstLineChars="200"/>
        <w:jc w:val="left"/>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jc w:val="left"/>
        <w:rPr>
          <w:bCs/>
          <w:sz w:val="24"/>
        </w:rPr>
      </w:pPr>
      <w:r>
        <w:rPr>
          <w:rFonts w:hint="eastAsia"/>
          <w:bCs/>
          <w:sz w:val="24"/>
        </w:rPr>
        <w:t>本基金份额持有人大会不设日常机构。</w:t>
      </w:r>
    </w:p>
    <w:p>
      <w:pPr>
        <w:widowControl/>
        <w:adjustRightInd w:val="0"/>
        <w:snapToGrid w:val="0"/>
        <w:spacing w:before="143" w:beforeLines="50" w:line="360" w:lineRule="auto"/>
        <w:ind w:firstLine="480" w:firstLineChars="200"/>
        <w:rPr>
          <w:sz w:val="24"/>
        </w:rPr>
      </w:pPr>
      <w:r>
        <w:rPr>
          <w:sz w:val="24"/>
        </w:rPr>
        <w:t>1、召开事由</w:t>
      </w:r>
    </w:p>
    <w:p>
      <w:pPr>
        <w:adjustRightInd w:val="0"/>
        <w:snapToGrid w:val="0"/>
        <w:spacing w:line="360" w:lineRule="auto"/>
        <w:ind w:firstLine="480" w:firstLineChars="200"/>
        <w:rPr>
          <w:bCs/>
          <w:sz w:val="24"/>
        </w:rPr>
      </w:pPr>
      <w:r>
        <w:rPr>
          <w:bCs/>
          <w:sz w:val="24"/>
        </w:rPr>
        <w:t>（1）当出现或需要决定下列事由之一的</w:t>
      </w:r>
      <w:bookmarkStart w:id="106" w:name="_Hlt88825574"/>
      <w:bookmarkEnd w:id="106"/>
      <w:r>
        <w:rPr>
          <w:bCs/>
          <w:sz w:val="24"/>
        </w:rPr>
        <w:t>，应当召开基金份额持有人大会</w:t>
      </w:r>
      <w:r>
        <w:rPr>
          <w:rFonts w:hint="eastAsia"/>
          <w:bCs/>
          <w:sz w:val="24"/>
        </w:rPr>
        <w:t>，法律法规、基金合同和中国证监会另有规定的除外</w:t>
      </w:r>
      <w:r>
        <w:rPr>
          <w:bCs/>
          <w:sz w:val="24"/>
        </w:rPr>
        <w:t>：</w:t>
      </w:r>
      <w:bookmarkStart w:id="107" w:name="_Hlt94543071"/>
      <w:bookmarkEnd w:id="107"/>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5）提高基金管理人、基金托管人的报酬标准；</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11）终止基金上市，但因基金不再具备上市条件而被深圳证券交易所终止上市的除外；</w:t>
      </w:r>
    </w:p>
    <w:p>
      <w:pPr>
        <w:adjustRightInd w:val="0"/>
        <w:snapToGrid w:val="0"/>
        <w:spacing w:line="360" w:lineRule="auto"/>
        <w:ind w:firstLine="480" w:firstLineChars="200"/>
        <w:rPr>
          <w:bCs/>
          <w:sz w:val="24"/>
        </w:rPr>
      </w:pPr>
      <w:r>
        <w:rPr>
          <w:rFonts w:hint="eastAsia"/>
          <w:bCs/>
          <w:sz w:val="24"/>
        </w:rPr>
        <w:t>12）单独或合计持有本基金总份额10%以上（含10%）基金份额的基金份额持有人（以基金管理人收到提议当日的基金份额计算，下同）就同一事项书面要求召开基金份额持有人大会；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13）对基金合同当事人权利和义务产生重大影响的其他事项；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14）法律法规、《基金合同》或中国证监会规定的其他应当召开基金份额持有人大会的事项</w:t>
      </w:r>
      <w:r>
        <w:rPr>
          <w:bCs/>
          <w:sz w:val="24"/>
        </w:rPr>
        <w:t>。</w:t>
      </w:r>
    </w:p>
    <w:p>
      <w:pPr>
        <w:adjustRightInd w:val="0"/>
        <w:snapToGrid w:val="0"/>
        <w:spacing w:line="360" w:lineRule="auto"/>
        <w:ind w:firstLine="480" w:firstLineChars="200"/>
        <w:rPr>
          <w:bCs/>
          <w:sz w:val="24"/>
        </w:rPr>
      </w:pPr>
      <w:r>
        <w:rPr>
          <w:bCs/>
          <w:sz w:val="24"/>
        </w:rPr>
        <w:t>（2）</w:t>
      </w:r>
      <w:r>
        <w:rPr>
          <w:rFonts w:hint="eastAsia"/>
          <w:bCs/>
          <w:sz w:val="24"/>
        </w:rPr>
        <w:t>在符合法律法规及本基金合同规定、并且对基金份额持有人利益无实质不利影响的前提下，</w:t>
      </w:r>
      <w:r>
        <w:rPr>
          <w:bCs/>
          <w:sz w:val="24"/>
        </w:rPr>
        <w:t>以下情况可由基金管理人和基金托管人协商后修改，不需召开基金份额持有人大会：</w:t>
      </w:r>
    </w:p>
    <w:p>
      <w:pPr>
        <w:adjustRightInd w:val="0"/>
        <w:snapToGrid w:val="0"/>
        <w:spacing w:line="360" w:lineRule="auto"/>
        <w:ind w:firstLine="480" w:firstLineChars="200"/>
        <w:rPr>
          <w:bCs/>
          <w:sz w:val="24"/>
        </w:rPr>
      </w:pPr>
      <w:r>
        <w:rPr>
          <w:bCs/>
          <w:sz w:val="24"/>
        </w:rPr>
        <w:t>1）法律法规要求增加的基金费用的收取；</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在法律法规和《基金合同》规定的范围内调整本基金的申购费率、调低赎回费率、在对现有基金份额持有人利益无实质性不利影响的前提下变更或增加收费方式</w:t>
      </w:r>
      <w:r>
        <w:rPr>
          <w:bCs/>
          <w:sz w:val="24"/>
        </w:rPr>
        <w:t>；</w:t>
      </w:r>
    </w:p>
    <w:p>
      <w:pPr>
        <w:adjustRightInd w:val="0"/>
        <w:snapToGrid w:val="0"/>
        <w:spacing w:line="360" w:lineRule="auto"/>
        <w:ind w:firstLine="480" w:firstLineChars="200"/>
        <w:rPr>
          <w:bCs/>
          <w:sz w:val="24"/>
        </w:rPr>
      </w:pPr>
      <w:r>
        <w:rPr>
          <w:rFonts w:hint="eastAsia"/>
          <w:bCs/>
          <w:sz w:val="24"/>
        </w:rPr>
        <w:t>3）标的指数供应商根据相应指数使用许可协议变更标的指数许可使用费费率和计费方式；</w:t>
      </w:r>
    </w:p>
    <w:p>
      <w:pPr>
        <w:adjustRightInd w:val="0"/>
        <w:snapToGrid w:val="0"/>
        <w:spacing w:line="360" w:lineRule="auto"/>
        <w:ind w:firstLine="480" w:firstLineChars="200"/>
        <w:rPr>
          <w:bCs/>
          <w:sz w:val="24"/>
        </w:rPr>
      </w:pPr>
      <w:r>
        <w:rPr>
          <w:rFonts w:hint="eastAsia"/>
          <w:bCs/>
          <w:sz w:val="24"/>
        </w:rPr>
        <w:t>4</w:t>
      </w:r>
      <w:r>
        <w:rPr>
          <w:bCs/>
          <w:sz w:val="24"/>
        </w:rPr>
        <w:t>）因相应的法律法规、深圳证券交易所或登记机构的相关业务规则发生变动而应当对《基金合同》进行修改；</w:t>
      </w:r>
    </w:p>
    <w:p>
      <w:pPr>
        <w:adjustRightInd w:val="0"/>
        <w:snapToGrid w:val="0"/>
        <w:spacing w:line="360" w:lineRule="auto"/>
        <w:ind w:firstLine="480" w:firstLineChars="200"/>
        <w:rPr>
          <w:bCs/>
          <w:sz w:val="24"/>
        </w:rPr>
      </w:pP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adjustRightInd w:val="0"/>
        <w:snapToGrid w:val="0"/>
        <w:spacing w:line="360" w:lineRule="auto"/>
        <w:ind w:firstLine="480" w:firstLineChars="200"/>
        <w:rPr>
          <w:bCs/>
          <w:sz w:val="24"/>
        </w:rPr>
      </w:pPr>
      <w:r>
        <w:rPr>
          <w:rFonts w:hint="eastAsia"/>
          <w:bCs/>
          <w:sz w:val="24"/>
        </w:rPr>
        <w:t>6）在法律法规允许的情况下基金推出新业务或服务，且对基金份额持有人利益无实质性不利影响；</w:t>
      </w:r>
    </w:p>
    <w:p>
      <w:pPr>
        <w:adjustRightInd w:val="0"/>
        <w:snapToGrid w:val="0"/>
        <w:spacing w:line="360" w:lineRule="auto"/>
        <w:ind w:firstLine="480" w:firstLineChars="200"/>
        <w:rPr>
          <w:bCs/>
          <w:sz w:val="24"/>
        </w:rPr>
      </w:pPr>
      <w:r>
        <w:rPr>
          <w:rFonts w:hint="eastAsia"/>
          <w:bCs/>
          <w:sz w:val="24"/>
        </w:rPr>
        <w:t>7）变更标的指数对基金投资范围和投资策略无实质性影响（包括但不限于指数编制单位变更、指数更名等事项），且对基金份额持有人利益无实质性不利影响；</w:t>
      </w:r>
    </w:p>
    <w:p>
      <w:pPr>
        <w:adjustRightInd w:val="0"/>
        <w:snapToGrid w:val="0"/>
        <w:spacing w:line="360" w:lineRule="auto"/>
        <w:ind w:firstLine="480" w:firstLineChars="200"/>
        <w:rPr>
          <w:bCs/>
          <w:sz w:val="24"/>
        </w:rPr>
      </w:pPr>
      <w:r>
        <w:rPr>
          <w:rFonts w:hint="eastAsia"/>
          <w:bCs/>
          <w:sz w:val="24"/>
        </w:rPr>
        <w:t>8）基金管理人、登记机构、深圳证券交易所、销售机构在法律法规规定的范围内调整有关基金申购、赎回、转换、非交易过户、转托管、上市交易等业务的规则；</w:t>
      </w:r>
    </w:p>
    <w:p>
      <w:pPr>
        <w:adjustRightInd w:val="0"/>
        <w:snapToGrid w:val="0"/>
        <w:spacing w:line="360" w:lineRule="auto"/>
        <w:ind w:firstLine="480" w:firstLineChars="200"/>
        <w:rPr>
          <w:bCs/>
          <w:sz w:val="24"/>
        </w:rPr>
      </w:pPr>
      <w:r>
        <w:rPr>
          <w:rFonts w:hint="eastAsia"/>
          <w:bCs/>
          <w:sz w:val="24"/>
        </w:rPr>
        <w:t>9）</w:t>
      </w:r>
      <w:r>
        <w:rPr>
          <w:bCs/>
          <w:sz w:val="24"/>
        </w:rPr>
        <w:t>按照法律法规和《基金合同》规定不需召开基金份额持有人大会的以外的其他情形。</w:t>
      </w:r>
    </w:p>
    <w:p>
      <w:pPr>
        <w:widowControl/>
        <w:adjustRightInd w:val="0"/>
        <w:snapToGrid w:val="0"/>
        <w:spacing w:line="360" w:lineRule="auto"/>
        <w:ind w:firstLine="480" w:firstLineChars="200"/>
        <w:rPr>
          <w:sz w:val="24"/>
        </w:rPr>
      </w:pPr>
      <w:r>
        <w:rPr>
          <w:sz w:val="24"/>
        </w:rPr>
        <w:t>2、会议召集人及召集方式</w:t>
      </w:r>
    </w:p>
    <w:p>
      <w:pPr>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w:t>
      </w:r>
      <w:r>
        <w:rPr>
          <w:bCs/>
          <w:sz w:val="24"/>
        </w:rPr>
        <w:t>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p>
    <w:p>
      <w:pPr>
        <w:adjustRightInd w:val="0"/>
        <w:snapToGrid w:val="0"/>
        <w:spacing w:line="360" w:lineRule="auto"/>
        <w:ind w:firstLine="480" w:firstLineChars="200"/>
        <w:rPr>
          <w:bCs/>
          <w:sz w:val="24"/>
        </w:rPr>
      </w:pPr>
      <w:r>
        <w:rPr>
          <w:rFonts w:hint="eastAsia"/>
          <w:bCs/>
          <w:sz w:val="24"/>
        </w:rPr>
        <w:t>（</w:t>
      </w:r>
      <w:r>
        <w:rPr>
          <w:bCs/>
          <w:sz w:val="24"/>
        </w:rPr>
        <w:t>4</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p>
    <w:p>
      <w:pPr>
        <w:adjustRightInd w:val="0"/>
        <w:snapToGrid w:val="0"/>
        <w:spacing w:line="360" w:lineRule="auto"/>
        <w:ind w:firstLine="480" w:firstLineChars="200"/>
        <w:rPr>
          <w:bCs/>
          <w:sz w:val="24"/>
        </w:rPr>
      </w:pPr>
      <w:r>
        <w:rPr>
          <w:rFonts w:hint="eastAsia"/>
          <w:bCs/>
          <w:sz w:val="24"/>
        </w:rPr>
        <w:t>（</w:t>
      </w:r>
      <w:r>
        <w:rPr>
          <w:bCs/>
          <w:sz w:val="24"/>
        </w:rPr>
        <w:t>5</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adjustRightInd w:val="0"/>
        <w:snapToGrid w:val="0"/>
        <w:spacing w:line="360" w:lineRule="auto"/>
        <w:ind w:firstLine="480" w:firstLineChars="200"/>
        <w:rPr>
          <w:bCs/>
          <w:sz w:val="24"/>
        </w:rPr>
      </w:pPr>
      <w:r>
        <w:rPr>
          <w:rFonts w:hint="eastAsia"/>
          <w:bCs/>
          <w:sz w:val="24"/>
        </w:rPr>
        <w:t>（</w:t>
      </w:r>
      <w:r>
        <w:rPr>
          <w:bCs/>
          <w:sz w:val="24"/>
        </w:rPr>
        <w:t>6</w:t>
      </w:r>
      <w:r>
        <w:rPr>
          <w:rFonts w:hint="eastAsia"/>
          <w:bCs/>
          <w:sz w:val="24"/>
        </w:rPr>
        <w:t>）</w:t>
      </w:r>
      <w:r>
        <w:rPr>
          <w:bCs/>
          <w:sz w:val="24"/>
        </w:rPr>
        <w:t>基金份额持有人会议的召集人负责选择确定开会时间、地点、方式和权益登记日。</w:t>
      </w:r>
    </w:p>
    <w:p>
      <w:pPr>
        <w:widowControl/>
        <w:adjustRightInd w:val="0"/>
        <w:snapToGrid w:val="0"/>
        <w:spacing w:line="360" w:lineRule="auto"/>
        <w:ind w:firstLine="480" w:firstLineChars="200"/>
        <w:rPr>
          <w:sz w:val="24"/>
        </w:rPr>
      </w:pPr>
      <w:r>
        <w:rPr>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pPr>
        <w:adjustRightInd w:val="0"/>
        <w:snapToGrid w:val="0"/>
        <w:spacing w:line="360" w:lineRule="auto"/>
        <w:ind w:firstLine="480" w:firstLineChars="200"/>
        <w:rPr>
          <w:bCs/>
          <w:sz w:val="24"/>
        </w:rPr>
      </w:pPr>
      <w:r>
        <w:rPr>
          <w:bCs/>
          <w:sz w:val="24"/>
        </w:rPr>
        <w:t>1）会议召开的时间、地点和会议形式；</w:t>
      </w:r>
    </w:p>
    <w:p>
      <w:pPr>
        <w:adjustRightInd w:val="0"/>
        <w:snapToGrid w:val="0"/>
        <w:spacing w:line="360" w:lineRule="auto"/>
        <w:ind w:firstLine="480" w:firstLineChars="200"/>
        <w:rPr>
          <w:bCs/>
          <w:sz w:val="24"/>
        </w:rPr>
      </w:pPr>
      <w:r>
        <w:rPr>
          <w:bCs/>
          <w:sz w:val="24"/>
        </w:rPr>
        <w:t>2）会议拟审议的事项、议事程序和表决方式；</w:t>
      </w:r>
    </w:p>
    <w:p>
      <w:pPr>
        <w:adjustRightInd w:val="0"/>
        <w:snapToGrid w:val="0"/>
        <w:spacing w:line="360" w:lineRule="auto"/>
        <w:ind w:firstLine="480" w:firstLineChars="200"/>
        <w:rPr>
          <w:bCs/>
          <w:sz w:val="24"/>
        </w:rPr>
      </w:pPr>
      <w:r>
        <w:rPr>
          <w:bCs/>
          <w:sz w:val="24"/>
        </w:rPr>
        <w:t>3）有权出席基金份额持有人大会的基金份额持有人的权益登记日；</w:t>
      </w:r>
    </w:p>
    <w:p>
      <w:pPr>
        <w:adjustRightInd w:val="0"/>
        <w:snapToGrid w:val="0"/>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adjustRightInd w:val="0"/>
        <w:snapToGrid w:val="0"/>
        <w:spacing w:line="360" w:lineRule="auto"/>
        <w:ind w:firstLine="480" w:firstLineChars="200"/>
        <w:rPr>
          <w:bCs/>
          <w:sz w:val="24"/>
        </w:rPr>
      </w:pPr>
      <w:r>
        <w:rPr>
          <w:bCs/>
          <w:sz w:val="24"/>
        </w:rPr>
        <w:t>5）会务常设联系人姓名及联系电话；</w:t>
      </w:r>
    </w:p>
    <w:p>
      <w:pPr>
        <w:adjustRightInd w:val="0"/>
        <w:snapToGrid w:val="0"/>
        <w:spacing w:line="360" w:lineRule="auto"/>
        <w:ind w:firstLine="480" w:firstLineChars="200"/>
        <w:rPr>
          <w:bCs/>
          <w:sz w:val="24"/>
        </w:rPr>
      </w:pPr>
      <w:r>
        <w:rPr>
          <w:bCs/>
          <w:sz w:val="24"/>
        </w:rPr>
        <w:t>6）出席会议者必须准备的文件和必须履行的手续；</w:t>
      </w:r>
    </w:p>
    <w:p>
      <w:pPr>
        <w:adjustRightInd w:val="0"/>
        <w:snapToGrid w:val="0"/>
        <w:spacing w:line="360" w:lineRule="auto"/>
        <w:ind w:firstLine="480" w:firstLineChars="200"/>
        <w:rPr>
          <w:bCs/>
          <w:sz w:val="24"/>
        </w:rPr>
      </w:pPr>
      <w:r>
        <w:rPr>
          <w:bCs/>
          <w:sz w:val="24"/>
        </w:rPr>
        <w:t>7）召集人需要通知的其他事项。</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widowControl/>
        <w:adjustRightInd w:val="0"/>
        <w:snapToGrid w:val="0"/>
        <w:spacing w:line="360" w:lineRule="auto"/>
        <w:ind w:firstLine="480" w:firstLineChars="200"/>
        <w:rPr>
          <w:sz w:val="24"/>
        </w:rPr>
      </w:pPr>
      <w:r>
        <w:rPr>
          <w:sz w:val="24"/>
        </w:rPr>
        <w:t>4、基金份额持有人出席会议的方式</w:t>
      </w:r>
    </w:p>
    <w:p>
      <w:pPr>
        <w:adjustRightInd w:val="0"/>
        <w:snapToGrid w:val="0"/>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pPr>
        <w:adjustRightInd w:val="0"/>
        <w:snapToGrid w:val="0"/>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通讯开会。通讯开会系指基金份额持有人将其对表决事项的投票以书面形式在表决截至日以前送达至召集人指定的地址。通讯开会应以书面方式进行表决。</w:t>
      </w:r>
    </w:p>
    <w:p>
      <w:pPr>
        <w:adjustRightInd w:val="0"/>
        <w:snapToGrid w:val="0"/>
        <w:spacing w:line="360" w:lineRule="auto"/>
        <w:ind w:firstLine="480" w:firstLineChars="200"/>
        <w:rPr>
          <w:bCs/>
          <w:sz w:val="24"/>
        </w:rPr>
      </w:pPr>
      <w:r>
        <w:rPr>
          <w:bCs/>
          <w:sz w:val="24"/>
        </w:rPr>
        <w:t>在同时符合以下条件时，通讯开会的方式视为有效：</w:t>
      </w:r>
    </w:p>
    <w:p>
      <w:pPr>
        <w:adjustRightInd w:val="0"/>
        <w:snapToGrid w:val="0"/>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adjustRightInd w:val="0"/>
        <w:snapToGrid w:val="0"/>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adjustRightInd w:val="0"/>
        <w:snapToGrid w:val="0"/>
        <w:spacing w:line="360" w:lineRule="auto"/>
        <w:ind w:firstLine="480" w:firstLineChars="200"/>
        <w:rPr>
          <w:bCs/>
          <w:sz w:val="24"/>
        </w:rPr>
      </w:pP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pPr>
        <w:adjustRightInd w:val="0"/>
        <w:snapToGrid w:val="0"/>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bookmarkStart w:id="108" w:name="OLE_LINK58"/>
      <w:bookmarkStart w:id="109" w:name="OLE_LINK59"/>
      <w:r>
        <w:rPr>
          <w:rFonts w:hint="eastAsia"/>
          <w:bCs/>
          <w:sz w:val="24"/>
        </w:rPr>
        <w:t>（3）在法律法规和监管机关允许的情况下，经会议通知载明，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8"/>
      <w:bookmarkEnd w:id="109"/>
    </w:p>
    <w:p>
      <w:pPr>
        <w:widowControl/>
        <w:adjustRightInd w:val="0"/>
        <w:snapToGrid w:val="0"/>
        <w:spacing w:line="360" w:lineRule="auto"/>
        <w:ind w:firstLine="480" w:firstLineChars="200"/>
        <w:rPr>
          <w:sz w:val="24"/>
        </w:rPr>
      </w:pPr>
      <w:r>
        <w:rPr>
          <w:sz w:val="24"/>
        </w:rPr>
        <w:t>5、议事内容与程序</w:t>
      </w:r>
    </w:p>
    <w:p>
      <w:pPr>
        <w:adjustRightInd w:val="0"/>
        <w:snapToGrid w:val="0"/>
        <w:spacing w:line="360" w:lineRule="auto"/>
        <w:ind w:firstLine="480" w:firstLineChars="200"/>
        <w:rPr>
          <w:bCs/>
          <w:sz w:val="24"/>
        </w:rPr>
      </w:pPr>
      <w:r>
        <w:rPr>
          <w:bCs/>
          <w:sz w:val="24"/>
        </w:rPr>
        <w:t>（1）议事内容及提案权</w:t>
      </w:r>
    </w:p>
    <w:p>
      <w:pPr>
        <w:adjustRightInd w:val="0"/>
        <w:snapToGrid w:val="0"/>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bCs/>
          <w:sz w:val="24"/>
        </w:rPr>
        <w:t>基金份额持有人大会不得对未事先公告的议事内容进行表决。</w:t>
      </w:r>
    </w:p>
    <w:p>
      <w:pPr>
        <w:adjustRightInd w:val="0"/>
        <w:snapToGrid w:val="0"/>
        <w:spacing w:line="360" w:lineRule="auto"/>
        <w:ind w:firstLine="480" w:firstLineChars="200"/>
        <w:rPr>
          <w:bCs/>
          <w:sz w:val="24"/>
        </w:rPr>
      </w:pPr>
      <w:r>
        <w:rPr>
          <w:bCs/>
          <w:sz w:val="24"/>
        </w:rPr>
        <w:t>（2）议事程序</w:t>
      </w:r>
    </w:p>
    <w:p>
      <w:pPr>
        <w:adjustRightInd w:val="0"/>
        <w:snapToGrid w:val="0"/>
        <w:spacing w:line="360" w:lineRule="auto"/>
        <w:ind w:firstLine="480" w:firstLineChars="200"/>
        <w:rPr>
          <w:bCs/>
          <w:sz w:val="24"/>
        </w:rPr>
      </w:pPr>
      <w:r>
        <w:rPr>
          <w:bCs/>
          <w:sz w:val="24"/>
        </w:rPr>
        <w:t>1）现场开会</w:t>
      </w:r>
    </w:p>
    <w:p>
      <w:pPr>
        <w:adjustRightInd w:val="0"/>
        <w:snapToGrid w:val="0"/>
        <w:spacing w:line="360" w:lineRule="auto"/>
        <w:ind w:firstLine="480" w:firstLineChars="200"/>
        <w:rPr>
          <w:bCs/>
          <w:sz w:val="24"/>
        </w:rPr>
      </w:pPr>
      <w:r>
        <w:rPr>
          <w:bCs/>
          <w:sz w:val="24"/>
        </w:rPr>
        <w:t>在现场开会的方式下，首先由大会主持人按照下列第</w:t>
      </w:r>
      <w:r>
        <w:rPr>
          <w:rFonts w:hint="eastAsia"/>
          <w:bCs/>
          <w:sz w:val="24"/>
        </w:rPr>
        <w:t>7</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bCs/>
          <w:sz w:val="24"/>
        </w:rPr>
        <w:t>2）通讯开会</w:t>
      </w:r>
    </w:p>
    <w:p>
      <w:pPr>
        <w:adjustRightInd w:val="0"/>
        <w:snapToGrid w:val="0"/>
        <w:spacing w:line="360" w:lineRule="auto"/>
        <w:ind w:firstLine="480" w:firstLineChars="200"/>
        <w:rPr>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widowControl/>
        <w:adjustRightInd w:val="0"/>
        <w:snapToGrid w:val="0"/>
        <w:spacing w:line="360" w:lineRule="auto"/>
        <w:ind w:firstLine="480" w:firstLineChars="200"/>
        <w:rPr>
          <w:sz w:val="24"/>
        </w:rPr>
      </w:pPr>
      <w:r>
        <w:rPr>
          <w:sz w:val="24"/>
        </w:rPr>
        <w:t>6、</w:t>
      </w:r>
      <w:r>
        <w:rPr>
          <w:sz w:val="24"/>
          <w:szCs w:val="18"/>
        </w:rPr>
        <w:t>表决</w:t>
      </w:r>
    </w:p>
    <w:p>
      <w:pPr>
        <w:adjustRightInd w:val="0"/>
        <w:snapToGrid w:val="0"/>
        <w:spacing w:line="360" w:lineRule="auto"/>
        <w:ind w:firstLine="480" w:firstLineChars="200"/>
        <w:rPr>
          <w:bCs/>
          <w:sz w:val="24"/>
        </w:rPr>
      </w:pPr>
      <w:r>
        <w:rPr>
          <w:bCs/>
          <w:sz w:val="24"/>
        </w:rPr>
        <w:t>基金份额持有人所持每份基金份额有一票表决权。</w:t>
      </w:r>
    </w:p>
    <w:p>
      <w:pPr>
        <w:adjustRightInd w:val="0"/>
        <w:snapToGrid w:val="0"/>
        <w:spacing w:line="360" w:lineRule="auto"/>
        <w:ind w:firstLine="480" w:firstLineChars="200"/>
        <w:rPr>
          <w:bCs/>
          <w:sz w:val="24"/>
        </w:rPr>
      </w:pPr>
      <w:r>
        <w:rPr>
          <w:bCs/>
          <w:sz w:val="24"/>
        </w:rPr>
        <w:t>基金份额持有人大会决议分为一般决议和特别决议：</w:t>
      </w:r>
    </w:p>
    <w:p>
      <w:pPr>
        <w:adjustRightInd w:val="0"/>
        <w:snapToGrid w:val="0"/>
        <w:spacing w:line="360" w:lineRule="auto"/>
        <w:ind w:firstLine="480" w:firstLineChars="200"/>
        <w:rPr>
          <w:bCs/>
          <w:sz w:val="24"/>
        </w:rPr>
      </w:pPr>
      <w:r>
        <w:rPr>
          <w:bCs/>
          <w:sz w:val="24"/>
        </w:rPr>
        <w:t>（1）</w:t>
      </w:r>
      <w:r>
        <w:rPr>
          <w:rFonts w:hint="eastAsia"/>
          <w:bCs/>
          <w:sz w:val="24"/>
        </w:rPr>
        <w:t>一般决议，一般决议须经参加大会的基金份额持有人或其代理人所持表决权的二分之一以上（含二分之一）通过方为有效</w:t>
      </w:r>
      <w:r>
        <w:rPr>
          <w:bCs/>
          <w:sz w:val="24"/>
        </w:rPr>
        <w:t>；除下列第</w:t>
      </w:r>
      <w:r>
        <w:rPr>
          <w:rFonts w:hint="eastAsia"/>
          <w:bCs/>
          <w:sz w:val="24"/>
        </w:rPr>
        <w:t>（</w:t>
      </w:r>
      <w:r>
        <w:rPr>
          <w:bCs/>
          <w:sz w:val="24"/>
        </w:rPr>
        <w:t>2</w:t>
      </w:r>
      <w:r>
        <w:rPr>
          <w:rFonts w:hint="eastAsia"/>
          <w:bCs/>
          <w:sz w:val="24"/>
        </w:rPr>
        <w:t>）</w:t>
      </w:r>
      <w:r>
        <w:rPr>
          <w:bCs/>
          <w:sz w:val="24"/>
        </w:rPr>
        <w:t>项所规定的须以特别决议通过事项以外的其他事项均以一般决议的方式通过。</w:t>
      </w:r>
    </w:p>
    <w:p>
      <w:pPr>
        <w:adjustRightInd w:val="0"/>
        <w:snapToGrid w:val="0"/>
        <w:spacing w:line="360" w:lineRule="auto"/>
        <w:ind w:firstLine="480" w:firstLineChars="200"/>
        <w:rPr>
          <w:bCs/>
          <w:sz w:val="24"/>
        </w:rPr>
      </w:pPr>
      <w:r>
        <w:rPr>
          <w:bCs/>
          <w:sz w:val="24"/>
        </w:rPr>
        <w:t>（2）特别决议，</w:t>
      </w:r>
      <w:r>
        <w:rPr>
          <w:rFonts w:hint="eastAsia"/>
          <w:bCs/>
          <w:sz w:val="24"/>
        </w:rPr>
        <w:t>特别决议应当经参加大会的基金份额持有人或其代理人所持表决权的三分之二以上（含三分之二）通过方可做出</w:t>
      </w:r>
      <w:r>
        <w:rPr>
          <w:bCs/>
          <w:sz w:val="24"/>
        </w:rPr>
        <w:t>。</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adjustRightInd w:val="0"/>
        <w:snapToGrid w:val="0"/>
        <w:spacing w:line="360" w:lineRule="auto"/>
        <w:ind w:firstLine="480" w:firstLineChars="200"/>
        <w:rPr>
          <w:bCs/>
          <w:sz w:val="24"/>
        </w:rPr>
      </w:pPr>
      <w:r>
        <w:rPr>
          <w:bCs/>
          <w:sz w:val="24"/>
        </w:rPr>
        <w:t>基金份额持有人大会采取记名方式进行投票表决。</w:t>
      </w:r>
    </w:p>
    <w:p>
      <w:pPr>
        <w:adjustRightInd w:val="0"/>
        <w:snapToGrid w:val="0"/>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adjustRightInd w:val="0"/>
        <w:snapToGrid w:val="0"/>
        <w:spacing w:line="360" w:lineRule="auto"/>
        <w:ind w:firstLine="480" w:firstLineChars="200"/>
        <w:rPr>
          <w:sz w:val="24"/>
        </w:rPr>
      </w:pPr>
      <w:r>
        <w:rPr>
          <w:bCs/>
          <w:sz w:val="24"/>
        </w:rPr>
        <w:t>基金份额持有人大会的各项提案或同一项提案内并列的各项议题应当分开审议、逐项表决。</w:t>
      </w:r>
    </w:p>
    <w:p>
      <w:pPr>
        <w:widowControl/>
        <w:adjustRightInd w:val="0"/>
        <w:snapToGrid w:val="0"/>
        <w:spacing w:line="360" w:lineRule="auto"/>
        <w:ind w:firstLine="480" w:firstLineChars="200"/>
        <w:rPr>
          <w:sz w:val="24"/>
        </w:rPr>
      </w:pPr>
      <w:r>
        <w:rPr>
          <w:sz w:val="24"/>
        </w:rPr>
        <w:t>7、计票</w:t>
      </w:r>
    </w:p>
    <w:p>
      <w:pPr>
        <w:adjustRightInd w:val="0"/>
        <w:snapToGrid w:val="0"/>
        <w:spacing w:line="360" w:lineRule="auto"/>
        <w:ind w:firstLine="480" w:firstLineChars="200"/>
        <w:rPr>
          <w:bCs/>
          <w:sz w:val="24"/>
        </w:rPr>
      </w:pPr>
      <w:r>
        <w:rPr>
          <w:bCs/>
          <w:sz w:val="24"/>
        </w:rPr>
        <w:t>（1）现场开会</w:t>
      </w:r>
    </w:p>
    <w:p>
      <w:pPr>
        <w:adjustRightInd w:val="0"/>
        <w:snapToGrid w:val="0"/>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adjustRightInd w:val="0"/>
        <w:snapToGrid w:val="0"/>
        <w:spacing w:line="360" w:lineRule="auto"/>
        <w:ind w:firstLine="480" w:firstLineChars="200"/>
        <w:rPr>
          <w:bCs/>
          <w:sz w:val="24"/>
        </w:rPr>
      </w:pPr>
      <w:r>
        <w:rPr>
          <w:bCs/>
          <w:sz w:val="24"/>
        </w:rPr>
        <w:t>（2）通讯开会</w:t>
      </w:r>
    </w:p>
    <w:p>
      <w:pPr>
        <w:adjustRightInd w:val="0"/>
        <w:snapToGrid w:val="0"/>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widowControl/>
        <w:adjustRightInd w:val="0"/>
        <w:snapToGrid w:val="0"/>
        <w:spacing w:line="360" w:lineRule="auto"/>
        <w:ind w:firstLine="480" w:firstLineChars="200"/>
        <w:rPr>
          <w:sz w:val="24"/>
        </w:rPr>
      </w:pPr>
      <w:r>
        <w:rPr>
          <w:sz w:val="24"/>
        </w:rPr>
        <w:t>8、</w:t>
      </w:r>
      <w:r>
        <w:rPr>
          <w:bCs/>
          <w:sz w:val="24"/>
        </w:rPr>
        <w:t>生效与公告</w:t>
      </w:r>
    </w:p>
    <w:p>
      <w:pPr>
        <w:adjustRightInd w:val="0"/>
        <w:snapToGrid w:val="0"/>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adjustRightInd w:val="0"/>
        <w:snapToGrid w:val="0"/>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adjustRightInd w:val="0"/>
        <w:snapToGrid w:val="0"/>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110" w:name="_Hlt88820702"/>
      <w:bookmarkEnd w:id="110"/>
      <w:r>
        <w:rPr>
          <w:bCs/>
          <w:sz w:val="24"/>
        </w:rPr>
        <w:t>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widowControl/>
        <w:adjustRightInd w:val="0"/>
        <w:snapToGrid w:val="0"/>
        <w:spacing w:line="360" w:lineRule="auto"/>
        <w:ind w:firstLine="480" w:firstLineChars="200"/>
        <w:rPr>
          <w:bCs/>
          <w:sz w:val="24"/>
        </w:rPr>
      </w:pPr>
      <w:r>
        <w:rPr>
          <w:bCs/>
          <w:sz w:val="24"/>
        </w:rPr>
        <w:t>9、</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widowControl/>
        <w:adjustRightInd w:val="0"/>
        <w:snapToGrid w:val="0"/>
        <w:spacing w:line="360" w:lineRule="auto"/>
        <w:ind w:firstLine="482" w:firstLineChars="200"/>
        <w:rPr>
          <w:b/>
          <w:kern w:val="0"/>
          <w:sz w:val="24"/>
        </w:rPr>
      </w:pPr>
      <w:r>
        <w:rPr>
          <w:b/>
          <w:kern w:val="0"/>
          <w:sz w:val="24"/>
        </w:rPr>
        <w:t>（三）基金合同</w:t>
      </w:r>
      <w:r>
        <w:rPr>
          <w:rFonts w:hint="eastAsia"/>
          <w:b/>
          <w:kern w:val="0"/>
          <w:sz w:val="24"/>
        </w:rPr>
        <w:t>解除和</w:t>
      </w:r>
      <w:r>
        <w:rPr>
          <w:b/>
          <w:kern w:val="0"/>
          <w:sz w:val="24"/>
        </w:rPr>
        <w:t>终止</w:t>
      </w:r>
      <w:r>
        <w:rPr>
          <w:rFonts w:hint="eastAsia"/>
          <w:b/>
          <w:kern w:val="0"/>
          <w:sz w:val="24"/>
        </w:rPr>
        <w:t>的事由、程序</w:t>
      </w:r>
    </w:p>
    <w:p>
      <w:pPr>
        <w:widowControl/>
        <w:adjustRightInd w:val="0"/>
        <w:snapToGrid w:val="0"/>
        <w:spacing w:line="360" w:lineRule="auto"/>
        <w:ind w:firstLine="480" w:firstLineChars="200"/>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pPr>
        <w:adjustRightInd w:val="0"/>
        <w:snapToGrid w:val="0"/>
        <w:spacing w:line="360" w:lineRule="auto"/>
        <w:ind w:firstLine="480" w:firstLineChars="200"/>
        <w:rPr>
          <w:bCs/>
          <w:sz w:val="24"/>
        </w:rPr>
      </w:pPr>
      <w:r>
        <w:rPr>
          <w:kern w:val="0"/>
          <w:sz w:val="24"/>
        </w:rPr>
        <w:t>2、</w:t>
      </w:r>
      <w:r>
        <w:rPr>
          <w:bCs/>
          <w:sz w:val="24"/>
        </w:rPr>
        <w:t>《基金合同》的终止事由</w:t>
      </w:r>
    </w:p>
    <w:p>
      <w:pPr>
        <w:widowControl/>
        <w:adjustRightInd w:val="0"/>
        <w:snapToGrid w:val="0"/>
        <w:spacing w:line="360" w:lineRule="auto"/>
        <w:ind w:firstLine="480" w:firstLineChars="200"/>
        <w:rPr>
          <w:bCs/>
          <w:sz w:val="24"/>
        </w:rPr>
      </w:pPr>
      <w:r>
        <w:rPr>
          <w:bCs/>
          <w:sz w:val="24"/>
        </w:rPr>
        <w:t>有下列情形之一的，</w:t>
      </w:r>
      <w:r>
        <w:rPr>
          <w:rFonts w:hint="eastAsia"/>
          <w:bCs/>
          <w:sz w:val="24"/>
        </w:rPr>
        <w:t>《</w:t>
      </w:r>
      <w:r>
        <w:rPr>
          <w:bCs/>
          <w:sz w:val="24"/>
        </w:rPr>
        <w:t>基金合同</w:t>
      </w:r>
      <w:r>
        <w:rPr>
          <w:rFonts w:hint="eastAsia"/>
          <w:bCs/>
          <w:sz w:val="24"/>
        </w:rPr>
        <w:t>》</w:t>
      </w:r>
      <w:r>
        <w:rPr>
          <w:bCs/>
          <w:sz w:val="24"/>
        </w:rPr>
        <w:t>应当终止：</w:t>
      </w:r>
    </w:p>
    <w:p>
      <w:pPr>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w:t>
      </w:r>
      <w:r>
        <w:rPr>
          <w:bCs/>
          <w:sz w:val="24"/>
        </w:rPr>
        <w:t>基金份额持有人大会决定终止的；</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djustRightInd w:val="0"/>
        <w:snapToGrid w:val="0"/>
        <w:spacing w:line="360" w:lineRule="auto"/>
        <w:ind w:firstLine="480" w:firstLineChars="200"/>
        <w:rPr>
          <w:bCs/>
          <w:sz w:val="24"/>
        </w:rPr>
      </w:pPr>
      <w:r>
        <w:rPr>
          <w:bCs/>
          <w:sz w:val="24"/>
        </w:rPr>
        <w:t>（4）《基金合同》约定的其他情形；</w:t>
      </w:r>
    </w:p>
    <w:p>
      <w:pPr>
        <w:adjustRightInd w:val="0"/>
        <w:snapToGrid w:val="0"/>
        <w:spacing w:line="360" w:lineRule="auto"/>
        <w:ind w:firstLine="480" w:firstLineChars="200"/>
        <w:rPr>
          <w:bCs/>
          <w:sz w:val="24"/>
        </w:rPr>
      </w:pPr>
      <w:r>
        <w:rPr>
          <w:rFonts w:hint="eastAsia"/>
          <w:bCs/>
          <w:sz w:val="24"/>
        </w:rPr>
        <w:t>（</w:t>
      </w:r>
      <w:r>
        <w:rPr>
          <w:bCs/>
          <w:sz w:val="24"/>
        </w:rPr>
        <w:t>5</w:t>
      </w:r>
      <w:r>
        <w:rPr>
          <w:rFonts w:hint="eastAsia"/>
          <w:bCs/>
          <w:sz w:val="24"/>
        </w:rPr>
        <w:t>）</w:t>
      </w:r>
      <w:r>
        <w:rPr>
          <w:bCs/>
          <w:sz w:val="24"/>
        </w:rPr>
        <w:t>相关法律法规和中国证监会规定的其他情况。</w:t>
      </w:r>
    </w:p>
    <w:p>
      <w:pPr>
        <w:widowControl/>
        <w:adjustRightInd w:val="0"/>
        <w:snapToGrid w:val="0"/>
        <w:spacing w:line="360" w:lineRule="auto"/>
        <w:ind w:firstLine="480" w:firstLineChars="200"/>
        <w:rPr>
          <w:bCs/>
          <w:sz w:val="24"/>
        </w:rPr>
      </w:pPr>
      <w:r>
        <w:rPr>
          <w:rFonts w:hint="eastAsia"/>
          <w:bCs/>
          <w:sz w:val="24"/>
        </w:rPr>
        <w:t>3</w:t>
      </w:r>
      <w:r>
        <w:rPr>
          <w:bCs/>
          <w:sz w:val="24"/>
        </w:rPr>
        <w:t>、基金财产的清算</w:t>
      </w:r>
    </w:p>
    <w:p>
      <w:pPr>
        <w:widowControl/>
        <w:adjustRightInd w:val="0"/>
        <w:snapToGrid w:val="0"/>
        <w:spacing w:line="360" w:lineRule="auto"/>
        <w:ind w:firstLine="480" w:firstLineChars="200"/>
        <w:rPr>
          <w:bCs/>
          <w:sz w:val="24"/>
        </w:rPr>
      </w:pPr>
      <w:r>
        <w:rPr>
          <w:rFonts w:hint="eastAsia"/>
          <w:bCs/>
          <w:sz w:val="24"/>
        </w:rPr>
        <w:t>（1）</w:t>
      </w:r>
      <w:r>
        <w:rPr>
          <w:bCs/>
          <w:sz w:val="24"/>
        </w:rPr>
        <w:t>基金财产清算小组：自出现《基金合同》终止事由之日起30个工作日内成立清算小组，基金管理人组织基金财产清算小组并在中国证监会的监督下进行基金清算。</w:t>
      </w:r>
    </w:p>
    <w:p>
      <w:pPr>
        <w:widowControl/>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pPr>
        <w:widowControl/>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基金财产清算小组职责：基金财产清算小组负责基金财产的保管、清理、估价、变现和分配。基金财产清算小组可以依法进行必要的民事活动。</w:t>
      </w:r>
    </w:p>
    <w:p>
      <w:pPr>
        <w:widowControl/>
        <w:adjustRightInd w:val="0"/>
        <w:snapToGrid w:val="0"/>
        <w:spacing w:line="360" w:lineRule="auto"/>
        <w:ind w:firstLine="480" w:firstLineChars="200"/>
        <w:rPr>
          <w:bCs/>
          <w:sz w:val="24"/>
        </w:rPr>
      </w:pPr>
      <w:r>
        <w:rPr>
          <w:rFonts w:hint="eastAsia"/>
          <w:bCs/>
          <w:sz w:val="24"/>
        </w:rPr>
        <w:t>（</w:t>
      </w:r>
      <w:r>
        <w:rPr>
          <w:bCs/>
          <w:sz w:val="24"/>
        </w:rPr>
        <w:t>4</w:t>
      </w:r>
      <w:r>
        <w:rPr>
          <w:rFonts w:hint="eastAsia"/>
          <w:bCs/>
          <w:sz w:val="24"/>
        </w:rPr>
        <w:t>）</w:t>
      </w:r>
      <w:r>
        <w:rPr>
          <w:bCs/>
          <w:sz w:val="24"/>
        </w:rPr>
        <w:t>基金财产清算程序：</w:t>
      </w:r>
    </w:p>
    <w:p>
      <w:pPr>
        <w:widowControl/>
        <w:adjustRightInd w:val="0"/>
        <w:snapToGrid w:val="0"/>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widowControl/>
        <w:adjustRightInd w:val="0"/>
        <w:snapToGrid w:val="0"/>
        <w:spacing w:line="360" w:lineRule="auto"/>
        <w:ind w:firstLine="480" w:firstLineChars="200"/>
        <w:rPr>
          <w:bCs/>
          <w:sz w:val="24"/>
        </w:rPr>
      </w:pPr>
      <w:r>
        <w:rPr>
          <w:bCs/>
          <w:sz w:val="24"/>
        </w:rPr>
        <w:t>2）对基金财产和债权债务进行清理和确认；</w:t>
      </w:r>
    </w:p>
    <w:p>
      <w:pPr>
        <w:widowControl/>
        <w:adjustRightInd w:val="0"/>
        <w:snapToGrid w:val="0"/>
        <w:spacing w:line="360" w:lineRule="auto"/>
        <w:ind w:firstLine="480" w:firstLineChars="200"/>
        <w:rPr>
          <w:bCs/>
          <w:sz w:val="24"/>
        </w:rPr>
      </w:pPr>
      <w:r>
        <w:rPr>
          <w:bCs/>
          <w:sz w:val="24"/>
        </w:rPr>
        <w:t>3）对基金财产进行估值和变现；</w:t>
      </w:r>
    </w:p>
    <w:p>
      <w:pPr>
        <w:widowControl/>
        <w:adjustRightInd w:val="0"/>
        <w:snapToGrid w:val="0"/>
        <w:spacing w:line="360" w:lineRule="auto"/>
        <w:ind w:firstLine="480" w:firstLineChars="200"/>
        <w:rPr>
          <w:bCs/>
          <w:sz w:val="24"/>
        </w:rPr>
      </w:pPr>
      <w:r>
        <w:rPr>
          <w:bCs/>
          <w:sz w:val="24"/>
        </w:rPr>
        <w:t>4）制作清算报告；</w:t>
      </w:r>
    </w:p>
    <w:p>
      <w:pPr>
        <w:widowControl/>
        <w:adjustRightInd w:val="0"/>
        <w:snapToGrid w:val="0"/>
        <w:spacing w:line="360" w:lineRule="auto"/>
        <w:ind w:firstLine="480" w:firstLineChars="200"/>
        <w:rPr>
          <w:bCs/>
          <w:sz w:val="24"/>
        </w:rPr>
      </w:pPr>
      <w:r>
        <w:rPr>
          <w:bCs/>
          <w:sz w:val="24"/>
        </w:rPr>
        <w:t>5）聘请会计师事务所对清算报告进行外部审计，聘请律师事务所对清算报告出具法律意见书；</w:t>
      </w:r>
    </w:p>
    <w:p>
      <w:pPr>
        <w:widowControl/>
        <w:adjustRightInd w:val="0"/>
        <w:snapToGrid w:val="0"/>
        <w:spacing w:line="360" w:lineRule="auto"/>
        <w:ind w:firstLine="480" w:firstLineChars="200"/>
        <w:rPr>
          <w:bCs/>
          <w:sz w:val="24"/>
        </w:rPr>
      </w:pPr>
      <w:r>
        <w:rPr>
          <w:bCs/>
          <w:sz w:val="24"/>
        </w:rPr>
        <w:t>6）将清算报告报中国证监会备案并公告</w:t>
      </w:r>
      <w:r>
        <w:rPr>
          <w:rFonts w:hint="eastAsia"/>
          <w:bCs/>
          <w:sz w:val="24"/>
        </w:rPr>
        <w:t>；</w:t>
      </w:r>
    </w:p>
    <w:p>
      <w:pPr>
        <w:widowControl/>
        <w:adjustRightInd w:val="0"/>
        <w:snapToGrid w:val="0"/>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widowControl/>
        <w:adjustRightInd w:val="0"/>
        <w:snapToGrid w:val="0"/>
        <w:spacing w:line="360" w:lineRule="auto"/>
        <w:ind w:firstLine="480" w:firstLineChars="200"/>
        <w:rPr>
          <w:bCs/>
          <w:sz w:val="24"/>
        </w:rPr>
      </w:pPr>
      <w:r>
        <w:rPr>
          <w:rFonts w:hint="eastAsia"/>
          <w:bCs/>
          <w:sz w:val="24"/>
        </w:rPr>
        <w:t>（</w:t>
      </w:r>
      <w:r>
        <w:rPr>
          <w:bCs/>
          <w:sz w:val="24"/>
        </w:rPr>
        <w:t>5</w:t>
      </w:r>
      <w:r>
        <w:rPr>
          <w:rFonts w:hint="eastAsia"/>
          <w:bCs/>
          <w:sz w:val="24"/>
        </w:rPr>
        <w:t>）</w:t>
      </w:r>
      <w:r>
        <w:rPr>
          <w:bCs/>
          <w:sz w:val="24"/>
        </w:rPr>
        <w:t>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pPr>
        <w:widowControl/>
        <w:adjustRightInd w:val="0"/>
        <w:snapToGrid w:val="0"/>
        <w:spacing w:line="360" w:lineRule="auto"/>
        <w:ind w:firstLine="480" w:firstLineChars="200"/>
        <w:rPr>
          <w:bCs/>
          <w:sz w:val="24"/>
        </w:rPr>
      </w:pPr>
      <w:r>
        <w:rPr>
          <w:rFonts w:hint="eastAsia"/>
          <w:bCs/>
          <w:sz w:val="24"/>
        </w:rPr>
        <w:t>4</w:t>
      </w:r>
      <w:r>
        <w:rPr>
          <w:bCs/>
          <w:sz w:val="24"/>
        </w:rPr>
        <w:t>、清算费用</w:t>
      </w:r>
    </w:p>
    <w:p>
      <w:pPr>
        <w:widowControl/>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widowControl/>
        <w:adjustRightInd w:val="0"/>
        <w:snapToGrid w:val="0"/>
        <w:spacing w:line="360" w:lineRule="auto"/>
        <w:ind w:firstLine="480" w:firstLineChars="200"/>
        <w:rPr>
          <w:bCs/>
          <w:sz w:val="24"/>
        </w:rPr>
      </w:pPr>
      <w:r>
        <w:rPr>
          <w:rFonts w:hint="eastAsia"/>
          <w:bCs/>
          <w:sz w:val="24"/>
        </w:rPr>
        <w:t>5</w:t>
      </w:r>
      <w:r>
        <w:rPr>
          <w:bCs/>
          <w:sz w:val="24"/>
        </w:rPr>
        <w:t>、基金财产清算剩余资产的分配</w:t>
      </w:r>
    </w:p>
    <w:p>
      <w:pPr>
        <w:widowControl/>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按基金合同终止日基金份额持有人持有的基金份额比例进行分配</w:t>
      </w:r>
      <w:r>
        <w:rPr>
          <w:bCs/>
          <w:sz w:val="24"/>
        </w:rPr>
        <w:t>。</w:t>
      </w:r>
    </w:p>
    <w:p>
      <w:pPr>
        <w:widowControl/>
        <w:adjustRightInd w:val="0"/>
        <w:snapToGrid w:val="0"/>
        <w:spacing w:line="360" w:lineRule="auto"/>
        <w:ind w:firstLine="480" w:firstLineChars="200"/>
        <w:rPr>
          <w:bCs/>
          <w:sz w:val="24"/>
        </w:rPr>
      </w:pPr>
      <w:r>
        <w:rPr>
          <w:rFonts w:hint="eastAsia"/>
          <w:bCs/>
          <w:sz w:val="24"/>
        </w:rPr>
        <w:t>6</w:t>
      </w:r>
      <w:r>
        <w:rPr>
          <w:bCs/>
          <w:sz w:val="24"/>
        </w:rPr>
        <w:t>、基金财产清算的公告</w:t>
      </w:r>
    </w:p>
    <w:p>
      <w:pPr>
        <w:widowControl/>
        <w:adjustRightInd w:val="0"/>
        <w:snapToGrid w:val="0"/>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w:t>
      </w:r>
    </w:p>
    <w:p>
      <w:pPr>
        <w:widowControl/>
        <w:adjustRightInd w:val="0"/>
        <w:snapToGrid w:val="0"/>
        <w:ind w:firstLine="480" w:firstLineChars="200"/>
        <w:rPr>
          <w:bCs/>
          <w:sz w:val="24"/>
        </w:rPr>
      </w:pPr>
      <w:r>
        <w:rPr>
          <w:rFonts w:hint="eastAsia"/>
          <w:bCs/>
          <w:sz w:val="24"/>
        </w:rPr>
        <w:t>7</w:t>
      </w:r>
      <w:r>
        <w:rPr>
          <w:bCs/>
          <w:sz w:val="24"/>
        </w:rPr>
        <w:t>、基金财产清算账册及文件的保存</w:t>
      </w:r>
    </w:p>
    <w:p>
      <w:pPr>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widowControl/>
        <w:adjustRightInd w:val="0"/>
        <w:snapToGrid w:val="0"/>
        <w:spacing w:line="360" w:lineRule="auto"/>
        <w:ind w:firstLine="482" w:firstLineChars="200"/>
        <w:rPr>
          <w:b/>
          <w:kern w:val="0"/>
          <w:sz w:val="24"/>
        </w:rPr>
      </w:pPr>
      <w:r>
        <w:rPr>
          <w:b/>
          <w:kern w:val="0"/>
          <w:sz w:val="24"/>
        </w:rPr>
        <w:t>（四）争议</w:t>
      </w:r>
      <w:r>
        <w:rPr>
          <w:rFonts w:hint="eastAsia"/>
          <w:b/>
          <w:kern w:val="0"/>
          <w:sz w:val="24"/>
        </w:rPr>
        <w:t>解决方式</w:t>
      </w:r>
    </w:p>
    <w:p>
      <w:pPr>
        <w:widowControl/>
        <w:adjustRightInd w:val="0"/>
        <w:snapToGrid w:val="0"/>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widowControl/>
        <w:adjustRightInd w:val="0"/>
        <w:snapToGrid w:val="0"/>
        <w:spacing w:line="360" w:lineRule="auto"/>
        <w:ind w:firstLine="480" w:firstLineChars="200"/>
        <w:rPr>
          <w:bCs/>
          <w:sz w:val="24"/>
        </w:rPr>
      </w:pPr>
      <w:r>
        <w:rPr>
          <w:bCs/>
          <w:sz w:val="24"/>
        </w:rPr>
        <w:t>《基金合同》受中国法律管辖。</w:t>
      </w:r>
    </w:p>
    <w:p>
      <w:pPr>
        <w:widowControl/>
        <w:adjustRightInd w:val="0"/>
        <w:snapToGrid w:val="0"/>
        <w:spacing w:line="360" w:lineRule="auto"/>
        <w:ind w:firstLine="482" w:firstLineChars="200"/>
        <w:rPr>
          <w:b/>
          <w:kern w:val="0"/>
          <w:sz w:val="24"/>
        </w:rPr>
      </w:pPr>
      <w:bookmarkStart w:id="111" w:name="_Toc523711688"/>
      <w:r>
        <w:rPr>
          <w:b/>
          <w:kern w:val="0"/>
          <w:sz w:val="24"/>
        </w:rPr>
        <w:t>（五）基金合同存放</w:t>
      </w:r>
      <w:r>
        <w:rPr>
          <w:rFonts w:hint="eastAsia"/>
          <w:b/>
          <w:kern w:val="0"/>
          <w:sz w:val="24"/>
        </w:rPr>
        <w:t>地和</w:t>
      </w:r>
      <w:r>
        <w:rPr>
          <w:b/>
          <w:kern w:val="0"/>
          <w:sz w:val="24"/>
        </w:rPr>
        <w:t>投资者取得基金合同的方式</w:t>
      </w:r>
    </w:p>
    <w:bookmarkEnd w:id="111"/>
    <w:p>
      <w:pPr>
        <w:widowControl/>
        <w:adjustRightInd w:val="0"/>
        <w:snapToGrid w:val="0"/>
        <w:spacing w:line="360" w:lineRule="auto"/>
        <w:ind w:firstLine="480" w:firstLineChars="200"/>
        <w:rPr>
          <w:bCs/>
          <w:sz w:val="24"/>
        </w:rPr>
      </w:pPr>
      <w:r>
        <w:rPr>
          <w:bCs/>
          <w:sz w:val="24"/>
        </w:rPr>
        <w:t>《基金合同》正本一式六份，除上报有关监管机构一式二份外，基金管理人、基金托管人各持有二份，每份具有同等的法律效力。</w:t>
      </w:r>
    </w:p>
    <w:p>
      <w:pPr>
        <w:widowControl/>
        <w:adjustRightInd w:val="0"/>
        <w:snapToGrid w:val="0"/>
        <w:spacing w:line="360" w:lineRule="auto"/>
        <w:ind w:firstLine="480" w:firstLineChars="200"/>
        <w:rPr>
          <w:rFonts w:ascii="宋体" w:hAnsi="宋体"/>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bookmarkEnd w:id="98"/>
      <w:bookmarkEnd w:id="99"/>
      <w:bookmarkEnd w:id="100"/>
    </w:p>
    <w:p>
      <w:pPr>
        <w:adjustRightInd w:val="0"/>
        <w:snapToGrid w:val="0"/>
        <w:spacing w:line="360" w:lineRule="auto"/>
        <w:ind w:firstLine="480" w:firstLineChars="200"/>
        <w:jc w:val="center"/>
        <w:outlineLvl w:val="0"/>
        <w:rPr>
          <w:rFonts w:ascii="宋体" w:hAnsi="宋体"/>
          <w:b/>
          <w:kern w:val="0"/>
          <w:sz w:val="30"/>
        </w:rPr>
      </w:pPr>
      <w:r>
        <w:rPr>
          <w:rFonts w:ascii="宋体" w:hAnsi="宋体"/>
          <w:sz w:val="24"/>
        </w:rPr>
        <w:br w:type="page"/>
      </w:r>
      <w:bookmarkStart w:id="112" w:name="_Toc524440797"/>
      <w:bookmarkStart w:id="113" w:name="OLE_LINK18"/>
      <w:bookmarkStart w:id="114" w:name="OLE_LINK14"/>
      <w:bookmarkStart w:id="115" w:name="OLE_LINK16"/>
      <w:bookmarkStart w:id="116" w:name="OLE_LINK17"/>
      <w:bookmarkStart w:id="117" w:name="OLE_LINK13"/>
      <w:r>
        <w:rPr>
          <w:rFonts w:hint="eastAsia" w:ascii="宋体" w:hAnsi="宋体"/>
          <w:b/>
          <w:kern w:val="0"/>
          <w:sz w:val="30"/>
        </w:rPr>
        <w:t>二十一、托管协议的内容摘要</w:t>
      </w:r>
      <w:bookmarkEnd w:id="112"/>
    </w:p>
    <w:p>
      <w:pPr>
        <w:widowControl/>
        <w:adjustRightInd w:val="0"/>
        <w:snapToGrid w:val="0"/>
        <w:spacing w:line="360" w:lineRule="auto"/>
        <w:ind w:firstLine="482" w:firstLineChars="200"/>
        <w:rPr>
          <w:rFonts w:ascii="宋体" w:hAnsi="宋体"/>
          <w:b/>
          <w:kern w:val="0"/>
          <w:sz w:val="24"/>
        </w:rPr>
      </w:pPr>
      <w:r>
        <w:rPr>
          <w:rFonts w:hint="eastAsia" w:ascii="宋体" w:hAnsi="宋体"/>
          <w:b/>
          <w:kern w:val="0"/>
          <w:sz w:val="24"/>
        </w:rPr>
        <w:t>（</w:t>
      </w:r>
      <w:r>
        <w:rPr>
          <w:rFonts w:ascii="宋体" w:hAnsi="宋体"/>
          <w:b/>
          <w:kern w:val="0"/>
          <w:sz w:val="24"/>
        </w:rPr>
        <w:t>一</w:t>
      </w:r>
      <w:r>
        <w:rPr>
          <w:rFonts w:hint="eastAsia" w:ascii="宋体" w:hAnsi="宋体"/>
          <w:b/>
          <w:kern w:val="0"/>
          <w:sz w:val="24"/>
        </w:rPr>
        <w:t>）</w:t>
      </w:r>
      <w:r>
        <w:rPr>
          <w:rFonts w:ascii="宋体" w:hAnsi="宋体"/>
          <w:b/>
          <w:kern w:val="0"/>
          <w:sz w:val="24"/>
        </w:rPr>
        <w:t xml:space="preserve">托管协议当事人 </w:t>
      </w:r>
    </w:p>
    <w:p>
      <w:pPr>
        <w:widowControl/>
        <w:adjustRightInd w:val="0"/>
        <w:snapToGrid w:val="0"/>
        <w:spacing w:line="360" w:lineRule="auto"/>
        <w:ind w:firstLine="480" w:firstLineChars="200"/>
        <w:rPr>
          <w:kern w:val="0"/>
          <w:sz w:val="24"/>
        </w:rPr>
      </w:pPr>
      <w:r>
        <w:rPr>
          <w:kern w:val="0"/>
          <w:sz w:val="24"/>
        </w:rPr>
        <w:t>1</w:t>
      </w:r>
      <w:r>
        <w:rPr>
          <w:rFonts w:hAnsi="宋体"/>
          <w:kern w:val="0"/>
          <w:sz w:val="24"/>
        </w:rPr>
        <w:t>、基金管理人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批准设立机关：中国证监会</w:t>
      </w:r>
    </w:p>
    <w:p>
      <w:pPr>
        <w:widowControl/>
        <w:adjustRightInd w:val="0"/>
        <w:snapToGrid w:val="0"/>
        <w:spacing w:line="360" w:lineRule="auto"/>
        <w:ind w:firstLine="480" w:firstLineChars="200"/>
        <w:rPr>
          <w:bCs/>
          <w:sz w:val="24"/>
        </w:rPr>
      </w:pPr>
      <w:r>
        <w:rPr>
          <w:rFonts w:hint="eastAsia"/>
          <w:bCs/>
          <w:sz w:val="24"/>
        </w:rPr>
        <w:t>批准设立文号：证监基金字[2005]128号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经营范围：基金募集、基金销售、资产管理和中国证监会许可的其它业务。</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rFonts w:hAnsi="宋体"/>
          <w:kern w:val="0"/>
          <w:sz w:val="24"/>
        </w:rPr>
      </w:pPr>
      <w:r>
        <w:rPr>
          <w:kern w:val="0"/>
          <w:sz w:val="24"/>
        </w:rPr>
        <w:t>2</w:t>
      </w:r>
      <w:r>
        <w:rPr>
          <w:rFonts w:hAnsi="宋体"/>
          <w:kern w:val="0"/>
          <w:sz w:val="24"/>
        </w:rPr>
        <w:t>、基金托管人</w:t>
      </w:r>
    </w:p>
    <w:p>
      <w:pPr>
        <w:widowControl/>
        <w:adjustRightInd w:val="0"/>
        <w:snapToGrid w:val="0"/>
        <w:spacing w:line="360" w:lineRule="auto"/>
        <w:ind w:firstLine="480" w:firstLineChars="200"/>
        <w:rPr>
          <w:bCs/>
          <w:sz w:val="24"/>
        </w:rPr>
      </w:pPr>
      <w:r>
        <w:rPr>
          <w:rFonts w:hint="eastAsia"/>
          <w:bCs/>
          <w:sz w:val="24"/>
        </w:rPr>
        <w:t>名称：中信银行股份有限公司</w:t>
      </w:r>
    </w:p>
    <w:p>
      <w:pPr>
        <w:widowControl/>
        <w:adjustRightInd w:val="0"/>
        <w:snapToGrid w:val="0"/>
        <w:spacing w:line="360" w:lineRule="auto"/>
        <w:ind w:firstLine="480" w:firstLineChars="200"/>
        <w:rPr>
          <w:bCs/>
          <w:sz w:val="24"/>
        </w:rPr>
      </w:pPr>
      <w:r>
        <w:rPr>
          <w:rFonts w:hint="eastAsia"/>
          <w:bCs/>
          <w:sz w:val="24"/>
        </w:rPr>
        <w:t>住所：北京市东城区朝阳门北大街</w:t>
      </w:r>
      <w:r>
        <w:rPr>
          <w:bCs/>
          <w:sz w:val="24"/>
        </w:rPr>
        <w:t>9</w:t>
      </w:r>
      <w:r>
        <w:rPr>
          <w:rFonts w:hint="eastAsia"/>
          <w:bCs/>
          <w:sz w:val="24"/>
        </w:rPr>
        <w:t>号</w:t>
      </w:r>
    </w:p>
    <w:p>
      <w:pPr>
        <w:widowControl/>
        <w:adjustRightInd w:val="0"/>
        <w:snapToGrid w:val="0"/>
        <w:spacing w:line="360" w:lineRule="auto"/>
        <w:ind w:firstLine="480" w:firstLineChars="200"/>
        <w:rPr>
          <w:bCs/>
          <w:sz w:val="24"/>
        </w:rPr>
      </w:pPr>
      <w:r>
        <w:rPr>
          <w:rFonts w:hint="eastAsia"/>
          <w:bCs/>
          <w:sz w:val="24"/>
        </w:rPr>
        <w:t>法定代表人：李庆萍</w:t>
      </w:r>
    </w:p>
    <w:p>
      <w:pPr>
        <w:widowControl/>
        <w:adjustRightInd w:val="0"/>
        <w:snapToGrid w:val="0"/>
        <w:spacing w:line="360" w:lineRule="auto"/>
        <w:ind w:firstLine="480" w:firstLineChars="200"/>
        <w:rPr>
          <w:bCs/>
          <w:sz w:val="24"/>
        </w:rPr>
      </w:pPr>
      <w:r>
        <w:rPr>
          <w:rFonts w:hint="eastAsia"/>
          <w:bCs/>
          <w:sz w:val="24"/>
        </w:rPr>
        <w:t>成立时间：1987年4月</w:t>
      </w:r>
      <w:r>
        <w:rPr>
          <w:bCs/>
          <w:sz w:val="24"/>
        </w:rPr>
        <w:t>20</w:t>
      </w:r>
      <w:r>
        <w:rPr>
          <w:rFonts w:hint="eastAsia"/>
          <w:bCs/>
          <w:sz w:val="24"/>
        </w:rPr>
        <w:t>日</w:t>
      </w:r>
    </w:p>
    <w:p>
      <w:pPr>
        <w:widowControl/>
        <w:adjustRightInd w:val="0"/>
        <w:snapToGrid w:val="0"/>
        <w:spacing w:line="360" w:lineRule="auto"/>
        <w:ind w:firstLine="480" w:firstLineChars="200"/>
        <w:rPr>
          <w:bCs/>
          <w:sz w:val="24"/>
        </w:rPr>
      </w:pPr>
      <w:r>
        <w:rPr>
          <w:rFonts w:hint="eastAsia"/>
          <w:bCs/>
          <w:sz w:val="24"/>
        </w:rPr>
        <w:t>批准设立文号：国办函[1987]14号</w:t>
      </w:r>
    </w:p>
    <w:p>
      <w:pPr>
        <w:widowControl/>
        <w:adjustRightInd w:val="0"/>
        <w:snapToGrid w:val="0"/>
        <w:spacing w:line="360" w:lineRule="auto"/>
        <w:ind w:firstLine="480" w:firstLineChars="200"/>
        <w:rPr>
          <w:bCs/>
          <w:sz w:val="24"/>
        </w:rPr>
      </w:pPr>
      <w:r>
        <w:rPr>
          <w:rFonts w:hint="eastAsia"/>
          <w:bCs/>
          <w:sz w:val="24"/>
        </w:rPr>
        <w:t>基金托管业务批准文号：证监基金字[2004]125号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w:t>
      </w:r>
      <w:r>
        <w:rPr>
          <w:rFonts w:ascii="宋体" w:hAnsi="宋体"/>
          <w:sz w:val="24"/>
        </w:rPr>
        <w:t>489.35</w:t>
      </w:r>
      <w:r>
        <w:rPr>
          <w:bCs/>
          <w:sz w:val="24"/>
        </w:rPr>
        <w:t>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szCs w:val="28"/>
        </w:rPr>
      </w:pPr>
      <w:r>
        <w:rPr>
          <w:rFonts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Pr>
          <w:bCs/>
          <w:sz w:val="24"/>
        </w:rPr>
        <w:t>2017</w:t>
      </w:r>
      <w:r>
        <w:rPr>
          <w:rFonts w:hint="eastAsia"/>
          <w:bCs/>
          <w:sz w:val="24"/>
        </w:rPr>
        <w:t>年</w:t>
      </w:r>
      <w:r>
        <w:rPr>
          <w:bCs/>
          <w:sz w:val="24"/>
        </w:rPr>
        <w:t>09</w:t>
      </w:r>
      <w:r>
        <w:rPr>
          <w:rFonts w:hint="eastAsia"/>
          <w:bCs/>
          <w:sz w:val="24"/>
        </w:rPr>
        <w:t>月</w:t>
      </w:r>
      <w:r>
        <w:rPr>
          <w:bCs/>
          <w:sz w:val="24"/>
        </w:rPr>
        <w:t>08</w:t>
      </w:r>
      <w:r>
        <w:rPr>
          <w:rFonts w:hint="eastAsia"/>
          <w:bCs/>
          <w:sz w:val="24"/>
        </w:rPr>
        <w:t>日）。（依法须经批准的项目，经相关部门批准后依批准的内容开展经营活动。）</w:t>
      </w:r>
    </w:p>
    <w:p>
      <w:pPr>
        <w:widowControl/>
        <w:adjustRightInd w:val="0"/>
        <w:snapToGrid w:val="0"/>
        <w:spacing w:line="360" w:lineRule="auto"/>
        <w:ind w:firstLine="482" w:firstLineChars="200"/>
        <w:rPr>
          <w:b/>
          <w:kern w:val="0"/>
          <w:sz w:val="24"/>
        </w:rPr>
      </w:pPr>
      <w:r>
        <w:rPr>
          <w:rFonts w:hAnsi="宋体"/>
          <w:b/>
          <w:kern w:val="0"/>
          <w:sz w:val="24"/>
        </w:rPr>
        <w:t>（二）基金托管人对基金管理人的业务监督和核查</w:t>
      </w:r>
    </w:p>
    <w:p>
      <w:pPr>
        <w:widowControl/>
        <w:adjustRightInd w:val="0"/>
        <w:snapToGrid w:val="0"/>
        <w:spacing w:line="360" w:lineRule="auto"/>
        <w:ind w:firstLine="480" w:firstLineChars="200"/>
        <w:rPr>
          <w:sz w:val="24"/>
          <w:szCs w:val="24"/>
        </w:rPr>
      </w:pPr>
      <w:r>
        <w:rPr>
          <w:rFonts w:hint="eastAsia"/>
          <w:sz w:val="24"/>
          <w:szCs w:val="24"/>
        </w:rPr>
        <w:t>1、基金托管人对基金管理人的投资行为行使监督权</w:t>
      </w:r>
    </w:p>
    <w:p>
      <w:pPr>
        <w:widowControl/>
        <w:adjustRightInd w:val="0"/>
        <w:snapToGrid w:val="0"/>
        <w:spacing w:line="360" w:lineRule="auto"/>
        <w:ind w:firstLine="480" w:firstLineChars="200"/>
        <w:rPr>
          <w:sz w:val="24"/>
          <w:szCs w:val="24"/>
        </w:rPr>
      </w:pPr>
      <w:r>
        <w:rPr>
          <w:rFonts w:hint="eastAsia"/>
          <w:sz w:val="24"/>
          <w:szCs w:val="24"/>
        </w:rPr>
        <w:t>（1）基金托管人根据有关法律法规的规定和基金合同的约定，对下述基金投资范围、投资对象进行监督。本基金将投资于以下金融工具：</w:t>
      </w:r>
    </w:p>
    <w:p>
      <w:pPr>
        <w:widowControl/>
        <w:adjustRightInd w:val="0"/>
        <w:snapToGrid w:val="0"/>
        <w:spacing w:line="360" w:lineRule="auto"/>
        <w:ind w:firstLine="480" w:firstLineChars="200"/>
        <w:rPr>
          <w:sz w:val="24"/>
          <w:szCs w:val="24"/>
        </w:rPr>
      </w:pPr>
      <w:r>
        <w:rPr>
          <w:sz w:val="24"/>
          <w:szCs w:val="24"/>
        </w:rPr>
        <w:t>本基金的投资范围</w:t>
      </w:r>
      <w:r>
        <w:rPr>
          <w:rFonts w:hint="eastAsia"/>
          <w:sz w:val="24"/>
          <w:szCs w:val="24"/>
        </w:rPr>
        <w:t>包括</w:t>
      </w:r>
      <w:r>
        <w:rPr>
          <w:sz w:val="24"/>
          <w:szCs w:val="24"/>
        </w:rPr>
        <w:t>具有良好流动性的</w:t>
      </w:r>
      <w:r>
        <w:rPr>
          <w:rFonts w:hint="eastAsia"/>
          <w:sz w:val="24"/>
          <w:szCs w:val="24"/>
        </w:rPr>
        <w:t>金融工具</w:t>
      </w:r>
      <w:r>
        <w:rPr>
          <w:sz w:val="24"/>
          <w:szCs w:val="24"/>
        </w:rPr>
        <w:t>，包括</w:t>
      </w:r>
      <w:r>
        <w:rPr>
          <w:rFonts w:hint="eastAsia"/>
          <w:sz w:val="24"/>
          <w:szCs w:val="24"/>
        </w:rPr>
        <w:t>：以中证环境治理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pPr>
        <w:widowControl/>
        <w:adjustRightInd w:val="0"/>
        <w:snapToGrid w:val="0"/>
        <w:spacing w:line="360" w:lineRule="auto"/>
        <w:ind w:firstLine="480" w:firstLineChars="200"/>
        <w:rPr>
          <w:sz w:val="24"/>
          <w:szCs w:val="24"/>
        </w:rPr>
      </w:pPr>
      <w:r>
        <w:rPr>
          <w:rFonts w:hint="eastAsia"/>
          <w:sz w:val="24"/>
          <w:szCs w:val="24"/>
        </w:rPr>
        <w:t>如法律法规或监管机构以后允许基金投资其他品种，基金管理人在履行适当程序后，可以将其纳入投资范围。</w:t>
      </w:r>
    </w:p>
    <w:p>
      <w:pPr>
        <w:widowControl/>
        <w:adjustRightInd w:val="0"/>
        <w:snapToGrid w:val="0"/>
        <w:spacing w:line="360" w:lineRule="auto"/>
        <w:ind w:firstLine="480" w:firstLineChars="200"/>
        <w:rPr>
          <w:sz w:val="24"/>
          <w:szCs w:val="24"/>
        </w:rPr>
      </w:pPr>
      <w:r>
        <w:rPr>
          <w:rFonts w:hint="eastAsia"/>
          <w:sz w:val="24"/>
          <w:szCs w:val="24"/>
        </w:rPr>
        <w:t>本基金各类资产的投资比例范围为：</w:t>
      </w:r>
    </w:p>
    <w:p>
      <w:pPr>
        <w:widowControl/>
        <w:adjustRightInd w:val="0"/>
        <w:snapToGrid w:val="0"/>
        <w:spacing w:line="360" w:lineRule="auto"/>
        <w:ind w:firstLine="480" w:firstLineChars="200"/>
        <w:rPr>
          <w:sz w:val="24"/>
          <w:szCs w:val="24"/>
        </w:rPr>
      </w:pPr>
      <w:r>
        <w:rPr>
          <w:rFonts w:hint="eastAsia"/>
          <w:sz w:val="24"/>
          <w:szCs w:val="24"/>
        </w:rPr>
        <w:t>本基金的股票资产</w:t>
      </w:r>
      <w:r>
        <w:rPr>
          <w:rFonts w:hint="eastAsia" w:ascii="宋体" w:hAnsi="宋体"/>
          <w:bCs/>
          <w:sz w:val="24"/>
        </w:rPr>
        <w:t>（含存托凭证）</w:t>
      </w:r>
      <w:r>
        <w:rPr>
          <w:rFonts w:hint="eastAsia"/>
          <w:sz w:val="24"/>
          <w:szCs w:val="24"/>
        </w:rPr>
        <w:t>投资比例不低于基金资产的 90%，本基金投资于中证环境治理指数的成份股</w:t>
      </w:r>
      <w:r>
        <w:rPr>
          <w:rFonts w:hint="eastAsia" w:ascii="宋体" w:hAnsi="宋体"/>
          <w:bCs/>
          <w:sz w:val="24"/>
        </w:rPr>
        <w:t>（含存托凭证）</w:t>
      </w:r>
      <w:r>
        <w:rPr>
          <w:rFonts w:hint="eastAsia"/>
          <w:sz w:val="24"/>
          <w:szCs w:val="24"/>
        </w:rPr>
        <w:t>及其备选成份股</w:t>
      </w:r>
      <w:r>
        <w:rPr>
          <w:rFonts w:hint="eastAsia" w:ascii="宋体" w:hAnsi="宋体"/>
          <w:bCs/>
          <w:sz w:val="24"/>
        </w:rPr>
        <w:t>（含存托凭证）</w:t>
      </w:r>
      <w:r>
        <w:rPr>
          <w:rFonts w:hint="eastAsia"/>
          <w:sz w:val="24"/>
          <w:szCs w:val="24"/>
        </w:rPr>
        <w:t>的比例不低于非现金基金资产的90%，投资于权证的比例不得超过基金资产净值的3%，每个交易日日终在扣除股指期货合约需缴纳的交易保证金以后，持有现金或到期日在一年以内的政府债券的比例不低于基金资产净值的5%，其中现金不包括结算备付金、存出保证金、应收申购款等。</w:t>
      </w:r>
    </w:p>
    <w:p>
      <w:pPr>
        <w:widowControl/>
        <w:adjustRightInd w:val="0"/>
        <w:snapToGrid w:val="0"/>
        <w:spacing w:line="360" w:lineRule="auto"/>
        <w:ind w:firstLine="480" w:firstLineChars="200"/>
        <w:rPr>
          <w:sz w:val="24"/>
          <w:szCs w:val="24"/>
        </w:rPr>
      </w:pPr>
      <w:r>
        <w:rPr>
          <w:rFonts w:hint="eastAsia"/>
          <w:sz w:val="24"/>
          <w:szCs w:val="24"/>
        </w:rPr>
        <w:t>如果法律法规或中国证监会变更投资品种的投资比例限制，基金管理人在履行适当程序后，可以调整上述投资品种的投资比例。</w:t>
      </w:r>
    </w:p>
    <w:p>
      <w:pPr>
        <w:widowControl/>
        <w:adjustRightInd w:val="0"/>
        <w:snapToGrid w:val="0"/>
        <w:spacing w:line="360" w:lineRule="auto"/>
        <w:ind w:firstLine="480" w:firstLineChars="200"/>
        <w:rPr>
          <w:sz w:val="24"/>
          <w:szCs w:val="24"/>
        </w:rPr>
      </w:pPr>
      <w:r>
        <w:rPr>
          <w:rFonts w:hint="eastAsia"/>
          <w:sz w:val="24"/>
          <w:szCs w:val="24"/>
        </w:rPr>
        <w:t>（2）基金托管人根据有关法律法规的规定及基金合同的约定对下述基金投融资比例进行监督：</w:t>
      </w:r>
    </w:p>
    <w:p>
      <w:pPr>
        <w:widowControl/>
        <w:adjustRightInd w:val="0"/>
        <w:snapToGrid w:val="0"/>
        <w:spacing w:line="360" w:lineRule="auto"/>
        <w:ind w:firstLine="480" w:firstLineChars="200"/>
        <w:rPr>
          <w:sz w:val="24"/>
          <w:szCs w:val="24"/>
        </w:rPr>
      </w:pPr>
      <w:r>
        <w:rPr>
          <w:rFonts w:hint="eastAsia"/>
          <w:sz w:val="24"/>
          <w:szCs w:val="24"/>
        </w:rPr>
        <w:t>1）本基金股票资产</w:t>
      </w:r>
      <w:r>
        <w:rPr>
          <w:rFonts w:hint="eastAsia" w:ascii="宋体" w:hAnsi="宋体"/>
          <w:bCs/>
          <w:sz w:val="24"/>
        </w:rPr>
        <w:t>（含存托凭证）</w:t>
      </w:r>
      <w:r>
        <w:rPr>
          <w:rFonts w:hint="eastAsia"/>
          <w:sz w:val="24"/>
          <w:szCs w:val="24"/>
        </w:rPr>
        <w:t>的投资比例不低于基金资产的90%；</w:t>
      </w:r>
    </w:p>
    <w:p>
      <w:pPr>
        <w:widowControl/>
        <w:adjustRightInd w:val="0"/>
        <w:snapToGrid w:val="0"/>
        <w:spacing w:line="360" w:lineRule="auto"/>
        <w:ind w:firstLine="480" w:firstLineChars="200"/>
        <w:rPr>
          <w:sz w:val="24"/>
          <w:szCs w:val="24"/>
        </w:rPr>
      </w:pPr>
      <w:r>
        <w:rPr>
          <w:rFonts w:hint="eastAsia"/>
          <w:sz w:val="24"/>
          <w:szCs w:val="24"/>
        </w:rPr>
        <w:t>2）</w:t>
      </w:r>
      <w:r>
        <w:rPr>
          <w:sz w:val="24"/>
          <w:szCs w:val="24"/>
        </w:rPr>
        <w:t>本基金投资于中证环境治理指数的成</w:t>
      </w:r>
      <w:r>
        <w:rPr>
          <w:rFonts w:hint="eastAsia"/>
          <w:sz w:val="24"/>
          <w:szCs w:val="24"/>
        </w:rPr>
        <w:t>份</w:t>
      </w:r>
      <w:r>
        <w:rPr>
          <w:sz w:val="24"/>
          <w:szCs w:val="24"/>
        </w:rPr>
        <w:t>股</w:t>
      </w:r>
      <w:r>
        <w:rPr>
          <w:rFonts w:hint="eastAsia" w:ascii="宋体" w:hAnsi="宋体"/>
          <w:bCs/>
          <w:sz w:val="24"/>
        </w:rPr>
        <w:t>（含存托凭证）</w:t>
      </w:r>
      <w:r>
        <w:rPr>
          <w:sz w:val="24"/>
          <w:szCs w:val="24"/>
        </w:rPr>
        <w:t>及其备选成</w:t>
      </w:r>
      <w:r>
        <w:rPr>
          <w:rFonts w:hint="eastAsia"/>
          <w:sz w:val="24"/>
          <w:szCs w:val="24"/>
        </w:rPr>
        <w:t>份</w:t>
      </w:r>
      <w:r>
        <w:rPr>
          <w:sz w:val="24"/>
          <w:szCs w:val="24"/>
        </w:rPr>
        <w:t>股</w:t>
      </w:r>
      <w:r>
        <w:rPr>
          <w:rFonts w:hint="eastAsia" w:ascii="宋体" w:hAnsi="宋体"/>
          <w:bCs/>
          <w:sz w:val="24"/>
        </w:rPr>
        <w:t>（含存托凭证）</w:t>
      </w:r>
      <w:r>
        <w:rPr>
          <w:sz w:val="24"/>
          <w:szCs w:val="24"/>
        </w:rPr>
        <w:t>的比例不低于非现金基金资产的</w:t>
      </w:r>
      <w:r>
        <w:rPr>
          <w:rFonts w:hint="eastAsia"/>
          <w:sz w:val="24"/>
          <w:szCs w:val="24"/>
        </w:rPr>
        <w:t>90</w:t>
      </w:r>
      <w:r>
        <w:rPr>
          <w:sz w:val="24"/>
          <w:szCs w:val="24"/>
        </w:rPr>
        <w:t>%；</w:t>
      </w:r>
    </w:p>
    <w:p>
      <w:pPr>
        <w:widowControl/>
        <w:adjustRightInd w:val="0"/>
        <w:snapToGrid w:val="0"/>
        <w:spacing w:line="360" w:lineRule="auto"/>
        <w:ind w:firstLine="480" w:firstLineChars="200"/>
        <w:rPr>
          <w:sz w:val="24"/>
          <w:szCs w:val="24"/>
        </w:rPr>
      </w:pPr>
      <w:r>
        <w:rPr>
          <w:rFonts w:hint="eastAsia"/>
          <w:sz w:val="24"/>
          <w:szCs w:val="24"/>
        </w:rPr>
        <w:t>3）本基金持有的全部权证，其市值不得超过基金资产净值的3％，基金管理人管理的全部基金持有同一权证的比例不超过该权证的10%，本基金在任何交易日买入权证的总金额，不得超过上一交易日基金资产净值的0.5%。法律法规或中国证监会另有规定的，遵从其规定；</w:t>
      </w:r>
    </w:p>
    <w:p>
      <w:pPr>
        <w:widowControl/>
        <w:adjustRightInd w:val="0"/>
        <w:snapToGrid w:val="0"/>
        <w:spacing w:line="360" w:lineRule="auto"/>
        <w:ind w:firstLine="480" w:firstLineChars="200"/>
        <w:rPr>
          <w:sz w:val="24"/>
          <w:szCs w:val="24"/>
        </w:rPr>
      </w:pPr>
      <w:r>
        <w:rPr>
          <w:rFonts w:hint="eastAsia"/>
          <w:sz w:val="24"/>
          <w:szCs w:val="24"/>
        </w:rPr>
        <w:t>4）本基金进入全国银行间同业市场进行债券回购的资金余额不得超过基金资产净值的40%；本基金进入全国银行间同业市场进行债券回购的最长期限为1年,债券回购到期后不得展期；</w:t>
      </w:r>
    </w:p>
    <w:p>
      <w:pPr>
        <w:widowControl/>
        <w:adjustRightInd w:val="0"/>
        <w:snapToGrid w:val="0"/>
        <w:spacing w:line="360" w:lineRule="auto"/>
        <w:ind w:firstLine="480" w:firstLineChars="200"/>
        <w:rPr>
          <w:sz w:val="24"/>
          <w:szCs w:val="24"/>
        </w:rPr>
      </w:pPr>
      <w:r>
        <w:rPr>
          <w:rFonts w:hint="eastAsia"/>
          <w:sz w:val="24"/>
          <w:szCs w:val="24"/>
        </w:rPr>
        <w:t>5）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pPr>
        <w:widowControl/>
        <w:adjustRightInd w:val="0"/>
        <w:snapToGrid w:val="0"/>
        <w:spacing w:line="360" w:lineRule="auto"/>
        <w:ind w:firstLine="480" w:firstLineChars="200"/>
        <w:rPr>
          <w:sz w:val="24"/>
          <w:szCs w:val="24"/>
        </w:rPr>
      </w:pPr>
      <w:r>
        <w:rPr>
          <w:rFonts w:hint="eastAsia"/>
          <w:sz w:val="24"/>
          <w:szCs w:val="24"/>
        </w:rPr>
        <w:t>6）本基金应投资于</w:t>
      </w:r>
      <w:r>
        <w:rPr>
          <w:sz w:val="24"/>
          <w:szCs w:val="24"/>
        </w:rPr>
        <w:t>信用级别评级</w:t>
      </w:r>
      <w:r>
        <w:rPr>
          <w:rFonts w:hint="eastAsia"/>
          <w:sz w:val="24"/>
          <w:szCs w:val="24"/>
        </w:rPr>
        <w:t>为BBB以上（含BBB）的资产支持证券。基金持有资产支持证券期间，如果其信用等级下降、不再符合投资标准，应在评级报告发布之日起3个月内予以全部卖出；</w:t>
      </w:r>
    </w:p>
    <w:p>
      <w:pPr>
        <w:widowControl/>
        <w:adjustRightInd w:val="0"/>
        <w:snapToGrid w:val="0"/>
        <w:spacing w:line="360" w:lineRule="auto"/>
        <w:ind w:firstLine="480" w:firstLineChars="200"/>
        <w:rPr>
          <w:sz w:val="24"/>
          <w:szCs w:val="24"/>
        </w:rPr>
      </w:pPr>
      <w:r>
        <w:rPr>
          <w:rFonts w:hint="eastAsia"/>
          <w:sz w:val="24"/>
          <w:szCs w:val="24"/>
        </w:rPr>
        <w:t>7）基金财产参与股票发行申购，本基金所申报的金额不超过本基金的总资产，本基金所申报的股票数量不超过拟发行股票公司本次发行股票的总量；</w:t>
      </w:r>
    </w:p>
    <w:p>
      <w:pPr>
        <w:widowControl/>
        <w:adjustRightInd w:val="0"/>
        <w:snapToGrid w:val="0"/>
        <w:spacing w:line="360" w:lineRule="auto"/>
        <w:ind w:firstLine="480" w:firstLineChars="200"/>
        <w:rPr>
          <w:sz w:val="24"/>
          <w:szCs w:val="24"/>
        </w:rPr>
      </w:pPr>
      <w:r>
        <w:rPr>
          <w:rFonts w:hint="eastAsia"/>
          <w:sz w:val="24"/>
          <w:szCs w:val="24"/>
        </w:rPr>
        <w:t xml:space="preserve">8）本基金每个交易日日终在扣除股指期货合约需缴纳的交易保证金后，保持不低于基金资产净值5％的现金或者到期日在一年以内的政府债券，其中现金不包括结算备付金、存出保证金、应收申购款等； </w:t>
      </w:r>
    </w:p>
    <w:p>
      <w:pPr>
        <w:widowControl/>
        <w:adjustRightInd w:val="0"/>
        <w:snapToGrid w:val="0"/>
        <w:spacing w:line="360" w:lineRule="auto"/>
        <w:ind w:firstLine="480" w:firstLineChars="200"/>
        <w:rPr>
          <w:sz w:val="24"/>
          <w:szCs w:val="24"/>
        </w:rPr>
      </w:pPr>
      <w:r>
        <w:rPr>
          <w:rFonts w:hint="eastAsia"/>
          <w:sz w:val="24"/>
          <w:szCs w:val="24"/>
        </w:rPr>
        <w:t>9）本基金资产配置比例需满足基金合同中投资范围的约定。</w:t>
      </w:r>
    </w:p>
    <w:p>
      <w:pPr>
        <w:widowControl/>
        <w:adjustRightInd w:val="0"/>
        <w:snapToGrid w:val="0"/>
        <w:spacing w:line="360" w:lineRule="auto"/>
        <w:ind w:firstLine="480" w:firstLineChars="200"/>
        <w:rPr>
          <w:sz w:val="24"/>
          <w:szCs w:val="24"/>
        </w:rPr>
      </w:pPr>
      <w:r>
        <w:rPr>
          <w:rFonts w:hint="eastAsia"/>
          <w:sz w:val="24"/>
          <w:szCs w:val="24"/>
        </w:rPr>
        <w:t>10）本基金在任何交易日日终，持有的买入股指期货合约价值，不得超过基金资产净值的10%；</w:t>
      </w:r>
    </w:p>
    <w:p>
      <w:pPr>
        <w:widowControl/>
        <w:adjustRightInd w:val="0"/>
        <w:snapToGrid w:val="0"/>
        <w:spacing w:line="360" w:lineRule="auto"/>
        <w:ind w:firstLine="480" w:firstLineChars="200"/>
        <w:rPr>
          <w:sz w:val="24"/>
          <w:szCs w:val="24"/>
        </w:rPr>
      </w:pPr>
      <w:r>
        <w:rPr>
          <w:rFonts w:hint="eastAsia"/>
          <w:sz w:val="24"/>
          <w:szCs w:val="24"/>
        </w:rPr>
        <w:t>11）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pPr>
        <w:widowControl/>
        <w:adjustRightInd w:val="0"/>
        <w:snapToGrid w:val="0"/>
        <w:spacing w:line="360" w:lineRule="auto"/>
        <w:ind w:firstLine="480" w:firstLineChars="200"/>
        <w:rPr>
          <w:sz w:val="24"/>
          <w:szCs w:val="24"/>
        </w:rPr>
      </w:pPr>
      <w:r>
        <w:rPr>
          <w:rFonts w:hint="eastAsia"/>
          <w:sz w:val="24"/>
          <w:szCs w:val="24"/>
        </w:rPr>
        <w:t>12）本基金在任何交易日日终，持有的卖出期货合约价值不得超过基金持有的股票总市值的20%；</w:t>
      </w:r>
    </w:p>
    <w:p>
      <w:pPr>
        <w:widowControl/>
        <w:adjustRightInd w:val="0"/>
        <w:snapToGrid w:val="0"/>
        <w:spacing w:line="360" w:lineRule="auto"/>
        <w:ind w:firstLine="480" w:firstLineChars="200"/>
        <w:rPr>
          <w:sz w:val="24"/>
          <w:szCs w:val="24"/>
        </w:rPr>
      </w:pPr>
      <w:r>
        <w:rPr>
          <w:rFonts w:hint="eastAsia"/>
          <w:sz w:val="24"/>
          <w:szCs w:val="24"/>
        </w:rPr>
        <w:t>13）本基金所持有的股票市值和买入、卖出股指期货合约价值，合计（轧差计算）应当符合基金合同关于股票投资比例的有关约定；</w:t>
      </w:r>
    </w:p>
    <w:p>
      <w:pPr>
        <w:widowControl/>
        <w:adjustRightInd w:val="0"/>
        <w:snapToGrid w:val="0"/>
        <w:spacing w:line="360" w:lineRule="auto"/>
        <w:ind w:firstLine="480" w:firstLineChars="200"/>
        <w:rPr>
          <w:sz w:val="24"/>
          <w:szCs w:val="24"/>
        </w:rPr>
      </w:pPr>
      <w:r>
        <w:rPr>
          <w:rFonts w:hint="eastAsia"/>
          <w:sz w:val="24"/>
          <w:szCs w:val="24"/>
        </w:rPr>
        <w:t>14）本基金在任何交易日内交易（不包括平仓）的股指期货合约的成交金额不得超过上一交易日基金资产净值的20%；</w:t>
      </w:r>
    </w:p>
    <w:p>
      <w:pPr>
        <w:widowControl/>
        <w:adjustRightInd w:val="0"/>
        <w:snapToGrid w:val="0"/>
        <w:spacing w:line="360" w:lineRule="auto"/>
        <w:ind w:firstLine="480" w:firstLineChars="200"/>
        <w:rPr>
          <w:sz w:val="24"/>
          <w:szCs w:val="24"/>
        </w:rPr>
      </w:pPr>
      <w:r>
        <w:rPr>
          <w:rFonts w:hint="eastAsia"/>
          <w:sz w:val="24"/>
          <w:szCs w:val="24"/>
        </w:rPr>
        <w:t>15）本基金的基金资产总值不得超过基金资产净值的140%；</w:t>
      </w:r>
    </w:p>
    <w:p>
      <w:pPr>
        <w:widowControl/>
        <w:adjustRightInd w:val="0"/>
        <w:snapToGrid w:val="0"/>
        <w:spacing w:line="360" w:lineRule="auto"/>
        <w:ind w:firstLine="480" w:firstLineChars="200"/>
        <w:rPr>
          <w:sz w:val="24"/>
          <w:szCs w:val="24"/>
        </w:rPr>
      </w:pPr>
      <w:r>
        <w:rPr>
          <w:rFonts w:hint="eastAsia"/>
          <w:sz w:val="24"/>
          <w:szCs w:val="24"/>
        </w:rPr>
        <w:t>16）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pPr>
        <w:widowControl/>
        <w:adjustRightInd w:val="0"/>
        <w:snapToGrid w:val="0"/>
        <w:spacing w:line="360" w:lineRule="auto"/>
        <w:ind w:firstLine="480" w:firstLineChars="200"/>
        <w:rPr>
          <w:sz w:val="24"/>
          <w:szCs w:val="24"/>
        </w:rPr>
      </w:pPr>
      <w:r>
        <w:rPr>
          <w:rFonts w:hint="eastAsia"/>
          <w:sz w:val="24"/>
          <w:szCs w:val="24"/>
        </w:rPr>
        <w:t>17）</w:t>
      </w:r>
      <w:bookmarkStart w:id="118" w:name="_Hlk524363275"/>
      <w:r>
        <w:rPr>
          <w:rFonts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bookmarkEnd w:id="118"/>
    </w:p>
    <w:p>
      <w:pPr>
        <w:widowControl/>
        <w:adjustRightInd w:val="0"/>
        <w:snapToGrid w:val="0"/>
        <w:spacing w:line="360" w:lineRule="auto"/>
        <w:ind w:firstLine="480" w:firstLineChars="200"/>
        <w:rPr>
          <w:sz w:val="24"/>
          <w:szCs w:val="24"/>
        </w:rPr>
      </w:pPr>
      <w:r>
        <w:rPr>
          <w:rFonts w:hint="eastAsia"/>
          <w:sz w:val="24"/>
          <w:szCs w:val="24"/>
        </w:rPr>
        <w:t>18）</w:t>
      </w:r>
      <w:bookmarkStart w:id="119" w:name="_Hlk524363285"/>
      <w:r>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19"/>
    </w:p>
    <w:p>
      <w:pPr>
        <w:widowControl/>
        <w:adjustRightInd w:val="0"/>
        <w:snapToGrid w:val="0"/>
        <w:spacing w:line="360" w:lineRule="auto"/>
        <w:ind w:firstLine="480" w:firstLineChars="200"/>
        <w:rPr>
          <w:sz w:val="24"/>
          <w:szCs w:val="24"/>
        </w:rPr>
      </w:pPr>
      <w:r>
        <w:rPr>
          <w:rFonts w:hint="eastAsia"/>
          <w:sz w:val="24"/>
          <w:szCs w:val="24"/>
        </w:rPr>
        <w:t>1</w:t>
      </w:r>
      <w:r>
        <w:rPr>
          <w:sz w:val="24"/>
          <w:szCs w:val="24"/>
        </w:rPr>
        <w:t>9</w:t>
      </w:r>
      <w:r>
        <w:rPr>
          <w:rFonts w:hint="eastAsia"/>
          <w:sz w:val="24"/>
          <w:szCs w:val="24"/>
        </w:rPr>
        <w:t>）本基金投资存托凭证的比例限制依照境内上市交易的股票执行；</w:t>
      </w:r>
    </w:p>
    <w:p>
      <w:pPr>
        <w:widowControl/>
        <w:adjustRightInd w:val="0"/>
        <w:snapToGrid w:val="0"/>
        <w:spacing w:line="360" w:lineRule="auto"/>
        <w:ind w:firstLine="480" w:firstLineChars="200"/>
        <w:rPr>
          <w:sz w:val="24"/>
          <w:szCs w:val="24"/>
        </w:rPr>
      </w:pPr>
      <w:r>
        <w:rPr>
          <w:sz w:val="24"/>
          <w:szCs w:val="24"/>
        </w:rPr>
        <w:t>20</w:t>
      </w:r>
      <w:r>
        <w:rPr>
          <w:rFonts w:hint="eastAsia"/>
          <w:sz w:val="24"/>
          <w:szCs w:val="24"/>
        </w:rPr>
        <w:t>）法律法规及中国证监会规定的和《基金合同》约定的其他投资限制。</w:t>
      </w:r>
    </w:p>
    <w:p>
      <w:pPr>
        <w:widowControl/>
        <w:adjustRightInd w:val="0"/>
        <w:snapToGrid w:val="0"/>
        <w:spacing w:line="360" w:lineRule="auto"/>
        <w:ind w:firstLine="480" w:firstLineChars="200"/>
        <w:rPr>
          <w:sz w:val="24"/>
          <w:szCs w:val="24"/>
        </w:rPr>
      </w:pPr>
      <w:r>
        <w:rPr>
          <w:rFonts w:hint="eastAsia"/>
          <w:sz w:val="24"/>
          <w:szCs w:val="24"/>
        </w:rPr>
        <w:t>如果法律法规对基金合同约定投资组合比例限制进行变更的，以变更后的规定为准。法律法规或监管部门取消上述限制，如适用于本基金，基金</w:t>
      </w:r>
      <w:r>
        <w:rPr>
          <w:sz w:val="24"/>
          <w:szCs w:val="24"/>
        </w:rPr>
        <w:t>管理人在履行适当程序后，</w:t>
      </w:r>
      <w:r>
        <w:rPr>
          <w:rFonts w:hint="eastAsia"/>
          <w:sz w:val="24"/>
          <w:szCs w:val="24"/>
        </w:rPr>
        <w:t>则本基金投资不再受相关限制。</w:t>
      </w:r>
    </w:p>
    <w:p>
      <w:pPr>
        <w:widowControl/>
        <w:adjustRightInd w:val="0"/>
        <w:snapToGrid w:val="0"/>
        <w:spacing w:line="360" w:lineRule="auto"/>
        <w:ind w:firstLine="480" w:firstLineChars="200"/>
        <w:rPr>
          <w:sz w:val="24"/>
          <w:szCs w:val="24"/>
        </w:rPr>
      </w:pPr>
      <w:r>
        <w:rPr>
          <w:rFonts w:hint="eastAsia"/>
          <w:sz w:val="24"/>
          <w:szCs w:val="24"/>
        </w:rPr>
        <w:t>基金管理人应当自基金转型实施日起6个月内使基金的投资组合比例符合基金合同的有关约定。在上述期间内，本基金的投资范围、投资策略应当符合基金合同的约定。基金托管人对基金投资的监督与检查自基金合同生效之日起开始。</w:t>
      </w:r>
    </w:p>
    <w:p>
      <w:pPr>
        <w:widowControl/>
        <w:adjustRightInd w:val="0"/>
        <w:snapToGrid w:val="0"/>
        <w:spacing w:line="360" w:lineRule="auto"/>
        <w:ind w:firstLine="480" w:firstLineChars="200"/>
        <w:rPr>
          <w:sz w:val="24"/>
          <w:szCs w:val="24"/>
        </w:rPr>
      </w:pPr>
      <w:r>
        <w:rPr>
          <w:rFonts w:hint="eastAsia"/>
          <w:sz w:val="24"/>
          <w:szCs w:val="24"/>
        </w:rPr>
        <w:t>除上述第6）、8）、17）、18）项另有约定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pPr>
        <w:widowControl/>
        <w:adjustRightInd w:val="0"/>
        <w:snapToGrid w:val="0"/>
        <w:spacing w:line="360" w:lineRule="auto"/>
        <w:ind w:firstLine="480" w:firstLineChars="200"/>
        <w:rPr>
          <w:sz w:val="24"/>
          <w:szCs w:val="24"/>
        </w:rPr>
      </w:pPr>
      <w:r>
        <w:rPr>
          <w:rFonts w:hint="eastAsia"/>
          <w:sz w:val="24"/>
          <w:szCs w:val="24"/>
        </w:rPr>
        <w:t>（3）基金托管人根据有关法律法规的规定及基金合同的约定对下述基金投资禁止行为进行监督：</w:t>
      </w:r>
    </w:p>
    <w:p>
      <w:pPr>
        <w:widowControl/>
        <w:adjustRightInd w:val="0"/>
        <w:snapToGrid w:val="0"/>
        <w:spacing w:line="360" w:lineRule="auto"/>
        <w:ind w:firstLine="480" w:firstLineChars="200"/>
        <w:rPr>
          <w:sz w:val="24"/>
          <w:szCs w:val="24"/>
        </w:rPr>
      </w:pPr>
      <w:r>
        <w:rPr>
          <w:rFonts w:hint="eastAsia"/>
          <w:sz w:val="24"/>
          <w:szCs w:val="24"/>
        </w:rPr>
        <w:t>根据法律法规的规定及基金合同的约定，本基金禁止从事下列行为：</w:t>
      </w:r>
    </w:p>
    <w:p>
      <w:pPr>
        <w:widowControl/>
        <w:adjustRightInd w:val="0"/>
        <w:snapToGrid w:val="0"/>
        <w:spacing w:line="360" w:lineRule="auto"/>
        <w:ind w:firstLine="480" w:firstLineChars="200"/>
        <w:rPr>
          <w:sz w:val="24"/>
          <w:szCs w:val="24"/>
        </w:rPr>
      </w:pPr>
      <w:r>
        <w:rPr>
          <w:rFonts w:hint="eastAsia"/>
          <w:sz w:val="24"/>
          <w:szCs w:val="24"/>
        </w:rPr>
        <w:t>1）承销证券；</w:t>
      </w:r>
    </w:p>
    <w:p>
      <w:pPr>
        <w:widowControl/>
        <w:adjustRightInd w:val="0"/>
        <w:snapToGrid w:val="0"/>
        <w:spacing w:line="360" w:lineRule="auto"/>
        <w:ind w:firstLine="480" w:firstLineChars="200"/>
        <w:rPr>
          <w:sz w:val="24"/>
          <w:szCs w:val="24"/>
        </w:rPr>
      </w:pPr>
      <w:r>
        <w:rPr>
          <w:rFonts w:hint="eastAsia"/>
          <w:sz w:val="24"/>
          <w:szCs w:val="24"/>
        </w:rPr>
        <w:t>2）违反规定向他人贷款或提供担保；</w:t>
      </w:r>
    </w:p>
    <w:p>
      <w:pPr>
        <w:widowControl/>
        <w:adjustRightInd w:val="0"/>
        <w:snapToGrid w:val="0"/>
        <w:spacing w:line="360" w:lineRule="auto"/>
        <w:ind w:firstLine="480" w:firstLineChars="200"/>
        <w:rPr>
          <w:sz w:val="24"/>
          <w:szCs w:val="24"/>
        </w:rPr>
      </w:pPr>
      <w:r>
        <w:rPr>
          <w:rFonts w:hint="eastAsia"/>
          <w:sz w:val="24"/>
          <w:szCs w:val="24"/>
        </w:rPr>
        <w:t>3）从事承担无限责任的投资；</w:t>
      </w:r>
    </w:p>
    <w:p>
      <w:pPr>
        <w:widowControl/>
        <w:adjustRightInd w:val="0"/>
        <w:snapToGrid w:val="0"/>
        <w:spacing w:line="360" w:lineRule="auto"/>
        <w:ind w:firstLine="480" w:firstLineChars="200"/>
        <w:rPr>
          <w:sz w:val="24"/>
          <w:szCs w:val="24"/>
        </w:rPr>
      </w:pPr>
      <w:r>
        <w:rPr>
          <w:rFonts w:hint="eastAsia"/>
          <w:sz w:val="24"/>
          <w:szCs w:val="24"/>
        </w:rPr>
        <w:t>4）买卖其他基金份额，但是中国证监会另有规定的除外；</w:t>
      </w:r>
    </w:p>
    <w:p>
      <w:pPr>
        <w:widowControl/>
        <w:adjustRightInd w:val="0"/>
        <w:snapToGrid w:val="0"/>
        <w:spacing w:line="360" w:lineRule="auto"/>
        <w:ind w:firstLine="480" w:firstLineChars="200"/>
        <w:rPr>
          <w:sz w:val="24"/>
          <w:szCs w:val="24"/>
        </w:rPr>
      </w:pPr>
      <w:r>
        <w:rPr>
          <w:rFonts w:hint="eastAsia"/>
          <w:sz w:val="24"/>
          <w:szCs w:val="24"/>
        </w:rPr>
        <w:t>5）向其基金管理人、基金托管人出资；</w:t>
      </w:r>
    </w:p>
    <w:p>
      <w:pPr>
        <w:widowControl/>
        <w:adjustRightInd w:val="0"/>
        <w:snapToGrid w:val="0"/>
        <w:spacing w:line="360" w:lineRule="auto"/>
        <w:ind w:firstLine="480" w:firstLineChars="200"/>
        <w:rPr>
          <w:sz w:val="24"/>
          <w:szCs w:val="24"/>
        </w:rPr>
      </w:pPr>
      <w:r>
        <w:rPr>
          <w:rFonts w:hint="eastAsia"/>
          <w:sz w:val="24"/>
          <w:szCs w:val="24"/>
        </w:rPr>
        <w:t>6）从事内幕交易、操纵证券价格及其他不正当的证券交易活动；</w:t>
      </w:r>
    </w:p>
    <w:p>
      <w:pPr>
        <w:widowControl/>
        <w:adjustRightInd w:val="0"/>
        <w:snapToGrid w:val="0"/>
        <w:spacing w:line="360" w:lineRule="auto"/>
        <w:ind w:firstLine="480" w:firstLineChars="200"/>
        <w:rPr>
          <w:sz w:val="24"/>
          <w:szCs w:val="24"/>
        </w:rPr>
      </w:pPr>
      <w:r>
        <w:rPr>
          <w:rFonts w:hint="eastAsia"/>
          <w:sz w:val="24"/>
          <w:szCs w:val="24"/>
        </w:rPr>
        <w:t>7）法律、行政法规和中国证监会规定禁止的其他活动。</w:t>
      </w:r>
    </w:p>
    <w:p>
      <w:pPr>
        <w:widowControl/>
        <w:adjustRightInd w:val="0"/>
        <w:snapToGrid w:val="0"/>
        <w:spacing w:line="360" w:lineRule="auto"/>
        <w:ind w:firstLine="480" w:firstLineChars="200"/>
        <w:rPr>
          <w:sz w:val="24"/>
          <w:szCs w:val="24"/>
        </w:rPr>
      </w:pPr>
      <w:r>
        <w:rPr>
          <w:rFonts w:hint="eastAsia"/>
          <w:sz w:val="24"/>
          <w:szCs w:val="24"/>
        </w:rPr>
        <w:t>如法律、行政法规或监管部门取消上述禁止性规定，如适用于本基金，基金管理人在履行适当程序后，本基金可不受上述规定的限制。</w:t>
      </w:r>
    </w:p>
    <w:p>
      <w:pPr>
        <w:widowControl/>
        <w:adjustRightInd w:val="0"/>
        <w:snapToGrid w:val="0"/>
        <w:spacing w:line="360" w:lineRule="auto"/>
        <w:ind w:firstLine="480" w:firstLineChars="200"/>
        <w:rPr>
          <w:sz w:val="24"/>
          <w:szCs w:val="24"/>
        </w:rPr>
      </w:pPr>
      <w:r>
        <w:rPr>
          <w:rFonts w:hint="eastAsia"/>
          <w:sz w:val="24"/>
          <w:szCs w:val="24"/>
        </w:rPr>
        <w:t>（4）基金托管人依据有关法律法规的规定和基金合同的约定对于基金关联投资进行监督：</w:t>
      </w:r>
    </w:p>
    <w:p>
      <w:pPr>
        <w:widowControl/>
        <w:adjustRightInd w:val="0"/>
        <w:snapToGrid w:val="0"/>
        <w:spacing w:line="360" w:lineRule="auto"/>
        <w:ind w:firstLine="480" w:firstLineChars="200"/>
        <w:rPr>
          <w:sz w:val="24"/>
          <w:szCs w:val="24"/>
        </w:rPr>
      </w:pPr>
      <w:r>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pPr>
        <w:widowControl/>
        <w:adjustRightInd w:val="0"/>
        <w:snapToGrid w:val="0"/>
        <w:spacing w:line="360" w:lineRule="auto"/>
        <w:ind w:firstLine="480" w:firstLineChars="200"/>
        <w:rPr>
          <w:sz w:val="24"/>
          <w:szCs w:val="24"/>
        </w:rPr>
      </w:pPr>
      <w:r>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pPr>
        <w:widowControl/>
        <w:adjustRightInd w:val="0"/>
        <w:snapToGrid w:val="0"/>
        <w:spacing w:line="360" w:lineRule="auto"/>
        <w:ind w:firstLine="480" w:firstLineChars="200"/>
        <w:rPr>
          <w:sz w:val="24"/>
          <w:szCs w:val="24"/>
        </w:rPr>
      </w:pPr>
      <w:r>
        <w:rPr>
          <w:rFonts w:hint="eastAsia"/>
          <w:sz w:val="24"/>
          <w:szCs w:val="24"/>
        </w:rPr>
        <w:t>（5）基金托管人依据有关法律法规的规定和基金合同的约定对基金管理人参与银行间债券市场进行监督：</w:t>
      </w:r>
    </w:p>
    <w:p>
      <w:pPr>
        <w:widowControl/>
        <w:adjustRightInd w:val="0"/>
        <w:snapToGrid w:val="0"/>
        <w:spacing w:line="360" w:lineRule="auto"/>
        <w:ind w:firstLine="480" w:firstLineChars="200"/>
        <w:rPr>
          <w:sz w:val="24"/>
          <w:szCs w:val="24"/>
        </w:rPr>
      </w:pPr>
      <w:r>
        <w:rPr>
          <w:rFonts w:hint="eastAsia"/>
          <w:sz w:val="24"/>
          <w:szCs w:val="24"/>
        </w:rPr>
        <w:t>1）基金托管人依据有关法律法规的规定和基金合同的约定对于基金管理人参与银行间债券市场交易时面临的交易对手资信风险进行监督。</w:t>
      </w:r>
    </w:p>
    <w:p>
      <w:pPr>
        <w:widowControl/>
        <w:adjustRightInd w:val="0"/>
        <w:snapToGrid w:val="0"/>
        <w:spacing w:line="360" w:lineRule="auto"/>
        <w:ind w:firstLine="480" w:firstLineChars="200"/>
        <w:rPr>
          <w:sz w:val="24"/>
          <w:szCs w:val="24"/>
        </w:rPr>
      </w:pPr>
      <w:r>
        <w:rPr>
          <w:rFonts w:hint="eastAsia"/>
          <w:sz w:val="24"/>
          <w:szCs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pPr>
        <w:widowControl/>
        <w:adjustRightInd w:val="0"/>
        <w:snapToGrid w:val="0"/>
        <w:spacing w:line="360" w:lineRule="auto"/>
        <w:ind w:firstLine="480" w:firstLineChars="200"/>
        <w:rPr>
          <w:sz w:val="24"/>
          <w:szCs w:val="24"/>
        </w:rPr>
      </w:pPr>
      <w:r>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pPr>
        <w:widowControl/>
        <w:adjustRightInd w:val="0"/>
        <w:snapToGrid w:val="0"/>
        <w:spacing w:line="360" w:lineRule="auto"/>
        <w:ind w:firstLine="480" w:firstLineChars="200"/>
        <w:rPr>
          <w:sz w:val="24"/>
          <w:szCs w:val="24"/>
        </w:rPr>
      </w:pPr>
      <w:r>
        <w:rPr>
          <w:rFonts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widowControl/>
        <w:adjustRightInd w:val="0"/>
        <w:snapToGrid w:val="0"/>
        <w:spacing w:line="360" w:lineRule="auto"/>
        <w:ind w:firstLine="480" w:firstLineChars="200"/>
        <w:rPr>
          <w:sz w:val="24"/>
          <w:szCs w:val="24"/>
        </w:rPr>
      </w:pPr>
      <w:r>
        <w:rPr>
          <w:rFonts w:hint="eastAsia"/>
          <w:sz w:val="24"/>
          <w:szCs w:val="24"/>
        </w:rPr>
        <w:t>（6）基金托管人对基金投资流通受限证券的监督：</w:t>
      </w:r>
    </w:p>
    <w:p>
      <w:pPr>
        <w:widowControl/>
        <w:adjustRightInd w:val="0"/>
        <w:snapToGrid w:val="0"/>
        <w:spacing w:line="360" w:lineRule="auto"/>
        <w:ind w:firstLine="480" w:firstLineChars="200"/>
        <w:rPr>
          <w:sz w:val="24"/>
          <w:szCs w:val="24"/>
        </w:rPr>
      </w:pPr>
      <w:r>
        <w:rPr>
          <w:rFonts w:hint="eastAsia"/>
          <w:sz w:val="24"/>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widowControl/>
        <w:adjustRightInd w:val="0"/>
        <w:snapToGrid w:val="0"/>
        <w:spacing w:line="360" w:lineRule="auto"/>
        <w:ind w:firstLine="480" w:firstLineChars="200"/>
        <w:rPr>
          <w:sz w:val="24"/>
          <w:szCs w:val="24"/>
        </w:rPr>
      </w:pPr>
      <w:r>
        <w:rPr>
          <w:rFonts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pPr>
        <w:widowControl/>
        <w:adjustRightInd w:val="0"/>
        <w:snapToGrid w:val="0"/>
        <w:spacing w:line="360" w:lineRule="auto"/>
        <w:ind w:firstLine="480" w:firstLineChars="200"/>
        <w:rPr>
          <w:sz w:val="24"/>
          <w:szCs w:val="24"/>
        </w:rPr>
      </w:pPr>
      <w:r>
        <w:rPr>
          <w:rFonts w:hint="eastAsia"/>
          <w:sz w:val="24"/>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pPr>
        <w:widowControl/>
        <w:adjustRightInd w:val="0"/>
        <w:snapToGrid w:val="0"/>
        <w:spacing w:line="360" w:lineRule="auto"/>
        <w:ind w:firstLine="480" w:firstLineChars="200"/>
        <w:rPr>
          <w:sz w:val="24"/>
          <w:szCs w:val="24"/>
        </w:rPr>
      </w:pPr>
      <w:r>
        <w:rPr>
          <w:rFonts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pPr>
        <w:widowControl/>
        <w:adjustRightInd w:val="0"/>
        <w:snapToGrid w:val="0"/>
        <w:spacing w:line="360" w:lineRule="auto"/>
        <w:ind w:firstLine="480" w:firstLineChars="200"/>
        <w:rPr>
          <w:sz w:val="24"/>
          <w:szCs w:val="24"/>
        </w:rPr>
      </w:pPr>
      <w:r>
        <w:rPr>
          <w:rFonts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pPr>
        <w:widowControl/>
        <w:adjustRightInd w:val="0"/>
        <w:snapToGrid w:val="0"/>
        <w:spacing w:line="360" w:lineRule="auto"/>
        <w:ind w:firstLine="480" w:firstLineChars="200"/>
        <w:rPr>
          <w:sz w:val="24"/>
          <w:szCs w:val="24"/>
        </w:rPr>
      </w:pPr>
      <w:r>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widowControl/>
        <w:adjustRightInd w:val="0"/>
        <w:snapToGrid w:val="0"/>
        <w:spacing w:line="360" w:lineRule="auto"/>
        <w:ind w:firstLine="480" w:firstLineChars="200"/>
        <w:rPr>
          <w:sz w:val="24"/>
          <w:szCs w:val="24"/>
        </w:rPr>
      </w:pPr>
      <w:r>
        <w:rPr>
          <w:rFonts w:hint="eastAsia"/>
          <w:sz w:val="24"/>
          <w:szCs w:val="24"/>
        </w:rPr>
        <w:t>（7）基金托管人对基金投资中期票据的监督：</w:t>
      </w:r>
    </w:p>
    <w:p>
      <w:pPr>
        <w:widowControl/>
        <w:adjustRightInd w:val="0"/>
        <w:snapToGrid w:val="0"/>
        <w:spacing w:line="360" w:lineRule="auto"/>
        <w:ind w:firstLine="480" w:firstLineChars="200"/>
        <w:rPr>
          <w:sz w:val="24"/>
          <w:szCs w:val="24"/>
        </w:rPr>
      </w:pPr>
      <w:r>
        <w:rPr>
          <w:rFonts w:hint="eastAsia"/>
          <w:sz w:val="24"/>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pPr>
        <w:widowControl/>
        <w:adjustRightInd w:val="0"/>
        <w:snapToGrid w:val="0"/>
        <w:spacing w:line="360" w:lineRule="auto"/>
        <w:ind w:firstLine="480" w:firstLineChars="200"/>
        <w:rPr>
          <w:sz w:val="24"/>
          <w:szCs w:val="24"/>
        </w:rPr>
      </w:pPr>
      <w:r>
        <w:rPr>
          <w:rFonts w:hint="eastAsia"/>
          <w:sz w:val="24"/>
          <w:szCs w:val="24"/>
        </w:rPr>
        <w:t>2）如未来有关监管部门发布的法律法规对证券投资基金投资中期票据另有规定的，从其约定。</w:t>
      </w:r>
    </w:p>
    <w:p>
      <w:pPr>
        <w:widowControl/>
        <w:adjustRightInd w:val="0"/>
        <w:snapToGrid w:val="0"/>
        <w:spacing w:line="360" w:lineRule="auto"/>
        <w:ind w:firstLine="480" w:firstLineChars="200"/>
        <w:rPr>
          <w:sz w:val="24"/>
          <w:szCs w:val="24"/>
        </w:rPr>
      </w:pPr>
      <w:r>
        <w:rPr>
          <w:rFonts w:hint="eastAsia"/>
          <w:sz w:val="24"/>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pPr>
        <w:widowControl/>
        <w:adjustRightInd w:val="0"/>
        <w:snapToGrid w:val="0"/>
        <w:spacing w:line="360" w:lineRule="auto"/>
        <w:ind w:firstLine="480" w:firstLineChars="200"/>
        <w:rPr>
          <w:sz w:val="24"/>
          <w:szCs w:val="24"/>
        </w:rPr>
      </w:pPr>
      <w:r>
        <w:rPr>
          <w:rFonts w:hint="eastAsia"/>
          <w:sz w:val="24"/>
          <w:szCs w:val="24"/>
        </w:rPr>
        <w:t>（8）基金托管人根据有关法律法规的规定及基金合同的约定，对基金管理人选择存款银行进行监督：</w:t>
      </w:r>
    </w:p>
    <w:p>
      <w:pPr>
        <w:widowControl/>
        <w:adjustRightInd w:val="0"/>
        <w:snapToGrid w:val="0"/>
        <w:spacing w:line="360" w:lineRule="auto"/>
        <w:ind w:firstLine="480" w:firstLineChars="200"/>
        <w:rPr>
          <w:sz w:val="24"/>
          <w:szCs w:val="24"/>
        </w:rPr>
      </w:pPr>
      <w:r>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widowControl/>
        <w:adjustRightInd w:val="0"/>
        <w:snapToGrid w:val="0"/>
        <w:spacing w:line="360" w:lineRule="auto"/>
        <w:ind w:firstLine="480" w:firstLineChars="200"/>
        <w:rPr>
          <w:sz w:val="24"/>
          <w:szCs w:val="24"/>
        </w:rPr>
      </w:pPr>
      <w:r>
        <w:rPr>
          <w:rFonts w:hint="eastAsia"/>
          <w:sz w:val="24"/>
          <w:szCs w:val="24"/>
        </w:rPr>
        <w:t>本基金投资银行存款应符合如下规定：</w:t>
      </w:r>
    </w:p>
    <w:p>
      <w:pPr>
        <w:widowControl/>
        <w:adjustRightInd w:val="0"/>
        <w:snapToGrid w:val="0"/>
        <w:spacing w:line="360" w:lineRule="auto"/>
        <w:ind w:firstLine="480" w:firstLineChars="200"/>
        <w:rPr>
          <w:sz w:val="24"/>
          <w:szCs w:val="24"/>
        </w:rPr>
      </w:pPr>
      <w:r>
        <w:rPr>
          <w:sz w:val="24"/>
          <w:szCs w:val="24"/>
        </w:rPr>
        <w:t>1</w:t>
      </w:r>
      <w:r>
        <w:rPr>
          <w:rFonts w:hint="eastAsia"/>
          <w:sz w:val="24"/>
          <w:szCs w:val="24"/>
        </w:rPr>
        <w:t>）基金管理人、基金托管人应当与存款银行建立定期对账机制，确保基金银行存款业务账目及核算的真实、准确。</w:t>
      </w:r>
    </w:p>
    <w:p>
      <w:pPr>
        <w:widowControl/>
        <w:adjustRightInd w:val="0"/>
        <w:snapToGrid w:val="0"/>
        <w:spacing w:line="360" w:lineRule="auto"/>
        <w:ind w:firstLine="480" w:firstLineChars="200"/>
        <w:rPr>
          <w:sz w:val="24"/>
          <w:szCs w:val="24"/>
        </w:rPr>
      </w:pPr>
      <w:r>
        <w:rPr>
          <w:sz w:val="24"/>
          <w:szCs w:val="24"/>
        </w:rPr>
        <w:t>2</w:t>
      </w:r>
      <w:r>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widowControl/>
        <w:adjustRightInd w:val="0"/>
        <w:snapToGrid w:val="0"/>
        <w:spacing w:line="360" w:lineRule="auto"/>
        <w:ind w:firstLine="480" w:firstLineChars="200"/>
        <w:rPr>
          <w:sz w:val="24"/>
          <w:szCs w:val="24"/>
        </w:rPr>
      </w:pPr>
      <w:r>
        <w:rPr>
          <w:sz w:val="24"/>
          <w:szCs w:val="24"/>
        </w:rPr>
        <w:t>3</w:t>
      </w:r>
      <w:r>
        <w:rPr>
          <w:rFonts w:hint="eastAsia"/>
          <w:sz w:val="24"/>
          <w:szCs w:val="24"/>
        </w:rPr>
        <w:t>）基金托管人应加强对基金银行存款业务的监督与核查，严格审查、复核相关协议、账户资料、投资指令、存款证实书等有关文件，切实履行托管职责。</w:t>
      </w:r>
    </w:p>
    <w:p>
      <w:pPr>
        <w:widowControl/>
        <w:adjustRightInd w:val="0"/>
        <w:snapToGrid w:val="0"/>
        <w:spacing w:line="360" w:lineRule="auto"/>
        <w:ind w:firstLine="480" w:firstLineChars="200"/>
        <w:rPr>
          <w:sz w:val="24"/>
          <w:szCs w:val="24"/>
        </w:rPr>
      </w:pPr>
      <w:r>
        <w:rPr>
          <w:sz w:val="24"/>
          <w:szCs w:val="24"/>
        </w:rPr>
        <w:t>4</w:t>
      </w:r>
      <w:r>
        <w:rPr>
          <w:rFonts w:hint="eastAsia"/>
          <w:sz w:val="24"/>
          <w:szCs w:val="24"/>
        </w:rPr>
        <w:t>）基金管理人与基金托管人在开展基金存款业务时，应严格遵守《基金法》、《运作办法》等有关法律法规，以及国家有关账户管理、利率管理、支付结算等的各项规定。</w:t>
      </w:r>
    </w:p>
    <w:p>
      <w:pPr>
        <w:widowControl/>
        <w:adjustRightInd w:val="0"/>
        <w:snapToGrid w:val="0"/>
        <w:spacing w:line="360" w:lineRule="auto"/>
        <w:ind w:firstLine="480" w:firstLineChars="200"/>
        <w:rPr>
          <w:sz w:val="24"/>
          <w:szCs w:val="24"/>
        </w:rPr>
      </w:pPr>
      <w:r>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pPr>
        <w:widowControl/>
        <w:adjustRightInd w:val="0"/>
        <w:snapToGrid w:val="0"/>
        <w:spacing w:line="360" w:lineRule="auto"/>
        <w:ind w:firstLine="480" w:firstLineChars="200"/>
        <w:rPr>
          <w:sz w:val="24"/>
          <w:szCs w:val="24"/>
        </w:rPr>
      </w:pPr>
      <w:r>
        <w:rPr>
          <w:rFonts w:hint="eastAsia"/>
          <w:sz w:val="24"/>
          <w:szCs w:val="24"/>
        </w:rPr>
        <w:t>2、基金托管人对基金管理人业务进行监督和核查的有关措施：</w:t>
      </w:r>
    </w:p>
    <w:p>
      <w:pPr>
        <w:widowControl/>
        <w:adjustRightInd w:val="0"/>
        <w:snapToGrid w:val="0"/>
        <w:spacing w:line="360" w:lineRule="auto"/>
        <w:ind w:firstLine="480" w:firstLineChars="200"/>
        <w:rPr>
          <w:sz w:val="24"/>
          <w:szCs w:val="24"/>
        </w:rPr>
      </w:pPr>
      <w:r>
        <w:rPr>
          <w:rFonts w:hint="eastAsia"/>
          <w:sz w:val="24"/>
          <w:szCs w:val="24"/>
        </w:rPr>
        <w:t>（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widowControl/>
        <w:adjustRightInd w:val="0"/>
        <w:snapToGrid w:val="0"/>
        <w:spacing w:line="360" w:lineRule="auto"/>
        <w:ind w:firstLine="480" w:firstLineChars="200"/>
        <w:rPr>
          <w:sz w:val="24"/>
          <w:szCs w:val="24"/>
        </w:rPr>
      </w:pPr>
      <w:r>
        <w:rPr>
          <w:rFonts w:hint="eastAsia"/>
          <w:sz w:val="24"/>
          <w:szCs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pPr>
        <w:widowControl/>
        <w:adjustRightInd w:val="0"/>
        <w:snapToGrid w:val="0"/>
        <w:spacing w:line="360" w:lineRule="auto"/>
        <w:ind w:firstLine="480" w:firstLineChars="200"/>
        <w:rPr>
          <w:sz w:val="24"/>
          <w:szCs w:val="24"/>
        </w:rPr>
      </w:pPr>
      <w:r>
        <w:rPr>
          <w:rFonts w:hint="eastAsia"/>
          <w:sz w:val="24"/>
          <w:szCs w:val="24"/>
        </w:rPr>
        <w:t>（3）在限期内，基金托管人有权随时对通知事项进行复查，督促基金管理人改正。基金管理人对基金托管人通知的违规事项未能在限期内纠正的，基金托管人应报告中国证监会。</w:t>
      </w:r>
    </w:p>
    <w:p>
      <w:pPr>
        <w:widowControl/>
        <w:adjustRightInd w:val="0"/>
        <w:snapToGrid w:val="0"/>
        <w:spacing w:line="360" w:lineRule="auto"/>
        <w:ind w:firstLine="480" w:firstLineChars="200"/>
        <w:rPr>
          <w:sz w:val="24"/>
          <w:szCs w:val="24"/>
        </w:rPr>
      </w:pPr>
      <w:r>
        <w:rPr>
          <w:rFonts w:hint="eastAsia"/>
          <w:sz w:val="24"/>
          <w:szCs w:val="24"/>
        </w:rPr>
        <w:t>（4）基金托管人发现基金管理人的投资指令违反关法律法规规定或者违反基金合同约定的，应当拒绝执行，立即通知基金管理人。</w:t>
      </w:r>
    </w:p>
    <w:p>
      <w:pPr>
        <w:widowControl/>
        <w:adjustRightInd w:val="0"/>
        <w:snapToGrid w:val="0"/>
        <w:spacing w:line="360" w:lineRule="auto"/>
        <w:ind w:firstLine="480" w:firstLineChars="200"/>
        <w:rPr>
          <w:sz w:val="24"/>
          <w:szCs w:val="24"/>
        </w:rPr>
      </w:pPr>
      <w:r>
        <w:rPr>
          <w:rFonts w:hint="eastAsia"/>
          <w:sz w:val="24"/>
          <w:szCs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pPr>
        <w:widowControl/>
        <w:adjustRightInd w:val="0"/>
        <w:snapToGrid w:val="0"/>
        <w:spacing w:line="360" w:lineRule="auto"/>
        <w:ind w:firstLine="480" w:firstLineChars="200"/>
        <w:rPr>
          <w:sz w:val="24"/>
          <w:szCs w:val="24"/>
        </w:rPr>
      </w:pPr>
      <w:r>
        <w:rPr>
          <w:rFonts w:hint="eastAsia"/>
          <w:sz w:val="24"/>
          <w:szCs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widowControl/>
        <w:adjustRightInd w:val="0"/>
        <w:snapToGrid w:val="0"/>
        <w:spacing w:line="360" w:lineRule="auto"/>
        <w:ind w:firstLine="480" w:firstLineChars="200"/>
        <w:rPr>
          <w:sz w:val="24"/>
          <w:szCs w:val="24"/>
        </w:rPr>
      </w:pPr>
      <w:r>
        <w:rPr>
          <w:rFonts w:hint="eastAsia"/>
          <w:sz w:val="24"/>
          <w:szCs w:val="24"/>
        </w:rPr>
        <w:t>（7）基金托管人发现基金管理人有重大违规行为，应立即报告中国证监会，同时通知基金管理人限期纠正。</w:t>
      </w:r>
    </w:p>
    <w:p>
      <w:pPr>
        <w:widowControl/>
        <w:adjustRightInd w:val="0"/>
        <w:snapToGrid w:val="0"/>
        <w:spacing w:line="360" w:lineRule="auto"/>
        <w:ind w:firstLine="480" w:firstLineChars="200"/>
        <w:rPr>
          <w:kern w:val="0"/>
          <w:sz w:val="24"/>
        </w:rPr>
      </w:pPr>
      <w:r>
        <w:rPr>
          <w:rFonts w:hint="eastAsia"/>
          <w:sz w:val="24"/>
          <w:szCs w:val="24"/>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pPr>
        <w:widowControl/>
        <w:adjustRightInd w:val="0"/>
        <w:snapToGrid w:val="0"/>
        <w:spacing w:line="360" w:lineRule="auto"/>
        <w:ind w:firstLine="482" w:firstLineChars="200"/>
        <w:rPr>
          <w:b/>
          <w:kern w:val="0"/>
          <w:sz w:val="24"/>
        </w:rPr>
      </w:pPr>
      <w:r>
        <w:rPr>
          <w:rFonts w:hAnsi="宋体"/>
          <w:b/>
          <w:kern w:val="0"/>
          <w:sz w:val="24"/>
        </w:rPr>
        <w:t>（三）基金管理人对基金托管人的业务核查</w:t>
      </w:r>
    </w:p>
    <w:p>
      <w:pPr>
        <w:widowControl/>
        <w:adjustRightInd w:val="0"/>
        <w:snapToGrid w:val="0"/>
        <w:spacing w:line="360" w:lineRule="auto"/>
        <w:ind w:firstLine="480" w:firstLineChars="200"/>
        <w:rPr>
          <w:sz w:val="24"/>
          <w:szCs w:val="24"/>
        </w:rPr>
      </w:pPr>
      <w:r>
        <w:rPr>
          <w:rFonts w:hint="eastAsia"/>
          <w:sz w:val="24"/>
          <w:szCs w:val="24"/>
        </w:rPr>
        <w:t>1、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p>
    <w:p>
      <w:pPr>
        <w:widowControl/>
        <w:adjustRightInd w:val="0"/>
        <w:snapToGrid w:val="0"/>
        <w:spacing w:line="360" w:lineRule="auto"/>
        <w:ind w:firstLine="480" w:firstLineChars="200"/>
        <w:rPr>
          <w:sz w:val="24"/>
          <w:szCs w:val="24"/>
        </w:rPr>
      </w:pPr>
      <w:r>
        <w:rPr>
          <w:rFonts w:hint="eastAsia"/>
          <w:sz w:val="24"/>
          <w:szCs w:val="24"/>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pPr>
        <w:widowControl/>
        <w:adjustRightInd w:val="0"/>
        <w:snapToGrid w:val="0"/>
        <w:spacing w:line="360" w:lineRule="auto"/>
        <w:ind w:firstLine="480" w:firstLineChars="200"/>
        <w:rPr>
          <w:sz w:val="24"/>
          <w:szCs w:val="24"/>
        </w:rPr>
      </w:pPr>
      <w:r>
        <w:rPr>
          <w:rFonts w:hint="eastAsia"/>
          <w:sz w:val="24"/>
          <w:szCs w:val="24"/>
        </w:rPr>
        <w:t>3、基金管理人发现基金托管人有重大违规行为，应立即报告中国证监会和银行业监督管理机构，同时通知基金托管人限期纠正。</w:t>
      </w:r>
    </w:p>
    <w:p>
      <w:pPr>
        <w:widowControl/>
        <w:adjustRightInd w:val="0"/>
        <w:snapToGrid w:val="0"/>
        <w:spacing w:line="360" w:lineRule="auto"/>
        <w:ind w:firstLine="480" w:firstLineChars="200"/>
        <w:rPr>
          <w:sz w:val="24"/>
          <w:szCs w:val="24"/>
        </w:rPr>
      </w:pPr>
      <w:r>
        <w:rPr>
          <w:rFonts w:hint="eastAsia"/>
          <w:sz w:val="24"/>
          <w:szCs w:val="24"/>
        </w:rPr>
        <w:t>4、基金托管人应积极配合基金管理人的核查行为，包括但不限于：提交相关资料以供基金管理人核查托管财产的完整性和真实性，在规定时间内答复基金管理人并改正。</w:t>
      </w:r>
    </w:p>
    <w:p>
      <w:pPr>
        <w:widowControl/>
        <w:adjustRightInd w:val="0"/>
        <w:snapToGrid w:val="0"/>
        <w:spacing w:line="360" w:lineRule="auto"/>
        <w:ind w:firstLine="480" w:firstLineChars="200"/>
        <w:rPr>
          <w:sz w:val="24"/>
          <w:szCs w:val="24"/>
        </w:rPr>
      </w:pPr>
      <w:r>
        <w:rPr>
          <w:rFonts w:hint="eastAsia"/>
          <w:sz w:val="24"/>
          <w:szCs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pPr>
        <w:widowControl/>
        <w:adjustRightInd w:val="0"/>
        <w:snapToGrid w:val="0"/>
        <w:spacing w:line="360" w:lineRule="auto"/>
        <w:ind w:firstLine="482" w:firstLineChars="200"/>
        <w:rPr>
          <w:b/>
          <w:kern w:val="0"/>
          <w:sz w:val="24"/>
        </w:rPr>
      </w:pPr>
      <w:r>
        <w:rPr>
          <w:rFonts w:hAnsi="宋体"/>
          <w:b/>
          <w:kern w:val="0"/>
          <w:sz w:val="24"/>
        </w:rPr>
        <w:t>（四）基金财产保管</w:t>
      </w:r>
      <w:r>
        <w:rPr>
          <w:b/>
          <w:kern w:val="0"/>
          <w:sz w:val="24"/>
        </w:rPr>
        <w:t xml:space="preserve"> </w:t>
      </w:r>
    </w:p>
    <w:p>
      <w:pPr>
        <w:adjustRightInd w:val="0"/>
        <w:snapToGrid w:val="0"/>
        <w:spacing w:line="360" w:lineRule="auto"/>
        <w:ind w:firstLine="480" w:firstLineChars="200"/>
        <w:rPr>
          <w:sz w:val="24"/>
        </w:rPr>
      </w:pPr>
      <w:r>
        <w:rPr>
          <w:sz w:val="24"/>
        </w:rPr>
        <w:t>1</w:t>
      </w:r>
      <w:r>
        <w:rPr>
          <w:rFonts w:hAnsi="宋体"/>
          <w:sz w:val="24"/>
        </w:rPr>
        <w:t>、基金财产保管的原则</w:t>
      </w:r>
    </w:p>
    <w:p>
      <w:pPr>
        <w:widowControl/>
        <w:adjustRightInd w:val="0"/>
        <w:snapToGrid w:val="0"/>
        <w:spacing w:line="360" w:lineRule="auto"/>
        <w:ind w:firstLine="480" w:firstLineChars="200"/>
        <w:rPr>
          <w:sz w:val="24"/>
          <w:szCs w:val="24"/>
        </w:rPr>
      </w:pPr>
      <w:r>
        <w:rPr>
          <w:rFonts w:hint="eastAsia"/>
          <w:sz w:val="24"/>
          <w:szCs w:val="24"/>
        </w:rPr>
        <w:t>（1）基金财产应独立于基金管理人、基金托管人的固有财产。</w:t>
      </w:r>
    </w:p>
    <w:p>
      <w:pPr>
        <w:widowControl/>
        <w:adjustRightInd w:val="0"/>
        <w:snapToGrid w:val="0"/>
        <w:spacing w:line="360" w:lineRule="auto"/>
        <w:ind w:firstLine="480" w:firstLineChars="200"/>
        <w:rPr>
          <w:sz w:val="24"/>
          <w:szCs w:val="24"/>
        </w:rPr>
      </w:pPr>
      <w:r>
        <w:rPr>
          <w:rFonts w:hint="eastAsia"/>
          <w:sz w:val="24"/>
          <w:szCs w:val="24"/>
        </w:rPr>
        <w:t>（2）基金托管人应安全保管基金财产。除依据法律法规规定、基金合同和本托管协议约定及基金管理人的正当指令外，不得自行运用、处分、分配基金的任何财产。</w:t>
      </w:r>
    </w:p>
    <w:p>
      <w:pPr>
        <w:widowControl/>
        <w:adjustRightInd w:val="0"/>
        <w:snapToGrid w:val="0"/>
        <w:spacing w:line="360" w:lineRule="auto"/>
        <w:ind w:firstLine="480" w:firstLineChars="200"/>
        <w:rPr>
          <w:sz w:val="24"/>
          <w:szCs w:val="24"/>
        </w:rPr>
      </w:pPr>
      <w:r>
        <w:rPr>
          <w:rFonts w:hint="eastAsia"/>
          <w:sz w:val="24"/>
          <w:szCs w:val="24"/>
        </w:rPr>
        <w:t>（3）基金托管人按照规定开设基金财产的资金账户和证券账户，协助开立股指期货业务相关账户及交易编码。</w:t>
      </w:r>
    </w:p>
    <w:p>
      <w:pPr>
        <w:widowControl/>
        <w:adjustRightInd w:val="0"/>
        <w:snapToGrid w:val="0"/>
        <w:spacing w:line="360" w:lineRule="auto"/>
        <w:ind w:firstLine="480" w:firstLineChars="200"/>
        <w:rPr>
          <w:sz w:val="24"/>
          <w:szCs w:val="24"/>
        </w:rPr>
      </w:pPr>
      <w:r>
        <w:rPr>
          <w:rFonts w:hint="eastAsia"/>
          <w:sz w:val="24"/>
          <w:szCs w:val="24"/>
        </w:rPr>
        <w:t>（4）基金托管人对所托管的不同基金财产分别设置账户，与基金托管人的其他业务和其他基金的托管业务实行严格的分账管理，确保基金财产的完整与独立。</w:t>
      </w:r>
    </w:p>
    <w:p>
      <w:pPr>
        <w:widowControl/>
        <w:adjustRightInd w:val="0"/>
        <w:snapToGrid w:val="0"/>
        <w:spacing w:line="360" w:lineRule="auto"/>
        <w:ind w:firstLine="480" w:firstLineChars="200"/>
        <w:rPr>
          <w:sz w:val="24"/>
          <w:szCs w:val="24"/>
        </w:rPr>
      </w:pPr>
      <w:r>
        <w:rPr>
          <w:rFonts w:hint="eastAsia"/>
          <w:sz w:val="24"/>
          <w:szCs w:val="24"/>
        </w:rPr>
        <w:t>（5）基金托管人根据基金管理人的指令，按照基金合同和本协议的约定保管基金财产，如有特殊情况双方可另行协商解决。</w:t>
      </w:r>
    </w:p>
    <w:p>
      <w:pPr>
        <w:widowControl/>
        <w:adjustRightInd w:val="0"/>
        <w:snapToGrid w:val="0"/>
        <w:spacing w:line="360" w:lineRule="auto"/>
        <w:ind w:firstLine="480" w:firstLineChars="200"/>
        <w:rPr>
          <w:sz w:val="24"/>
        </w:rPr>
      </w:pPr>
      <w:r>
        <w:rPr>
          <w:rFonts w:hint="eastAsia"/>
          <w:sz w:val="24"/>
          <w:szCs w:val="24"/>
        </w:rPr>
        <w:t>（6）除依据法律法规和基金合同的规定外，基金托管人不得委托第三人托管基金资产。</w:t>
      </w:r>
    </w:p>
    <w:p>
      <w:pPr>
        <w:adjustRightInd w:val="0"/>
        <w:snapToGrid w:val="0"/>
        <w:spacing w:line="360" w:lineRule="auto"/>
        <w:ind w:firstLine="480" w:firstLineChars="200"/>
        <w:rPr>
          <w:sz w:val="24"/>
        </w:rPr>
      </w:pPr>
      <w:r>
        <w:rPr>
          <w:sz w:val="24"/>
        </w:rPr>
        <w:t>2</w:t>
      </w:r>
      <w:r>
        <w:rPr>
          <w:rFonts w:hAnsi="宋体"/>
          <w:sz w:val="24"/>
        </w:rPr>
        <w:t>、募集资金的验资</w:t>
      </w:r>
    </w:p>
    <w:p>
      <w:pPr>
        <w:adjustRightInd w:val="0"/>
        <w:snapToGrid w:val="0"/>
        <w:spacing w:line="360" w:lineRule="auto"/>
        <w:ind w:firstLine="480" w:firstLineChars="200"/>
        <w:rPr>
          <w:sz w:val="24"/>
          <w:szCs w:val="24"/>
        </w:rPr>
      </w:pPr>
      <w:r>
        <w:rPr>
          <w:rFonts w:hint="eastAsia"/>
          <w:sz w:val="24"/>
          <w:szCs w:val="24"/>
        </w:rPr>
        <w:t>交银施罗德中证环境治理指数型证券投资基金（LOF）由交银施罗德中证环境治理指数分级证券投资基金转型而来。交银施罗德中证环境治理指数分级证券投资基金经2015 年5月20日中国证监会证监许可【2015】940号文准予募集注册，基金管理人为交银施罗德基金管理有限公司，基金托管人为中信银行股份有限公司。经中国证监会书面确认，《交银施罗德中证环境治理指数分级证券投资基金基金合同》于2015年8月13日生效。具体募集情况如下：</w:t>
      </w:r>
    </w:p>
    <w:p>
      <w:pPr>
        <w:widowControl/>
        <w:adjustRightInd w:val="0"/>
        <w:snapToGrid w:val="0"/>
        <w:spacing w:line="360" w:lineRule="auto"/>
        <w:ind w:firstLine="480" w:firstLineChars="200"/>
        <w:rPr>
          <w:sz w:val="24"/>
        </w:rPr>
      </w:pPr>
      <w:r>
        <w:rPr>
          <w:rFonts w:hint="eastAsia"/>
          <w:sz w:val="24"/>
          <w:szCs w:val="24"/>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证环境治理指数分级证券投资基金托管专户。该基金按照每份基金份额面值1.00 元人民币计算，募集期间募集资金及其利息结转的基金份额共计300,995,591.75份。</w:t>
      </w:r>
    </w:p>
    <w:p>
      <w:pPr>
        <w:adjustRightInd w:val="0"/>
        <w:snapToGrid w:val="0"/>
        <w:spacing w:line="360" w:lineRule="auto"/>
        <w:ind w:firstLine="480" w:firstLineChars="200"/>
        <w:rPr>
          <w:sz w:val="24"/>
        </w:rPr>
      </w:pPr>
      <w:r>
        <w:rPr>
          <w:sz w:val="24"/>
        </w:rPr>
        <w:t>3</w:t>
      </w:r>
      <w:r>
        <w:rPr>
          <w:rFonts w:hAnsi="宋体"/>
          <w:sz w:val="24"/>
        </w:rPr>
        <w:t>、基金</w:t>
      </w:r>
      <w:r>
        <w:rPr>
          <w:rFonts w:hint="eastAsia" w:hAnsi="宋体"/>
          <w:sz w:val="24"/>
        </w:rPr>
        <w:t>的银行</w:t>
      </w:r>
      <w:r>
        <w:rPr>
          <w:rFonts w:hAnsi="宋体"/>
          <w:sz w:val="24"/>
        </w:rPr>
        <w:t>账户的开立和管理</w:t>
      </w:r>
    </w:p>
    <w:p>
      <w:pPr>
        <w:widowControl/>
        <w:adjustRightInd w:val="0"/>
        <w:snapToGrid w:val="0"/>
        <w:spacing w:line="360" w:lineRule="auto"/>
        <w:ind w:firstLine="480" w:firstLineChars="200"/>
        <w:rPr>
          <w:sz w:val="24"/>
          <w:szCs w:val="24"/>
        </w:rPr>
      </w:pPr>
      <w:r>
        <w:rPr>
          <w:rFonts w:hint="eastAsia"/>
          <w:sz w:val="24"/>
          <w:szCs w:val="24"/>
        </w:rPr>
        <w:t>（1）基金托管人以本基金的名义在其营业机构开立基金的银行账户，并根据基金管理人合法合规的指令办理资金收付。本基金的银行预留印鉴由基金托管人刻制、保管和使用。</w:t>
      </w:r>
    </w:p>
    <w:p>
      <w:pPr>
        <w:widowControl/>
        <w:adjustRightInd w:val="0"/>
        <w:snapToGrid w:val="0"/>
        <w:spacing w:line="360" w:lineRule="auto"/>
        <w:ind w:firstLine="480" w:firstLineChars="200"/>
        <w:rPr>
          <w:sz w:val="24"/>
          <w:szCs w:val="24"/>
        </w:rPr>
      </w:pPr>
      <w:r>
        <w:rPr>
          <w:rFonts w:hint="eastAsia"/>
          <w:sz w:val="24"/>
          <w:szCs w:val="24"/>
        </w:rPr>
        <w:t>（2）基金银行账户的开立和使用，限于满足开展本基金业务的需要。基金托管人和基金管理人不得假借本基金的名义开立任何其他银行账户；亦不得使用本基金的任何账户进行本基金业务以外的活动。</w:t>
      </w:r>
    </w:p>
    <w:p>
      <w:pPr>
        <w:widowControl/>
        <w:adjustRightInd w:val="0"/>
        <w:snapToGrid w:val="0"/>
        <w:spacing w:line="360" w:lineRule="auto"/>
        <w:ind w:firstLine="480" w:firstLineChars="200"/>
        <w:rPr>
          <w:sz w:val="24"/>
          <w:szCs w:val="24"/>
        </w:rPr>
      </w:pPr>
      <w:r>
        <w:rPr>
          <w:rFonts w:hint="eastAsia"/>
          <w:sz w:val="24"/>
          <w:szCs w:val="24"/>
        </w:rPr>
        <w:t>（3）基金银行账户的开立和管理应符合有关法律法规以及银行业监督管理机构的有关规定。</w:t>
      </w:r>
    </w:p>
    <w:p>
      <w:pPr>
        <w:adjustRightInd w:val="0"/>
        <w:snapToGrid w:val="0"/>
        <w:spacing w:line="360" w:lineRule="auto"/>
        <w:ind w:firstLine="480" w:firstLineChars="200"/>
        <w:rPr>
          <w:sz w:val="24"/>
        </w:rPr>
      </w:pPr>
      <w:r>
        <w:rPr>
          <w:sz w:val="24"/>
        </w:rPr>
        <w:t>4</w:t>
      </w:r>
      <w:r>
        <w:rPr>
          <w:rFonts w:hAnsi="宋体"/>
          <w:sz w:val="24"/>
        </w:rPr>
        <w:t>、</w:t>
      </w:r>
      <w:r>
        <w:rPr>
          <w:rFonts w:hint="eastAsia" w:hAnsi="宋体"/>
          <w:sz w:val="24"/>
        </w:rPr>
        <w:t>基金证券账户与证券交易资金账户的开设和管理</w:t>
      </w:r>
    </w:p>
    <w:p>
      <w:pPr>
        <w:widowControl/>
        <w:adjustRightInd w:val="0"/>
        <w:snapToGrid w:val="0"/>
        <w:spacing w:line="360" w:lineRule="auto"/>
        <w:ind w:firstLine="480" w:firstLineChars="200"/>
        <w:rPr>
          <w:sz w:val="24"/>
          <w:szCs w:val="24"/>
        </w:rPr>
      </w:pPr>
      <w:r>
        <w:rPr>
          <w:rFonts w:hint="eastAsia"/>
          <w:sz w:val="24"/>
          <w:szCs w:val="24"/>
        </w:rPr>
        <w:t>（1）基金托管人以基金托管人和本基金联名的方式在中国证券登记结算有限责任公司上海分公司/深圳分公司开设证券账户。</w:t>
      </w:r>
    </w:p>
    <w:p>
      <w:pPr>
        <w:widowControl/>
        <w:adjustRightInd w:val="0"/>
        <w:snapToGrid w:val="0"/>
        <w:spacing w:line="360" w:lineRule="auto"/>
        <w:ind w:firstLine="480" w:firstLineChars="200"/>
        <w:rPr>
          <w:sz w:val="24"/>
          <w:szCs w:val="24"/>
        </w:rPr>
      </w:pPr>
      <w:r>
        <w:rPr>
          <w:rFonts w:hint="eastAsia"/>
          <w:sz w:val="24"/>
          <w:szCs w:val="24"/>
        </w:rPr>
        <w:t>（2）基金托管人以基金托管人的名义在中国证券登记结算有限责任公司上海分公司/深圳分公司开立基金证券交易资金账户，用于证券清算。</w:t>
      </w:r>
    </w:p>
    <w:p>
      <w:pPr>
        <w:widowControl/>
        <w:adjustRightInd w:val="0"/>
        <w:snapToGrid w:val="0"/>
        <w:spacing w:line="360" w:lineRule="auto"/>
        <w:ind w:firstLine="480" w:firstLineChars="200"/>
        <w:rPr>
          <w:sz w:val="24"/>
        </w:rPr>
      </w:pPr>
      <w:r>
        <w:rPr>
          <w:rFonts w:hint="eastAsia"/>
          <w:sz w:val="24"/>
          <w:szCs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pPr>
        <w:adjustRightInd w:val="0"/>
        <w:snapToGrid w:val="0"/>
        <w:spacing w:line="360" w:lineRule="auto"/>
        <w:ind w:firstLine="480" w:firstLineChars="200"/>
        <w:rPr>
          <w:sz w:val="24"/>
        </w:rPr>
      </w:pPr>
      <w:r>
        <w:rPr>
          <w:sz w:val="24"/>
        </w:rPr>
        <w:t>5</w:t>
      </w:r>
      <w:r>
        <w:rPr>
          <w:rFonts w:hAnsi="宋体"/>
          <w:sz w:val="24"/>
        </w:rPr>
        <w:t>、债券托管</w:t>
      </w:r>
      <w:r>
        <w:rPr>
          <w:rFonts w:hint="eastAsia" w:hAnsi="宋体"/>
          <w:sz w:val="24"/>
        </w:rPr>
        <w:t>账户</w:t>
      </w:r>
      <w:r>
        <w:rPr>
          <w:rFonts w:hAnsi="宋体"/>
          <w:sz w:val="24"/>
        </w:rPr>
        <w:t>的</w:t>
      </w:r>
      <w:r>
        <w:rPr>
          <w:rFonts w:hint="eastAsia" w:hAnsi="宋体"/>
          <w:sz w:val="24"/>
        </w:rPr>
        <w:t>开立</w:t>
      </w:r>
      <w:r>
        <w:rPr>
          <w:rFonts w:hAnsi="宋体"/>
          <w:sz w:val="24"/>
        </w:rPr>
        <w:t>和管理</w:t>
      </w:r>
    </w:p>
    <w:p>
      <w:pPr>
        <w:widowControl/>
        <w:adjustRightInd w:val="0"/>
        <w:snapToGrid w:val="0"/>
        <w:spacing w:line="360" w:lineRule="auto"/>
        <w:ind w:firstLine="480" w:firstLineChars="200"/>
        <w:rPr>
          <w:sz w:val="24"/>
          <w:szCs w:val="24"/>
        </w:rPr>
      </w:pPr>
      <w:r>
        <w:rPr>
          <w:rFonts w:hint="eastAsia"/>
          <w:sz w:val="24"/>
          <w:szCs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pPr>
        <w:widowControl/>
        <w:adjustRightInd w:val="0"/>
        <w:snapToGrid w:val="0"/>
        <w:spacing w:line="360" w:lineRule="auto"/>
        <w:ind w:firstLine="480" w:firstLineChars="200"/>
        <w:rPr>
          <w:sz w:val="24"/>
          <w:szCs w:val="24"/>
        </w:rPr>
      </w:pPr>
      <w:r>
        <w:rPr>
          <w:rFonts w:hint="eastAsia"/>
          <w:sz w:val="24"/>
          <w:szCs w:val="24"/>
        </w:rPr>
        <w:t>（2）基金管理人和基金托管人应一起负责为本基金对外签订全国银行间国债市场回购主协议，正本由基金托管人保管，基金管理人保存副本。</w:t>
      </w:r>
    </w:p>
    <w:p>
      <w:pPr>
        <w:adjustRightInd w:val="0"/>
        <w:snapToGrid w:val="0"/>
        <w:spacing w:line="360" w:lineRule="auto"/>
        <w:ind w:firstLine="480" w:firstLineChars="200"/>
        <w:rPr>
          <w:sz w:val="24"/>
        </w:rPr>
      </w:pPr>
      <w:r>
        <w:rPr>
          <w:sz w:val="24"/>
        </w:rPr>
        <w:t>6</w:t>
      </w:r>
      <w:r>
        <w:rPr>
          <w:rFonts w:hAnsi="宋体"/>
          <w:sz w:val="24"/>
        </w:rPr>
        <w:t>、其他账户的</w:t>
      </w:r>
      <w:r>
        <w:rPr>
          <w:rFonts w:hint="eastAsia" w:hAnsi="宋体"/>
          <w:sz w:val="24"/>
        </w:rPr>
        <w:t>开设</w:t>
      </w:r>
      <w:r>
        <w:rPr>
          <w:rFonts w:hAnsi="宋体"/>
          <w:sz w:val="24"/>
        </w:rPr>
        <w:t>和管理</w:t>
      </w:r>
    </w:p>
    <w:p>
      <w:pPr>
        <w:widowControl/>
        <w:adjustRightInd w:val="0"/>
        <w:snapToGrid w:val="0"/>
        <w:spacing w:line="360" w:lineRule="auto"/>
        <w:ind w:firstLine="480" w:firstLineChars="200"/>
        <w:rPr>
          <w:sz w:val="24"/>
          <w:szCs w:val="24"/>
        </w:rPr>
      </w:pPr>
      <w:r>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djustRightInd w:val="0"/>
        <w:snapToGrid w:val="0"/>
        <w:spacing w:line="360" w:lineRule="auto"/>
        <w:ind w:firstLine="480" w:firstLineChars="200"/>
        <w:rPr>
          <w:sz w:val="24"/>
        </w:rPr>
      </w:pPr>
      <w:r>
        <w:rPr>
          <w:sz w:val="24"/>
        </w:rPr>
        <w:t>7</w:t>
      </w:r>
      <w:r>
        <w:rPr>
          <w:rFonts w:hAnsi="宋体"/>
          <w:sz w:val="24"/>
        </w:rPr>
        <w:t>、基金财产投资的有关</w:t>
      </w:r>
      <w:r>
        <w:rPr>
          <w:rFonts w:hint="eastAsia" w:hAnsi="宋体"/>
          <w:sz w:val="24"/>
        </w:rPr>
        <w:t>实物证券</w:t>
      </w:r>
      <w:r>
        <w:rPr>
          <w:rFonts w:hAnsi="宋体"/>
          <w:sz w:val="24"/>
        </w:rPr>
        <w:t>、银行定期存款存单等有价凭证的保管</w:t>
      </w:r>
    </w:p>
    <w:p>
      <w:pPr>
        <w:widowControl/>
        <w:adjustRightInd w:val="0"/>
        <w:snapToGrid w:val="0"/>
        <w:spacing w:line="360" w:lineRule="auto"/>
        <w:ind w:firstLine="480" w:firstLineChars="200"/>
        <w:rPr>
          <w:sz w:val="24"/>
        </w:rPr>
      </w:pPr>
      <w:r>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pPr>
        <w:adjustRightInd w:val="0"/>
        <w:snapToGrid w:val="0"/>
        <w:spacing w:line="360" w:lineRule="auto"/>
        <w:ind w:firstLine="480" w:firstLineChars="200"/>
        <w:rPr>
          <w:sz w:val="24"/>
        </w:rPr>
      </w:pPr>
      <w:r>
        <w:rPr>
          <w:sz w:val="24"/>
        </w:rPr>
        <w:t>8</w:t>
      </w:r>
      <w:r>
        <w:rPr>
          <w:rFonts w:hAnsi="宋体"/>
          <w:sz w:val="24"/>
        </w:rPr>
        <w:t>、与基金财产有关的重大合同的保管</w:t>
      </w:r>
    </w:p>
    <w:p>
      <w:pPr>
        <w:widowControl/>
        <w:adjustRightInd w:val="0"/>
        <w:snapToGrid w:val="0"/>
        <w:spacing w:line="360" w:lineRule="auto"/>
        <w:ind w:firstLine="480" w:firstLineChars="200"/>
        <w:rPr>
          <w:sz w:val="24"/>
          <w:szCs w:val="24"/>
        </w:rPr>
      </w:pPr>
      <w:r>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pPr>
        <w:widowControl/>
        <w:adjustRightInd w:val="0"/>
        <w:snapToGrid w:val="0"/>
        <w:spacing w:line="360" w:lineRule="auto"/>
        <w:ind w:firstLine="482" w:firstLineChars="200"/>
        <w:rPr>
          <w:b/>
          <w:kern w:val="0"/>
          <w:sz w:val="24"/>
        </w:rPr>
      </w:pPr>
      <w:r>
        <w:rPr>
          <w:rFonts w:hAnsi="宋体"/>
          <w:b/>
          <w:kern w:val="0"/>
          <w:sz w:val="24"/>
        </w:rPr>
        <w:t>（五）基金资产净值计算</w:t>
      </w:r>
      <w:r>
        <w:rPr>
          <w:rFonts w:hint="eastAsia" w:hAnsi="宋体"/>
          <w:b/>
          <w:kern w:val="0"/>
          <w:sz w:val="24"/>
        </w:rPr>
        <w:t>与复核</w:t>
      </w:r>
    </w:p>
    <w:p>
      <w:pPr>
        <w:widowControl/>
        <w:adjustRightInd w:val="0"/>
        <w:snapToGrid w:val="0"/>
        <w:spacing w:line="360" w:lineRule="auto"/>
        <w:ind w:firstLine="480" w:firstLineChars="200"/>
        <w:rPr>
          <w:kern w:val="0"/>
          <w:sz w:val="24"/>
        </w:rPr>
      </w:pPr>
      <w:r>
        <w:rPr>
          <w:kern w:val="0"/>
          <w:sz w:val="24"/>
        </w:rPr>
        <w:t>1、</w:t>
      </w:r>
      <w:bookmarkStart w:id="120" w:name="_Toc311810257"/>
      <w:r>
        <w:rPr>
          <w:rFonts w:hint="eastAsia"/>
          <w:kern w:val="0"/>
          <w:sz w:val="24"/>
        </w:rPr>
        <w:t>基金资产净值是指基金资产总值减去负债后的价值。基金份额净值计算以基金合同约定为准。基金份额净值的计算保留到小数点后3位，小数点后第4位四舍五入，由此产生的误差计入基金财产。</w:t>
      </w:r>
    </w:p>
    <w:p>
      <w:pPr>
        <w:widowControl/>
        <w:adjustRightInd w:val="0"/>
        <w:snapToGrid w:val="0"/>
        <w:spacing w:line="360" w:lineRule="auto"/>
        <w:ind w:firstLine="480" w:firstLineChars="200"/>
        <w:rPr>
          <w:kern w:val="0"/>
          <w:sz w:val="24"/>
        </w:rPr>
      </w:pPr>
      <w:r>
        <w:rPr>
          <w:kern w:val="0"/>
          <w:sz w:val="24"/>
        </w:rPr>
        <w:t>2、</w:t>
      </w:r>
      <w:r>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p>
    <w:p>
      <w:pPr>
        <w:widowControl/>
        <w:adjustRightInd w:val="0"/>
        <w:snapToGrid w:val="0"/>
        <w:spacing w:line="360" w:lineRule="auto"/>
        <w:ind w:firstLine="480" w:firstLineChars="200"/>
        <w:rPr>
          <w:kern w:val="0"/>
          <w:sz w:val="24"/>
        </w:rPr>
      </w:pPr>
      <w:r>
        <w:rPr>
          <w:rFonts w:hint="eastAsia"/>
          <w:kern w:val="0"/>
          <w:sz w:val="24"/>
        </w:rPr>
        <w:t>3、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pPr>
        <w:widowControl/>
        <w:adjustRightInd w:val="0"/>
        <w:snapToGrid w:val="0"/>
        <w:spacing w:line="360" w:lineRule="auto"/>
        <w:ind w:firstLine="482" w:firstLineChars="200"/>
        <w:rPr>
          <w:b/>
          <w:kern w:val="0"/>
          <w:sz w:val="24"/>
        </w:rPr>
      </w:pPr>
      <w:r>
        <w:rPr>
          <w:rFonts w:hAnsi="宋体"/>
          <w:b/>
          <w:kern w:val="0"/>
          <w:sz w:val="24"/>
        </w:rPr>
        <w:t>（六）基金份额持有人名册的</w:t>
      </w:r>
      <w:r>
        <w:rPr>
          <w:rFonts w:hint="eastAsia" w:hAnsi="宋体"/>
          <w:b/>
          <w:kern w:val="0"/>
          <w:sz w:val="24"/>
        </w:rPr>
        <w:t>登记与</w:t>
      </w:r>
      <w:r>
        <w:rPr>
          <w:rFonts w:hAnsi="宋体"/>
          <w:b/>
          <w:kern w:val="0"/>
          <w:sz w:val="24"/>
        </w:rPr>
        <w:t>保管</w:t>
      </w:r>
    </w:p>
    <w:p>
      <w:pPr>
        <w:widowControl/>
        <w:adjustRightInd w:val="0"/>
        <w:snapToGrid w:val="0"/>
        <w:spacing w:line="360" w:lineRule="auto"/>
        <w:ind w:firstLine="480" w:firstLineChars="200"/>
        <w:rPr>
          <w:sz w:val="24"/>
          <w:szCs w:val="24"/>
        </w:rPr>
      </w:pPr>
      <w:r>
        <w:rPr>
          <w:rFonts w:hint="eastAsia"/>
          <w:sz w:val="24"/>
          <w:szCs w:val="24"/>
        </w:rPr>
        <w:t>1、基金管理人和基金托管人须分别妥善保管的基金份额持有人名册，基金份额持有人名册的内容必须包括基金份额持有人的名称和持有的基金份额。</w:t>
      </w:r>
    </w:p>
    <w:p>
      <w:pPr>
        <w:widowControl/>
        <w:adjustRightInd w:val="0"/>
        <w:snapToGrid w:val="0"/>
        <w:spacing w:line="360" w:lineRule="auto"/>
        <w:ind w:firstLine="480" w:firstLineChars="200"/>
        <w:rPr>
          <w:sz w:val="24"/>
          <w:szCs w:val="24"/>
        </w:rPr>
      </w:pPr>
      <w:r>
        <w:rPr>
          <w:rFonts w:hint="eastAsia"/>
          <w:sz w:val="24"/>
          <w:szCs w:val="24"/>
        </w:rPr>
        <w:t>2、基金份额持有人名册由基金的登记机构根据基金管理人的指令编制和保管，基金管理人和基金托管人应按照目前相关规则分别保管基金份额持有人名册。保管方式可以采用电子或文档的形式。保管期限为15年。</w:t>
      </w:r>
    </w:p>
    <w:p>
      <w:pPr>
        <w:widowControl/>
        <w:adjustRightInd w:val="0"/>
        <w:snapToGrid w:val="0"/>
        <w:spacing w:line="360" w:lineRule="auto"/>
        <w:ind w:firstLine="480" w:firstLineChars="200"/>
        <w:rPr>
          <w:sz w:val="24"/>
          <w:szCs w:val="24"/>
        </w:rPr>
      </w:pPr>
      <w:r>
        <w:rPr>
          <w:rFonts w:hint="eastAsia"/>
          <w:sz w:val="24"/>
          <w:szCs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pPr>
        <w:widowControl/>
        <w:adjustRightInd w:val="0"/>
        <w:snapToGrid w:val="0"/>
        <w:spacing w:line="360" w:lineRule="auto"/>
        <w:ind w:firstLine="480" w:firstLineChars="200"/>
        <w:rPr>
          <w:sz w:val="24"/>
          <w:szCs w:val="24"/>
        </w:rPr>
      </w:pPr>
      <w:r>
        <w:rPr>
          <w:rFonts w:hint="eastAsia"/>
          <w:sz w:val="24"/>
          <w:szCs w:val="24"/>
        </w:rPr>
        <w:t>4、若基金管理人或基金托管人由于自身原因无法妥善保管基金份额持有人名册，应按有关法规规定各自承担相应的责任。</w:t>
      </w:r>
    </w:p>
    <w:p>
      <w:pPr>
        <w:widowControl/>
        <w:adjustRightInd w:val="0"/>
        <w:snapToGrid w:val="0"/>
        <w:spacing w:line="360" w:lineRule="auto"/>
        <w:ind w:firstLine="482" w:firstLineChars="200"/>
        <w:rPr>
          <w:b/>
          <w:kern w:val="0"/>
          <w:sz w:val="24"/>
        </w:rPr>
      </w:pPr>
      <w:r>
        <w:rPr>
          <w:rFonts w:hAnsi="宋体"/>
          <w:b/>
          <w:kern w:val="0"/>
          <w:sz w:val="24"/>
        </w:rPr>
        <w:t>（七）争议解决方式</w:t>
      </w:r>
    </w:p>
    <w:p>
      <w:pPr>
        <w:widowControl/>
        <w:adjustRightInd w:val="0"/>
        <w:snapToGrid w:val="0"/>
        <w:spacing w:line="360" w:lineRule="auto"/>
        <w:ind w:firstLine="480" w:firstLineChars="200"/>
        <w:rPr>
          <w:sz w:val="24"/>
          <w:szCs w:val="24"/>
        </w:rPr>
      </w:pPr>
      <w:r>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widowControl/>
        <w:adjustRightInd w:val="0"/>
        <w:snapToGrid w:val="0"/>
        <w:spacing w:line="360" w:lineRule="auto"/>
        <w:ind w:firstLine="480" w:firstLineChars="200"/>
        <w:rPr>
          <w:kern w:val="0"/>
          <w:sz w:val="24"/>
        </w:rPr>
      </w:pPr>
      <w:r>
        <w:rPr>
          <w:rFonts w:hint="eastAsia"/>
          <w:sz w:val="24"/>
          <w:szCs w:val="24"/>
        </w:rPr>
        <w:t>本协议受中国法律管辖。</w:t>
      </w:r>
    </w:p>
    <w:p>
      <w:pPr>
        <w:widowControl/>
        <w:adjustRightInd w:val="0"/>
        <w:snapToGrid w:val="0"/>
        <w:spacing w:line="360" w:lineRule="auto"/>
        <w:ind w:firstLine="482" w:firstLineChars="200"/>
        <w:rPr>
          <w:kern w:val="0"/>
          <w:sz w:val="24"/>
        </w:rPr>
      </w:pPr>
      <w:r>
        <w:rPr>
          <w:rFonts w:hAnsi="宋体"/>
          <w:b/>
          <w:kern w:val="0"/>
          <w:sz w:val="24"/>
        </w:rPr>
        <w:t>（八）托管协议的</w:t>
      </w:r>
      <w:r>
        <w:rPr>
          <w:rFonts w:hint="eastAsia" w:hAnsi="宋体"/>
          <w:b/>
          <w:kern w:val="0"/>
          <w:sz w:val="24"/>
        </w:rPr>
        <w:t>变更</w:t>
      </w:r>
      <w:r>
        <w:rPr>
          <w:rFonts w:hAnsi="宋体"/>
          <w:b/>
          <w:kern w:val="0"/>
          <w:sz w:val="24"/>
        </w:rPr>
        <w:t>与终止</w:t>
      </w:r>
      <w:r>
        <w:rPr>
          <w:b/>
          <w:kern w:val="0"/>
          <w:sz w:val="24"/>
        </w:rPr>
        <w:t xml:space="preserve"> </w:t>
      </w:r>
    </w:p>
    <w:p>
      <w:pPr>
        <w:widowControl/>
        <w:adjustRightInd w:val="0"/>
        <w:snapToGrid w:val="0"/>
        <w:spacing w:line="360" w:lineRule="auto"/>
        <w:ind w:firstLine="480" w:firstLineChars="200"/>
        <w:rPr>
          <w:sz w:val="24"/>
          <w:szCs w:val="24"/>
        </w:rPr>
      </w:pPr>
      <w:r>
        <w:rPr>
          <w:rFonts w:hint="eastAsia"/>
          <w:sz w:val="24"/>
          <w:szCs w:val="24"/>
        </w:rPr>
        <w:t>1、托管协议的变更程序</w:t>
      </w:r>
    </w:p>
    <w:p>
      <w:pPr>
        <w:widowControl/>
        <w:adjustRightInd w:val="0"/>
        <w:snapToGrid w:val="0"/>
        <w:spacing w:line="360" w:lineRule="auto"/>
        <w:ind w:firstLine="480" w:firstLineChars="200"/>
        <w:rPr>
          <w:sz w:val="24"/>
          <w:szCs w:val="24"/>
        </w:rPr>
      </w:pPr>
      <w:r>
        <w:rPr>
          <w:rFonts w:hint="eastAsia"/>
          <w:sz w:val="24"/>
          <w:szCs w:val="24"/>
        </w:rPr>
        <w:t>本协议双方当事人经协商一致，可以对协议的内容进行变更。变更后的托管协议，其内容不得与基金合同的规定有任何冲突。本托管协议的变更报中国证监会备案。</w:t>
      </w:r>
    </w:p>
    <w:p>
      <w:pPr>
        <w:widowControl/>
        <w:adjustRightInd w:val="0"/>
        <w:snapToGrid w:val="0"/>
        <w:spacing w:line="360" w:lineRule="auto"/>
        <w:ind w:firstLine="480" w:firstLineChars="200"/>
        <w:rPr>
          <w:sz w:val="24"/>
          <w:szCs w:val="24"/>
        </w:rPr>
      </w:pPr>
      <w:r>
        <w:rPr>
          <w:rFonts w:hint="eastAsia"/>
          <w:sz w:val="24"/>
          <w:szCs w:val="24"/>
        </w:rPr>
        <w:t>2、基金托管协议终止的情形</w:t>
      </w:r>
    </w:p>
    <w:p>
      <w:pPr>
        <w:widowControl/>
        <w:adjustRightInd w:val="0"/>
        <w:snapToGrid w:val="0"/>
        <w:spacing w:line="360" w:lineRule="auto"/>
        <w:ind w:firstLine="480" w:firstLineChars="200"/>
        <w:rPr>
          <w:sz w:val="24"/>
          <w:szCs w:val="24"/>
        </w:rPr>
      </w:pPr>
      <w:r>
        <w:rPr>
          <w:rFonts w:hint="eastAsia"/>
          <w:sz w:val="24"/>
          <w:szCs w:val="24"/>
        </w:rPr>
        <w:t>发生以下情况，本托管协议终止：</w:t>
      </w:r>
    </w:p>
    <w:p>
      <w:pPr>
        <w:widowControl/>
        <w:adjustRightInd w:val="0"/>
        <w:snapToGrid w:val="0"/>
        <w:spacing w:line="360" w:lineRule="auto"/>
        <w:ind w:firstLine="480" w:firstLineChars="200"/>
        <w:rPr>
          <w:sz w:val="24"/>
          <w:szCs w:val="24"/>
        </w:rPr>
      </w:pPr>
      <w:r>
        <w:rPr>
          <w:rFonts w:hint="eastAsia"/>
          <w:sz w:val="24"/>
          <w:szCs w:val="24"/>
        </w:rPr>
        <w:t>（1）基金合同终止；</w:t>
      </w:r>
    </w:p>
    <w:p>
      <w:pPr>
        <w:widowControl/>
        <w:adjustRightInd w:val="0"/>
        <w:snapToGrid w:val="0"/>
        <w:spacing w:line="360" w:lineRule="auto"/>
        <w:ind w:firstLine="480" w:firstLineChars="200"/>
        <w:rPr>
          <w:sz w:val="24"/>
          <w:szCs w:val="24"/>
        </w:rPr>
      </w:pPr>
      <w:r>
        <w:rPr>
          <w:rFonts w:hint="eastAsia"/>
          <w:sz w:val="24"/>
          <w:szCs w:val="24"/>
        </w:rPr>
        <w:t>（2）基金托管人解散、依法被撤销、破产或由其他基金托管人接管基金资产；</w:t>
      </w:r>
    </w:p>
    <w:p>
      <w:pPr>
        <w:widowControl/>
        <w:adjustRightInd w:val="0"/>
        <w:snapToGrid w:val="0"/>
        <w:spacing w:line="360" w:lineRule="auto"/>
        <w:ind w:firstLine="480" w:firstLineChars="200"/>
        <w:rPr>
          <w:sz w:val="24"/>
          <w:szCs w:val="24"/>
        </w:rPr>
      </w:pPr>
      <w:r>
        <w:rPr>
          <w:rFonts w:hint="eastAsia"/>
          <w:sz w:val="24"/>
          <w:szCs w:val="24"/>
        </w:rPr>
        <w:t>（3）基金管理人解散、依法被撤销、破产或由其他基金管理人接管基金管理权；</w:t>
      </w:r>
    </w:p>
    <w:p>
      <w:pPr>
        <w:widowControl/>
        <w:adjustRightInd w:val="0"/>
        <w:snapToGrid w:val="0"/>
        <w:spacing w:line="360" w:lineRule="auto"/>
        <w:ind w:firstLine="480" w:firstLineChars="200"/>
        <w:rPr>
          <w:sz w:val="24"/>
          <w:szCs w:val="24"/>
        </w:rPr>
      </w:pPr>
      <w:r>
        <w:rPr>
          <w:rFonts w:hint="eastAsia"/>
          <w:sz w:val="24"/>
          <w:szCs w:val="24"/>
        </w:rPr>
        <w:t>（4）发生法律法规或基金合同规定的终止事项。</w:t>
      </w:r>
    </w:p>
    <w:bookmarkEnd w:id="113"/>
    <w:bookmarkEnd w:id="114"/>
    <w:bookmarkEnd w:id="115"/>
    <w:bookmarkEnd w:id="116"/>
    <w:bookmarkEnd w:id="117"/>
    <w:p>
      <w:pPr>
        <w:widowControl/>
        <w:adjustRightInd w:val="0"/>
        <w:snapToGrid w:val="0"/>
        <w:spacing w:line="360" w:lineRule="auto"/>
        <w:ind w:firstLine="480" w:firstLineChars="200"/>
        <w:rPr>
          <w:sz w:val="24"/>
          <w:szCs w:val="24"/>
        </w:rPr>
      </w:pPr>
    </w:p>
    <w:p>
      <w:pPr>
        <w:widowControl/>
        <w:adjustRightInd w:val="0"/>
        <w:snapToGrid w:val="0"/>
        <w:spacing w:line="360" w:lineRule="auto"/>
        <w:ind w:firstLine="200"/>
        <w:rPr>
          <w:rFonts w:ascii="宋体" w:hAnsi="宋体"/>
          <w:kern w:val="0"/>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121" w:name="_Toc524440798"/>
      <w:r>
        <w:rPr>
          <w:rFonts w:hint="eastAsia" w:ascii="宋体" w:hAnsi="宋体"/>
          <w:b/>
          <w:kern w:val="0"/>
          <w:sz w:val="30"/>
        </w:rPr>
        <w:t>二十二、对基金份额持有人的服务</w:t>
      </w:r>
      <w:bookmarkEnd w:id="121"/>
    </w:p>
    <w:p>
      <w:pPr>
        <w:widowControl/>
        <w:adjustRightInd w:val="0"/>
        <w:snapToGrid w:val="0"/>
        <w:spacing w:before="143" w:beforeLines="50" w:after="143" w:afterLines="50" w:line="360" w:lineRule="auto"/>
        <w:outlineLvl w:val="1"/>
        <w:rPr>
          <w:kern w:val="0"/>
          <w:sz w:val="24"/>
        </w:rPr>
      </w:pPr>
      <w:r>
        <w:rPr>
          <w:rFonts w:hint="eastAsia" w:hAnsi="宋体"/>
          <w:color w:val="FF0000"/>
          <w:kern w:val="0"/>
          <w:sz w:val="24"/>
        </w:rPr>
        <w:t xml:space="preserve">    </w:t>
      </w:r>
      <w:r>
        <w:rPr>
          <w:rFonts w:hAnsi="宋体"/>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持有人交易资料的寄送服务</w:t>
      </w:r>
    </w:p>
    <w:p>
      <w:pPr>
        <w:widowControl/>
        <w:adjustRightInd w:val="0"/>
        <w:snapToGrid w:val="0"/>
        <w:spacing w:line="360" w:lineRule="auto"/>
        <w:ind w:firstLine="480" w:firstLineChars="200"/>
        <w:outlineLvl w:val="1"/>
        <w:rPr>
          <w:kern w:val="0"/>
          <w:sz w:val="24"/>
        </w:rPr>
      </w:pPr>
      <w:r>
        <w:rPr>
          <w:rFonts w:hint="eastAsia"/>
          <w:kern w:val="0"/>
          <w:sz w:val="24"/>
        </w:rPr>
        <w:t>1、每次交易结束后，投资人可在T+2个工作日后通过销售机构的网点查询和打印确认单；</w:t>
      </w:r>
    </w:p>
    <w:p>
      <w:pPr>
        <w:widowControl/>
        <w:adjustRightInd w:val="0"/>
        <w:snapToGrid w:val="0"/>
        <w:spacing w:line="360" w:lineRule="auto"/>
        <w:ind w:firstLine="480" w:firstLineChars="200"/>
        <w:outlineLvl w:val="1"/>
        <w:rPr>
          <w:kern w:val="0"/>
          <w:sz w:val="24"/>
        </w:rPr>
      </w:pPr>
      <w:r>
        <w:rPr>
          <w:rFonts w:hint="eastAsia"/>
          <w:kern w:val="0"/>
          <w:sz w:val="24"/>
        </w:rPr>
        <w:t>2、本基金管理人将向持有人提供电子或纸质对账单，需要订阅或取消的客户可与本基金管理人客户服务中心（400-700-5000，021-61055000）联系。</w:t>
      </w:r>
    </w:p>
    <w:p>
      <w:pPr>
        <w:widowControl/>
        <w:adjustRightInd w:val="0"/>
        <w:snapToGrid w:val="0"/>
        <w:spacing w:line="360" w:lineRule="auto"/>
        <w:ind w:firstLine="482" w:firstLineChars="200"/>
        <w:outlineLvl w:val="1"/>
        <w:rPr>
          <w:b/>
          <w:kern w:val="0"/>
          <w:sz w:val="24"/>
        </w:rPr>
      </w:pPr>
      <w:r>
        <w:rPr>
          <w:rFonts w:hAnsi="宋体"/>
          <w:b/>
          <w:kern w:val="0"/>
          <w:sz w:val="24"/>
        </w:rPr>
        <w:t>（二）网上</w:t>
      </w:r>
      <w:r>
        <w:rPr>
          <w:rFonts w:hint="eastAsia" w:hAnsi="宋体"/>
          <w:b/>
          <w:kern w:val="0"/>
          <w:sz w:val="24"/>
        </w:rPr>
        <w:t>直销</w:t>
      </w:r>
      <w:r>
        <w:rPr>
          <w:rFonts w:hAnsi="宋体"/>
          <w:b/>
          <w:kern w:val="0"/>
          <w:sz w:val="24"/>
        </w:rPr>
        <w:t>服务</w:t>
      </w:r>
      <w:r>
        <w:rPr>
          <w:b/>
          <w:kern w:val="0"/>
          <w:sz w:val="24"/>
        </w:rPr>
        <w:t xml:space="preserve"> </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Pr>
          <w:rFonts w:hAnsi="宋体"/>
          <w:kern w:val="0"/>
          <w:sz w:val="24"/>
        </w:rPr>
        <w:t>。</w:t>
      </w:r>
    </w:p>
    <w:p>
      <w:pPr>
        <w:widowControl/>
        <w:adjustRightInd w:val="0"/>
        <w:snapToGrid w:val="0"/>
        <w:spacing w:line="360" w:lineRule="auto"/>
        <w:ind w:firstLine="480" w:firstLineChars="200"/>
        <w:rPr>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kern w:val="0"/>
          <w:sz w:val="24"/>
        </w:rPr>
      </w:pPr>
      <w:r>
        <w:rPr>
          <w:rFonts w:hAnsi="宋体"/>
          <w:sz w:val="24"/>
        </w:rPr>
        <w:t>在条件成熟的时候，</w:t>
      </w:r>
      <w:r>
        <w:rPr>
          <w:rFonts w:hAnsi="宋体"/>
          <w:kern w:val="0"/>
          <w:sz w:val="24"/>
        </w:rPr>
        <w:t>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outlineLvl w:val="1"/>
        <w:rPr>
          <w:b/>
          <w:kern w:val="0"/>
          <w:sz w:val="24"/>
        </w:rPr>
      </w:pPr>
      <w:r>
        <w:rPr>
          <w:rFonts w:hAnsi="宋体"/>
          <w:b/>
          <w:kern w:val="0"/>
          <w:sz w:val="24"/>
        </w:rPr>
        <w:t>（三）信息咨询、查询服务</w:t>
      </w:r>
      <w:r>
        <w:rPr>
          <w:b/>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投资人如果想查询</w:t>
      </w:r>
      <w:r>
        <w:rPr>
          <w:rFonts w:hint="eastAsia" w:hAnsi="宋体"/>
          <w:kern w:val="0"/>
          <w:sz w:val="24"/>
        </w:rPr>
        <w:t>基金份额净值、相关公告</w:t>
      </w:r>
      <w:r>
        <w:rPr>
          <w:rFonts w:hAnsi="宋体"/>
          <w:kern w:val="0"/>
          <w:sz w:val="24"/>
        </w:rPr>
        <w:t>、基金产品与服务等信息，请拨打本基金管理人客户服务电话（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pPr>
        <w:widowControl/>
        <w:adjustRightInd w:val="0"/>
        <w:snapToGrid w:val="0"/>
        <w:spacing w:line="360" w:lineRule="auto"/>
        <w:ind w:firstLine="480" w:firstLineChars="200"/>
        <w:rPr>
          <w:kern w:val="0"/>
          <w:sz w:val="24"/>
        </w:rPr>
      </w:pPr>
      <w:r>
        <w:rPr>
          <w:kern w:val="0"/>
          <w:sz w:val="24"/>
        </w:rPr>
        <w:t xml:space="preserve">投资人可以拨打本基金管理人客户服务电话投诉直销机构的人员和服务。 </w:t>
      </w:r>
    </w:p>
    <w:p>
      <w:pPr>
        <w:widowControl/>
        <w:adjustRightInd w:val="0"/>
        <w:snapToGrid w:val="0"/>
        <w:spacing w:line="360" w:lineRule="auto"/>
        <w:ind w:firstLine="482" w:firstLineChars="200"/>
        <w:outlineLvl w:val="1"/>
        <w:rPr>
          <w:b/>
          <w:kern w:val="0"/>
          <w:sz w:val="24"/>
        </w:rPr>
      </w:pPr>
      <w:r>
        <w:rPr>
          <w:rFonts w:hAnsi="宋体"/>
          <w:b/>
          <w:kern w:val="0"/>
          <w:sz w:val="24"/>
        </w:rPr>
        <w:t>（四）基金转换业务</w:t>
      </w:r>
    </w:p>
    <w:p>
      <w:pPr>
        <w:widowControl/>
        <w:adjustRightInd w:val="0"/>
        <w:snapToGrid w:val="0"/>
        <w:spacing w:line="360" w:lineRule="auto"/>
        <w:ind w:firstLine="480" w:firstLineChars="200"/>
        <w:rPr>
          <w:kern w:val="0"/>
          <w:sz w:val="24"/>
        </w:rPr>
      </w:pPr>
      <w:r>
        <w:rPr>
          <w:rFonts w:hAnsi="宋体"/>
          <w:kern w:val="0"/>
          <w:sz w:val="24"/>
        </w:rPr>
        <w:t>在条件成熟时，本基金管理人可通过销售机构为投资人提供基金转换业务服务，具体实施方法另行公告。</w:t>
      </w:r>
      <w:r>
        <w:rPr>
          <w:kern w:val="0"/>
          <w:sz w:val="24"/>
        </w:rPr>
        <w:t xml:space="preserve"> </w:t>
      </w:r>
    </w:p>
    <w:p>
      <w:pPr>
        <w:widowControl/>
        <w:adjustRightInd w:val="0"/>
        <w:snapToGrid w:val="0"/>
        <w:spacing w:line="360" w:lineRule="auto"/>
        <w:ind w:firstLine="482" w:firstLineChars="200"/>
        <w:outlineLvl w:val="1"/>
        <w:rPr>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22" w:name="OLE_LINK11"/>
      <w:r>
        <w:rPr>
          <w:kern w:val="0"/>
          <w:sz w:val="24"/>
        </w:rPr>
        <w:t>管理人可通过销售机构为投资人提供定期定额投资的服务。通过定期定额</w:t>
      </w:r>
      <w:bookmarkEnd w:id="12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kern w:val="0"/>
          <w:sz w:val="24"/>
        </w:rPr>
        <w:t>www.fund001.com</w:t>
      </w:r>
      <w:r>
        <w:rPr>
          <w:kern w:val="0"/>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 xml:space="preserve">投资者也可登录本基金管理人网站，直接提出有关本基金的问题和建议。 </w:t>
      </w:r>
    </w:p>
    <w:p>
      <w:pPr>
        <w:widowControl/>
        <w:adjustRightInd w:val="0"/>
        <w:snapToGrid w:val="0"/>
        <w:spacing w:line="360" w:lineRule="auto"/>
        <w:ind w:firstLine="480" w:firstLineChars="200"/>
        <w:rPr>
          <w:rFonts w:ascii="宋体" w:hAnsi="宋体"/>
          <w:kern w:val="0"/>
          <w:sz w:val="24"/>
        </w:rPr>
      </w:pPr>
    </w:p>
    <w:p>
      <w:pPr>
        <w:widowControl/>
        <w:jc w:val="left"/>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123" w:name="_Toc524440799"/>
      <w:r>
        <w:rPr>
          <w:rFonts w:hint="eastAsia" w:ascii="宋体" w:hAnsi="宋体"/>
          <w:b/>
          <w:kern w:val="0"/>
          <w:sz w:val="30"/>
        </w:rPr>
        <w:t>二十三、其他应披露事项</w:t>
      </w:r>
      <w:bookmarkEnd w:id="12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line="360" w:lineRule="auto"/>
        <w:ind w:firstLine="480" w:firstLineChars="200"/>
        <w:rPr>
          <w:kern w:val="0"/>
          <w:sz w:val="24"/>
        </w:rPr>
      </w:pPr>
      <w:r>
        <w:rPr>
          <w:kern w:val="0"/>
          <w:sz w:val="24"/>
        </w:rPr>
        <w:t>本招募说明书更新期间基金披露的其他重要事项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541"/>
        <w:gridCol w:w="181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6" w:type="pct"/>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序号</w:t>
            </w:r>
          </w:p>
        </w:tc>
        <w:tc>
          <w:tcPr>
            <w:tcW w:w="2564" w:type="pct"/>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公告事项</w:t>
            </w:r>
          </w:p>
        </w:tc>
        <w:tc>
          <w:tcPr>
            <w:tcW w:w="1025" w:type="pct"/>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法定披露方式</w:t>
            </w:r>
          </w:p>
        </w:tc>
        <w:tc>
          <w:tcPr>
            <w:tcW w:w="985" w:type="pct"/>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法定披露日期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1</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交银施罗德中证环境治理指数型证券投资基金(LOF)2019年半年度报告摘要</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2</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交银施罗德基金管理有限公司关于首席信息官任职的公告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3</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交银施罗德中证环境治理指数型证券投资基金（LOF）（更新）招募说明书摘要（2019年第2号）</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4</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交银施罗德基金管理有限公司关于增加江苏汇林保大基金销售有限公司为旗下基金销售机构的公告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5</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交银施罗德基金管理有限公司旗下部分基金2019年第三季度报告提示性公告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6</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交银施罗德中证环境治理指数型证券投资基金(LOF)2019年第3季度报告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7</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交银施罗德基金管理有限公司关于增加玄元保险代理有限公司为旗下基金销售机构的公告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8</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交银施罗德基金管理有限公司关于提醒投资者及时提供或更新身份信息资料的公告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9</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交银施罗德基金管理有限公司根据《公开募集证券投资基金信息披露管理办法》修改旗下31只公募基金基金合同、托管协议及招募说明书的公告</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10</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交银施罗德中证环境治理指数型证券投资基金（LOF）基金合同</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11</w:t>
            </w:r>
          </w:p>
        </w:tc>
        <w:tc>
          <w:tcPr>
            <w:tcW w:w="2564" w:type="pct"/>
            <w:shd w:val="clear" w:color="auto" w:fill="auto"/>
            <w:vAlign w:val="center"/>
          </w:tcPr>
          <w:p>
            <w:pPr>
              <w:widowControl/>
              <w:jc w:val="center"/>
              <w:rPr>
                <w:rFonts w:ascii="宋体" w:hAnsi="宋体"/>
                <w:color w:val="000000"/>
                <w:kern w:val="0"/>
                <w:sz w:val="24"/>
                <w:szCs w:val="24"/>
              </w:rPr>
            </w:pPr>
            <w:r>
              <w:rPr>
                <w:color w:val="000000"/>
                <w:sz w:val="24"/>
              </w:rPr>
              <w:t>交银施罗德中证环境治理指数型证券投资基金（LOF）托管协议</w:t>
            </w:r>
          </w:p>
        </w:tc>
        <w:tc>
          <w:tcPr>
            <w:tcW w:w="1025" w:type="pct"/>
            <w:shd w:val="clear" w:color="000000" w:fill="auto"/>
            <w:vAlign w:val="center"/>
          </w:tcPr>
          <w:p>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tcPr>
          <w:p>
            <w:pPr>
              <w:widowControl/>
              <w:jc w:val="center"/>
              <w:rPr>
                <w:rFonts w:ascii="宋体" w:hAnsi="宋体"/>
                <w:color w:val="000000"/>
                <w:kern w:val="0"/>
                <w:sz w:val="24"/>
                <w:szCs w:val="24"/>
              </w:rPr>
            </w:pPr>
            <w:r>
              <w:rPr>
                <w:color w:val="000000"/>
                <w:sz w:val="24"/>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12</w:t>
            </w:r>
          </w:p>
        </w:tc>
        <w:tc>
          <w:tcPr>
            <w:tcW w:w="2564" w:type="pct"/>
            <w:shd w:val="clear" w:color="auto" w:fill="auto"/>
            <w:vAlign w:val="center"/>
          </w:tcPr>
          <w:p>
            <w:pPr>
              <w:widowControl/>
              <w:jc w:val="center"/>
              <w:rPr>
                <w:rFonts w:ascii="宋体" w:hAnsi="宋体"/>
                <w:sz w:val="24"/>
                <w:szCs w:val="24"/>
              </w:rPr>
            </w:pPr>
            <w:r>
              <w:rPr>
                <w:color w:val="000000"/>
                <w:sz w:val="24"/>
              </w:rPr>
              <w:t>交银施罗德中证环境治理指数型证券投资基金（LOF）招募说明书</w:t>
            </w:r>
          </w:p>
        </w:tc>
        <w:tc>
          <w:tcPr>
            <w:tcW w:w="1025" w:type="pct"/>
            <w:shd w:val="clear" w:color="000000" w:fill="auto"/>
            <w:vAlign w:val="center"/>
          </w:tcPr>
          <w:p>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pPr>
              <w:widowControl/>
              <w:jc w:val="center"/>
              <w:rPr>
                <w:rFonts w:ascii="宋体" w:hAnsi="宋体"/>
                <w:sz w:val="24"/>
                <w:szCs w:val="24"/>
              </w:rPr>
            </w:pPr>
            <w:r>
              <w:rPr>
                <w:color w:val="000000"/>
                <w:sz w:val="24"/>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13</w:t>
            </w:r>
          </w:p>
        </w:tc>
        <w:tc>
          <w:tcPr>
            <w:tcW w:w="2564" w:type="pct"/>
            <w:shd w:val="clear" w:color="auto" w:fill="auto"/>
            <w:vAlign w:val="center"/>
          </w:tcPr>
          <w:p>
            <w:pPr>
              <w:widowControl/>
              <w:jc w:val="center"/>
              <w:rPr>
                <w:rFonts w:ascii="宋体" w:hAnsi="宋体"/>
                <w:sz w:val="24"/>
                <w:szCs w:val="24"/>
              </w:rPr>
            </w:pPr>
            <w:r>
              <w:rPr>
                <w:color w:val="000000"/>
                <w:sz w:val="24"/>
              </w:rPr>
              <w:t>交银施罗德中证环境治理指数型证券投资基金（LOF）招募说明书摘要</w:t>
            </w:r>
          </w:p>
        </w:tc>
        <w:tc>
          <w:tcPr>
            <w:tcW w:w="1025" w:type="pct"/>
            <w:shd w:val="clear" w:color="000000" w:fill="auto"/>
            <w:vAlign w:val="center"/>
          </w:tcPr>
          <w:p>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pPr>
              <w:widowControl/>
              <w:jc w:val="center"/>
              <w:rPr>
                <w:rFonts w:ascii="宋体" w:hAnsi="宋体"/>
                <w:sz w:val="24"/>
                <w:szCs w:val="24"/>
              </w:rPr>
            </w:pPr>
            <w:r>
              <w:rPr>
                <w:color w:val="000000"/>
                <w:sz w:val="24"/>
              </w:rPr>
              <w:t>2019-11-06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14</w:t>
            </w:r>
          </w:p>
        </w:tc>
        <w:tc>
          <w:tcPr>
            <w:tcW w:w="2564" w:type="pct"/>
            <w:shd w:val="clear" w:color="auto" w:fill="auto"/>
            <w:vAlign w:val="center"/>
          </w:tcPr>
          <w:p>
            <w:pPr>
              <w:widowControl/>
              <w:jc w:val="center"/>
              <w:rPr>
                <w:sz w:val="24"/>
                <w:szCs w:val="24"/>
              </w:rPr>
            </w:pPr>
            <w:r>
              <w:rPr>
                <w:color w:val="000000"/>
                <w:sz w:val="24"/>
              </w:rPr>
              <w:t>交银施罗德基金管理有限公司关于增加上海大智慧基金销售有限公司为旗下基金销售机构的公告</w:t>
            </w:r>
          </w:p>
        </w:tc>
        <w:tc>
          <w:tcPr>
            <w:tcW w:w="1025" w:type="pct"/>
            <w:shd w:val="clear" w:color="000000" w:fill="auto"/>
            <w:vAlign w:val="center"/>
          </w:tcPr>
          <w:p>
            <w:pPr>
              <w:widowControl/>
              <w:jc w:val="center"/>
              <w:rPr>
                <w:sz w:val="24"/>
                <w:szCs w:val="24"/>
              </w:rPr>
            </w:pPr>
            <w:r>
              <w:rPr>
                <w:color w:val="000000"/>
                <w:sz w:val="24"/>
              </w:rPr>
              <w:t>中国证券报、上海证券报、证券时报</w:t>
            </w:r>
          </w:p>
        </w:tc>
        <w:tc>
          <w:tcPr>
            <w:tcW w:w="985" w:type="pct"/>
            <w:shd w:val="clear" w:color="000000" w:fill="FFFFFF"/>
            <w:noWrap/>
            <w:vAlign w:val="center"/>
          </w:tcPr>
          <w:p>
            <w:pPr>
              <w:widowControl/>
              <w:jc w:val="center"/>
              <w:rPr>
                <w:sz w:val="24"/>
                <w:szCs w:val="24"/>
              </w:rPr>
            </w:pPr>
            <w:r>
              <w:rPr>
                <w:color w:val="000000"/>
                <w:sz w:val="24"/>
              </w:rPr>
              <w:t>2019-12-13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15</w:t>
            </w:r>
          </w:p>
        </w:tc>
        <w:tc>
          <w:tcPr>
            <w:tcW w:w="2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color w:val="000000"/>
                <w:sz w:val="24"/>
                <w:szCs w:val="24"/>
              </w:rPr>
              <w:t>交银施罗德基金管理有限公司关于增加阳光人寿保险股份有限公司为旗下基金销售机构的公告</w:t>
            </w:r>
          </w:p>
        </w:tc>
        <w:tc>
          <w:tcPr>
            <w:tcW w:w="102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sz w:val="24"/>
                <w:szCs w:val="24"/>
              </w:rPr>
            </w:pPr>
            <w:r>
              <w:rPr>
                <w:color w:val="000000"/>
                <w:sz w:val="24"/>
                <w:szCs w:val="24"/>
              </w:rPr>
              <w:t>中国证券报、上海证券报、证券时报</w:t>
            </w:r>
          </w:p>
        </w:tc>
        <w:tc>
          <w:tcPr>
            <w:tcW w:w="9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4"/>
                <w:szCs w:val="24"/>
              </w:rPr>
            </w:pPr>
            <w:r>
              <w:rPr>
                <w:color w:val="000000"/>
                <w:sz w:val="24"/>
                <w:szCs w:val="24"/>
              </w:rPr>
              <w:t>2020-01-20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16</w:t>
            </w:r>
          </w:p>
        </w:tc>
        <w:tc>
          <w:tcPr>
            <w:tcW w:w="2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color w:val="000000"/>
                <w:sz w:val="24"/>
              </w:rPr>
              <w:t>交银施罗德中证环境治理指数型证券投资基金（LOF）</w:t>
            </w:r>
            <w:r>
              <w:rPr>
                <w:rFonts w:hint="eastAsia"/>
                <w:color w:val="000000"/>
                <w:sz w:val="24"/>
                <w:szCs w:val="24"/>
              </w:rPr>
              <w:t>2019年第4季度报告</w:t>
            </w:r>
          </w:p>
        </w:tc>
        <w:tc>
          <w:tcPr>
            <w:tcW w:w="102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sz w:val="24"/>
                <w:szCs w:val="24"/>
              </w:rPr>
            </w:pPr>
            <w:r>
              <w:rPr>
                <w:rFonts w:hint="eastAsia"/>
                <w:color w:val="000000"/>
                <w:sz w:val="24"/>
                <w:szCs w:val="24"/>
              </w:rPr>
              <w:t>公司网站</w:t>
            </w:r>
          </w:p>
        </w:tc>
        <w:tc>
          <w:tcPr>
            <w:tcW w:w="9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4"/>
                <w:szCs w:val="24"/>
              </w:rPr>
            </w:pPr>
            <w:r>
              <w:rPr>
                <w:color w:val="000000"/>
                <w:sz w:val="24"/>
                <w:szCs w:val="24"/>
              </w:rPr>
              <w:t>2020-01-21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17</w:t>
            </w:r>
          </w:p>
        </w:tc>
        <w:tc>
          <w:tcPr>
            <w:tcW w:w="2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color w:val="000000"/>
                <w:sz w:val="24"/>
                <w:szCs w:val="24"/>
              </w:rPr>
              <w:t>交银施罗德基金管理有限公司关于增加大连网金基金销售有限公司为旗下基金销售机构的公告</w:t>
            </w:r>
          </w:p>
        </w:tc>
        <w:tc>
          <w:tcPr>
            <w:tcW w:w="102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sz w:val="24"/>
                <w:szCs w:val="24"/>
              </w:rPr>
            </w:pPr>
            <w:r>
              <w:rPr>
                <w:color w:val="000000"/>
                <w:sz w:val="24"/>
                <w:szCs w:val="24"/>
              </w:rPr>
              <w:t>中国证券报、上海证券报、证券时报</w:t>
            </w:r>
          </w:p>
        </w:tc>
        <w:tc>
          <w:tcPr>
            <w:tcW w:w="9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4"/>
                <w:szCs w:val="24"/>
              </w:rPr>
            </w:pPr>
            <w:r>
              <w:rPr>
                <w:color w:val="000000"/>
                <w:sz w:val="24"/>
                <w:szCs w:val="24"/>
              </w:rPr>
              <w:t>2020-02-14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18</w:t>
            </w:r>
          </w:p>
        </w:tc>
        <w:tc>
          <w:tcPr>
            <w:tcW w:w="2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color w:val="000000"/>
                <w:sz w:val="24"/>
              </w:rPr>
              <w:t>交银施罗德中证环境治理指数型证券投资基金（LOF）</w:t>
            </w:r>
            <w:r>
              <w:rPr>
                <w:rFonts w:hint="eastAsia"/>
                <w:color w:val="000000"/>
                <w:sz w:val="24"/>
                <w:szCs w:val="24"/>
              </w:rPr>
              <w:t>2019年年度报告</w:t>
            </w:r>
          </w:p>
        </w:tc>
        <w:tc>
          <w:tcPr>
            <w:tcW w:w="102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sz w:val="24"/>
                <w:szCs w:val="24"/>
              </w:rPr>
            </w:pPr>
            <w:r>
              <w:rPr>
                <w:rFonts w:hint="eastAsia"/>
                <w:color w:val="000000"/>
                <w:sz w:val="24"/>
                <w:szCs w:val="24"/>
              </w:rPr>
              <w:t>公司网站</w:t>
            </w:r>
          </w:p>
        </w:tc>
        <w:tc>
          <w:tcPr>
            <w:tcW w:w="9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4"/>
                <w:szCs w:val="24"/>
              </w:rPr>
            </w:pPr>
            <w:r>
              <w:rPr>
                <w:color w:val="000000"/>
                <w:sz w:val="24"/>
                <w:szCs w:val="24"/>
              </w:rPr>
              <w:t>2020-03-30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19</w:t>
            </w:r>
          </w:p>
        </w:tc>
        <w:tc>
          <w:tcPr>
            <w:tcW w:w="2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color w:val="000000"/>
                <w:sz w:val="24"/>
              </w:rPr>
              <w:t>交银施罗德中证环境治理指数型证券投资基金（LOF）</w:t>
            </w:r>
            <w:r>
              <w:rPr>
                <w:rFonts w:hint="eastAsia"/>
                <w:color w:val="000000"/>
                <w:sz w:val="24"/>
                <w:szCs w:val="24"/>
              </w:rPr>
              <w:t>2020年第1季度报告</w:t>
            </w:r>
          </w:p>
        </w:tc>
        <w:tc>
          <w:tcPr>
            <w:tcW w:w="102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sz w:val="24"/>
                <w:szCs w:val="24"/>
              </w:rPr>
            </w:pPr>
            <w:r>
              <w:rPr>
                <w:rFonts w:hint="eastAsia"/>
                <w:color w:val="000000"/>
                <w:sz w:val="24"/>
                <w:szCs w:val="24"/>
              </w:rPr>
              <w:t>公司网站</w:t>
            </w:r>
          </w:p>
        </w:tc>
        <w:tc>
          <w:tcPr>
            <w:tcW w:w="9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4"/>
                <w:szCs w:val="24"/>
              </w:rPr>
            </w:pPr>
            <w:r>
              <w:rPr>
                <w:color w:val="000000"/>
                <w:sz w:val="24"/>
                <w:szCs w:val="24"/>
              </w:rPr>
              <w:t>2020-04-22</w:t>
            </w:r>
          </w:p>
        </w:tc>
      </w:tr>
    </w:tbl>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24" w:name="_Toc524440800"/>
      <w:r>
        <w:rPr>
          <w:rFonts w:hint="eastAsia" w:ascii="宋体" w:hAnsi="宋体"/>
          <w:b/>
          <w:kern w:val="0"/>
          <w:sz w:val="30"/>
        </w:rPr>
        <w:t>二十四、招募说明书的存放及查阅方式</w:t>
      </w:r>
      <w:bookmarkEnd w:id="124"/>
    </w:p>
    <w:p>
      <w:pPr>
        <w:widowControl/>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招募说明书存放在基金管理人、基金托管人</w:t>
      </w:r>
      <w:r>
        <w:rPr>
          <w:rFonts w:ascii="宋体" w:hAnsi="宋体"/>
          <w:bCs/>
          <w:kern w:val="0"/>
          <w:sz w:val="24"/>
          <w:szCs w:val="24"/>
        </w:rPr>
        <w:t>和基金销售机构</w:t>
      </w:r>
      <w:r>
        <w:rPr>
          <w:rFonts w:ascii="宋体" w:hAnsi="宋体"/>
          <w:kern w:val="0"/>
          <w:sz w:val="24"/>
          <w:szCs w:val="24"/>
        </w:rPr>
        <w:t>的</w:t>
      </w:r>
      <w:r>
        <w:rPr>
          <w:rFonts w:hint="eastAsia" w:ascii="宋体" w:hAnsi="宋体"/>
          <w:kern w:val="0"/>
          <w:sz w:val="24"/>
          <w:szCs w:val="24"/>
        </w:rPr>
        <w:t>办公</w:t>
      </w:r>
      <w:r>
        <w:rPr>
          <w:rFonts w:ascii="宋体" w:hAnsi="宋体"/>
          <w:kern w:val="0"/>
          <w:sz w:val="24"/>
          <w:szCs w:val="24"/>
        </w:rPr>
        <w:t>场所，投资人可在办公时间查阅；投资人在支付工本费后，可在合理时</w:t>
      </w:r>
      <w:bookmarkStart w:id="125" w:name="_Toc109537401"/>
      <w:r>
        <w:rPr>
          <w:rFonts w:ascii="宋体" w:hAnsi="宋体"/>
          <w:kern w:val="0"/>
          <w:sz w:val="24"/>
          <w:szCs w:val="24"/>
        </w:rPr>
        <w:t>间内取得上述文件复制件</w:t>
      </w:r>
      <w:bookmarkEnd w:id="125"/>
      <w:r>
        <w:rPr>
          <w:rFonts w:ascii="宋体" w:hAnsi="宋体"/>
          <w:kern w:val="0"/>
          <w:sz w:val="24"/>
          <w:szCs w:val="24"/>
        </w:rPr>
        <w:t>或复印件。对投资人按此种方式所获得的文件及其复印件，基金管理人和基金托管人</w:t>
      </w:r>
      <w:bookmarkStart w:id="126" w:name="_Toc109537402"/>
      <w:r>
        <w:rPr>
          <w:rFonts w:ascii="宋体" w:hAnsi="宋体"/>
          <w:kern w:val="0"/>
          <w:sz w:val="24"/>
          <w:szCs w:val="24"/>
        </w:rPr>
        <w:t>保证文本的内容与所公告的内容完全一</w:t>
      </w:r>
      <w:bookmarkEnd w:id="126"/>
      <w:r>
        <w:rPr>
          <w:rFonts w:ascii="宋体" w:hAnsi="宋体"/>
          <w:kern w:val="0"/>
          <w:sz w:val="24"/>
          <w:szCs w:val="24"/>
        </w:rPr>
        <w:t xml:space="preserve">致。 </w:t>
      </w:r>
    </w:p>
    <w:p>
      <w:pPr>
        <w:widowControl/>
        <w:adjustRightInd w:val="0"/>
        <w:snapToGrid w:val="0"/>
        <w:spacing w:line="360" w:lineRule="auto"/>
        <w:ind w:firstLine="480" w:firstLineChars="200"/>
        <w:rPr>
          <w:rFonts w:ascii="宋体" w:hAnsi="宋体"/>
          <w:b/>
          <w:kern w:val="0"/>
          <w:sz w:val="24"/>
          <w:szCs w:val="24"/>
        </w:rPr>
      </w:pPr>
      <w:r>
        <w:rPr>
          <w:rFonts w:ascii="宋体" w:hAnsi="宋体"/>
          <w:kern w:val="0"/>
          <w:sz w:val="24"/>
          <w:szCs w:val="24"/>
        </w:rPr>
        <w:t>投资人还可以直接登录基金管理人的网站</w:t>
      </w:r>
      <w:r>
        <w:rPr>
          <w:rFonts w:hint="eastAsia" w:ascii="宋体" w:hAnsi="宋体"/>
          <w:kern w:val="0"/>
          <w:sz w:val="24"/>
          <w:szCs w:val="24"/>
        </w:rPr>
        <w:t>（</w:t>
      </w:r>
      <w:r>
        <w:fldChar w:fldCharType="begin"/>
      </w:r>
      <w:r>
        <w:instrText xml:space="preserve"> HYPERLINK "http://www.fund001.com，www.bocomschroder.com" </w:instrText>
      </w:r>
      <w:r>
        <w:fldChar w:fldCharType="separate"/>
      </w:r>
      <w:r>
        <w:rPr>
          <w:rStyle w:val="32"/>
          <w:color w:val="auto"/>
          <w:sz w:val="24"/>
          <w:szCs w:val="24"/>
          <w:u w:val="none"/>
        </w:rPr>
        <w:t>www.fund001.com</w:t>
      </w:r>
      <w:r>
        <w:rPr>
          <w:rStyle w:val="32"/>
          <w:color w:val="auto"/>
          <w:sz w:val="24"/>
          <w:szCs w:val="24"/>
          <w:u w:val="none"/>
        </w:rPr>
        <w:fldChar w:fldCharType="end"/>
      </w:r>
      <w:r>
        <w:rPr>
          <w:rStyle w:val="32"/>
          <w:rFonts w:hint="eastAsia"/>
          <w:color w:val="auto"/>
          <w:sz w:val="24"/>
          <w:szCs w:val="24"/>
          <w:u w:val="none"/>
        </w:rPr>
        <w:t>）</w:t>
      </w:r>
      <w:r>
        <w:rPr>
          <w:rFonts w:ascii="宋体" w:hAnsi="宋体"/>
          <w:kern w:val="0"/>
          <w:sz w:val="24"/>
          <w:szCs w:val="24"/>
        </w:rPr>
        <w:t xml:space="preserve">查阅和下载招募说明书。 </w:t>
      </w:r>
      <w:r>
        <w:rPr>
          <w:rFonts w:ascii="宋体" w:hAnsi="宋体"/>
          <w:b/>
          <w:kern w:val="0"/>
          <w:sz w:val="24"/>
          <w:szCs w:val="24"/>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127" w:name="_Toc524440801"/>
      <w:r>
        <w:rPr>
          <w:rFonts w:hint="eastAsia" w:ascii="宋体" w:hAnsi="宋体"/>
          <w:b/>
          <w:kern w:val="0"/>
          <w:sz w:val="30"/>
        </w:rPr>
        <w:t>二十五、备查文件</w:t>
      </w:r>
      <w:bookmarkEnd w:id="127"/>
    </w:p>
    <w:p>
      <w:pPr>
        <w:widowControl/>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（一）中国证监会</w:t>
      </w:r>
      <w:r>
        <w:rPr>
          <w:rFonts w:hint="eastAsia" w:ascii="宋体" w:hAnsi="宋体"/>
          <w:kern w:val="0"/>
          <w:sz w:val="24"/>
          <w:szCs w:val="24"/>
        </w:rPr>
        <w:t>准予</w:t>
      </w:r>
      <w:r>
        <w:rPr>
          <w:rFonts w:ascii="宋体" w:hAnsi="宋体"/>
          <w:kern w:val="0"/>
          <w:sz w:val="24"/>
          <w:szCs w:val="24"/>
        </w:rPr>
        <w:t>交银施罗德</w:t>
      </w:r>
      <w:r>
        <w:rPr>
          <w:rFonts w:hint="eastAsia"/>
          <w:sz w:val="24"/>
          <w:szCs w:val="24"/>
        </w:rPr>
        <w:t>中证环境治理指数分级</w:t>
      </w:r>
      <w:r>
        <w:rPr>
          <w:rFonts w:ascii="宋体" w:hAnsi="宋体"/>
          <w:kern w:val="0"/>
          <w:sz w:val="24"/>
          <w:szCs w:val="24"/>
        </w:rPr>
        <w:t>证券投资基金募集</w:t>
      </w:r>
      <w:r>
        <w:rPr>
          <w:rFonts w:hint="eastAsia" w:ascii="宋体" w:hAnsi="宋体"/>
          <w:kern w:val="0"/>
          <w:sz w:val="24"/>
          <w:szCs w:val="24"/>
        </w:rPr>
        <w:t>注册</w:t>
      </w:r>
      <w:r>
        <w:rPr>
          <w:rFonts w:ascii="宋体" w:hAnsi="宋体"/>
          <w:kern w:val="0"/>
          <w:sz w:val="24"/>
          <w:szCs w:val="24"/>
        </w:rPr>
        <w:t xml:space="preserve">的文件 </w:t>
      </w:r>
    </w:p>
    <w:p>
      <w:pPr>
        <w:widowControl/>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（二）中国证监会准予交银施罗德中证环境治理指数分级证券投资基金变更注册为交银施罗德中证环境治理指数型证券投资基金（LOF）的文件</w:t>
      </w:r>
    </w:p>
    <w:p>
      <w:pPr>
        <w:widowControl/>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w:t>
      </w:r>
      <w:r>
        <w:rPr>
          <w:rFonts w:hint="eastAsia" w:ascii="宋体" w:hAnsi="宋体"/>
          <w:kern w:val="0"/>
          <w:sz w:val="24"/>
          <w:szCs w:val="24"/>
        </w:rPr>
        <w:t>三</w:t>
      </w:r>
      <w:r>
        <w:rPr>
          <w:rFonts w:ascii="宋体" w:hAnsi="宋体"/>
          <w:kern w:val="0"/>
          <w:sz w:val="24"/>
          <w:szCs w:val="24"/>
        </w:rPr>
        <w:t>）《交银施罗德</w:t>
      </w:r>
      <w:r>
        <w:rPr>
          <w:rFonts w:hint="eastAsia"/>
          <w:sz w:val="24"/>
          <w:szCs w:val="24"/>
        </w:rPr>
        <w:t>中证环境治理指数型</w:t>
      </w:r>
      <w:r>
        <w:rPr>
          <w:rFonts w:ascii="宋体" w:hAnsi="宋体"/>
          <w:kern w:val="0"/>
          <w:sz w:val="24"/>
          <w:szCs w:val="24"/>
        </w:rPr>
        <w:t>证券投资基金</w:t>
      </w:r>
      <w:r>
        <w:rPr>
          <w:rFonts w:hint="eastAsia" w:ascii="宋体" w:hAnsi="宋体"/>
          <w:kern w:val="0"/>
          <w:sz w:val="24"/>
          <w:szCs w:val="24"/>
        </w:rPr>
        <w:t>（LOF）</w:t>
      </w:r>
      <w:r>
        <w:rPr>
          <w:rFonts w:ascii="宋体" w:hAnsi="宋体"/>
          <w:kern w:val="0"/>
          <w:sz w:val="24"/>
          <w:szCs w:val="24"/>
        </w:rPr>
        <w:t xml:space="preserve">基金合同》 </w:t>
      </w:r>
    </w:p>
    <w:p>
      <w:pPr>
        <w:widowControl/>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（四）</w:t>
      </w:r>
      <w:r>
        <w:rPr>
          <w:rFonts w:ascii="宋体" w:hAnsi="宋体"/>
          <w:kern w:val="0"/>
          <w:sz w:val="24"/>
          <w:szCs w:val="24"/>
        </w:rPr>
        <w:t>《交银施罗德</w:t>
      </w:r>
      <w:r>
        <w:rPr>
          <w:rFonts w:hint="eastAsia"/>
          <w:sz w:val="24"/>
          <w:szCs w:val="24"/>
        </w:rPr>
        <w:t>中证环境治理指数型</w:t>
      </w:r>
      <w:r>
        <w:rPr>
          <w:rFonts w:ascii="宋体" w:hAnsi="宋体"/>
          <w:kern w:val="0"/>
          <w:sz w:val="24"/>
          <w:szCs w:val="24"/>
        </w:rPr>
        <w:t>证券投资基金</w:t>
      </w:r>
      <w:r>
        <w:rPr>
          <w:rFonts w:hint="eastAsia" w:ascii="宋体" w:hAnsi="宋体"/>
          <w:kern w:val="0"/>
          <w:sz w:val="24"/>
          <w:szCs w:val="24"/>
        </w:rPr>
        <w:t>（LOF）</w:t>
      </w:r>
      <w:r>
        <w:rPr>
          <w:rFonts w:ascii="宋体" w:hAnsi="宋体"/>
          <w:kern w:val="0"/>
          <w:sz w:val="24"/>
          <w:szCs w:val="24"/>
        </w:rPr>
        <w:t xml:space="preserve">托管协议》 </w:t>
      </w:r>
    </w:p>
    <w:p>
      <w:pPr>
        <w:widowControl/>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（五）</w:t>
      </w:r>
      <w:r>
        <w:rPr>
          <w:rFonts w:ascii="宋体" w:hAnsi="宋体"/>
          <w:kern w:val="0"/>
          <w:sz w:val="24"/>
          <w:szCs w:val="24"/>
        </w:rPr>
        <w:t>基金管理人业务资格批件、营业执照</w:t>
      </w:r>
    </w:p>
    <w:p>
      <w:pPr>
        <w:widowControl/>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w:t>
      </w:r>
      <w:r>
        <w:rPr>
          <w:rFonts w:hint="eastAsia" w:ascii="宋体" w:hAnsi="宋体"/>
          <w:kern w:val="0"/>
          <w:sz w:val="24"/>
          <w:szCs w:val="24"/>
        </w:rPr>
        <w:t>六</w:t>
      </w:r>
      <w:r>
        <w:rPr>
          <w:rFonts w:ascii="宋体" w:hAnsi="宋体"/>
          <w:kern w:val="0"/>
          <w:sz w:val="24"/>
          <w:szCs w:val="24"/>
        </w:rPr>
        <w:t>）基金托管人业务资格批件、营业执照</w:t>
      </w:r>
    </w:p>
    <w:p>
      <w:pPr>
        <w:widowControl/>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w:t>
      </w:r>
      <w:r>
        <w:rPr>
          <w:rFonts w:hint="eastAsia" w:ascii="宋体" w:hAnsi="宋体"/>
          <w:kern w:val="0"/>
          <w:sz w:val="24"/>
          <w:szCs w:val="24"/>
        </w:rPr>
        <w:t>七</w:t>
      </w:r>
      <w:r>
        <w:rPr>
          <w:rFonts w:ascii="宋体" w:hAnsi="宋体"/>
          <w:kern w:val="0"/>
          <w:sz w:val="24"/>
          <w:szCs w:val="24"/>
        </w:rPr>
        <w:t>）关于</w:t>
      </w:r>
      <w:r>
        <w:rPr>
          <w:rFonts w:hint="eastAsia" w:ascii="宋体" w:hAnsi="宋体"/>
          <w:kern w:val="0"/>
          <w:sz w:val="24"/>
          <w:szCs w:val="24"/>
        </w:rPr>
        <w:t>申请</w:t>
      </w:r>
      <w:r>
        <w:rPr>
          <w:rFonts w:ascii="宋体" w:hAnsi="宋体"/>
          <w:kern w:val="0"/>
          <w:sz w:val="24"/>
          <w:szCs w:val="24"/>
        </w:rPr>
        <w:t>募集</w:t>
      </w:r>
      <w:r>
        <w:rPr>
          <w:rFonts w:hint="eastAsia" w:ascii="宋体" w:hAnsi="宋体"/>
          <w:kern w:val="0"/>
          <w:sz w:val="24"/>
          <w:szCs w:val="24"/>
        </w:rPr>
        <w:t>注册</w:t>
      </w:r>
      <w:r>
        <w:rPr>
          <w:rFonts w:ascii="宋体" w:hAnsi="宋体"/>
          <w:kern w:val="0"/>
          <w:sz w:val="24"/>
          <w:szCs w:val="24"/>
        </w:rPr>
        <w:t>交银施罗德</w:t>
      </w:r>
      <w:r>
        <w:rPr>
          <w:rFonts w:hint="eastAsia"/>
          <w:sz w:val="24"/>
          <w:szCs w:val="24"/>
        </w:rPr>
        <w:t>中证环境治理指数分级</w:t>
      </w:r>
      <w:r>
        <w:rPr>
          <w:rFonts w:ascii="宋体" w:hAnsi="宋体"/>
          <w:kern w:val="0"/>
          <w:sz w:val="24"/>
          <w:szCs w:val="24"/>
        </w:rPr>
        <w:t>证券投资基金</w:t>
      </w:r>
      <w:r>
        <w:rPr>
          <w:rFonts w:hint="eastAsia" w:ascii="宋体" w:hAnsi="宋体"/>
          <w:kern w:val="0"/>
          <w:sz w:val="24"/>
          <w:szCs w:val="24"/>
        </w:rPr>
        <w:t>的</w:t>
      </w:r>
      <w:r>
        <w:rPr>
          <w:rFonts w:ascii="宋体" w:hAnsi="宋体"/>
          <w:kern w:val="0"/>
          <w:sz w:val="24"/>
          <w:szCs w:val="24"/>
        </w:rPr>
        <w:t>法律意见书</w:t>
      </w:r>
    </w:p>
    <w:p>
      <w:pPr>
        <w:widowControl/>
        <w:adjustRightInd w:val="0"/>
        <w:snapToGrid w:val="0"/>
        <w:spacing w:line="360" w:lineRule="auto"/>
        <w:ind w:firstLine="480" w:firstLineChars="200"/>
        <w:rPr>
          <w:color w:val="FF0000"/>
        </w:rPr>
      </w:pPr>
      <w:r>
        <w:rPr>
          <w:rFonts w:hint="eastAsia" w:ascii="宋体" w:hAnsi="宋体"/>
          <w:kern w:val="0"/>
          <w:sz w:val="24"/>
          <w:szCs w:val="24"/>
        </w:rPr>
        <w:t>（八）关于申请交银施罗德中证环境治理指数分级证券投资基金变更注册为交银施罗德中证环境治理指数型证券投资基金（LOF）的法律意见书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五">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17</w:t>
    </w:r>
    <w:r>
      <w:rPr>
        <w:lang w:val="zh-CN"/>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rPr>
      <w:t>交银施罗德中证环境治理指数型证券投资基金</w:t>
    </w: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（LOF）</w:t>
    </w:r>
  </w:p>
  <w:p>
    <w:pPr>
      <w:pStyle w:val="21"/>
      <w:jc w:val="right"/>
    </w:pPr>
    <w:r>
      <w:rPr>
        <w:rFonts w:hint="eastAsia"/>
      </w:rPr>
      <w:t>（</w:t>
    </w:r>
    <w:r>
      <w:t>更新）</w:t>
    </w:r>
    <w:r>
      <w:rPr>
        <w:rFonts w:hint="eastAsia"/>
      </w:rPr>
      <w:t>招募说明书（20</w:t>
    </w:r>
    <w:r>
      <w:t>21</w:t>
    </w:r>
    <w:r>
      <w:rPr>
        <w:rFonts w:hint="eastAsia"/>
      </w:rPr>
      <w:t>年</w:t>
    </w:r>
    <w:r>
      <w:t>第2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472E7"/>
    <w:multiLevelType w:val="multilevel"/>
    <w:tmpl w:val="1E3472E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06E0A21"/>
    <w:multiLevelType w:val="multilevel"/>
    <w:tmpl w:val="406E0A21"/>
    <w:lvl w:ilvl="0" w:tentative="0">
      <w:start w:val="1"/>
      <w:numFmt w:val="decimal"/>
      <w:suff w:val="nothing"/>
      <w:lvlText w:val="%1、"/>
      <w:lvlJc w:val="left"/>
      <w:pPr>
        <w:ind w:left="0" w:firstLine="482"/>
      </w:pPr>
      <w:rPr>
        <w:rFonts w:hint="eastAsia"/>
      </w:rPr>
    </w:lvl>
    <w:lvl w:ilvl="1" w:tentative="0">
      <w:start w:val="1"/>
      <w:numFmt w:val="lowerLetter"/>
      <w:lvlText w:val="%2)"/>
      <w:lvlJc w:val="left"/>
      <w:pPr>
        <w:ind w:left="3477" w:hanging="420"/>
      </w:pPr>
    </w:lvl>
    <w:lvl w:ilvl="2" w:tentative="0">
      <w:start w:val="1"/>
      <w:numFmt w:val="lowerRoman"/>
      <w:lvlText w:val="%3."/>
      <w:lvlJc w:val="right"/>
      <w:pPr>
        <w:ind w:left="3897" w:hanging="420"/>
      </w:pPr>
    </w:lvl>
    <w:lvl w:ilvl="3" w:tentative="0">
      <w:start w:val="1"/>
      <w:numFmt w:val="decimal"/>
      <w:lvlText w:val="%4."/>
      <w:lvlJc w:val="left"/>
      <w:pPr>
        <w:ind w:left="4317" w:hanging="420"/>
      </w:pPr>
    </w:lvl>
    <w:lvl w:ilvl="4" w:tentative="0">
      <w:start w:val="1"/>
      <w:numFmt w:val="lowerLetter"/>
      <w:lvlText w:val="%5)"/>
      <w:lvlJc w:val="left"/>
      <w:pPr>
        <w:ind w:left="4737" w:hanging="420"/>
      </w:pPr>
    </w:lvl>
    <w:lvl w:ilvl="5" w:tentative="0">
      <w:start w:val="1"/>
      <w:numFmt w:val="lowerRoman"/>
      <w:lvlText w:val="%6."/>
      <w:lvlJc w:val="right"/>
      <w:pPr>
        <w:ind w:left="5157" w:hanging="420"/>
      </w:pPr>
    </w:lvl>
    <w:lvl w:ilvl="6" w:tentative="0">
      <w:start w:val="1"/>
      <w:numFmt w:val="decimal"/>
      <w:lvlText w:val="%7."/>
      <w:lvlJc w:val="left"/>
      <w:pPr>
        <w:ind w:left="5577" w:hanging="420"/>
      </w:pPr>
    </w:lvl>
    <w:lvl w:ilvl="7" w:tentative="0">
      <w:start w:val="1"/>
      <w:numFmt w:val="lowerLetter"/>
      <w:lvlText w:val="%8)"/>
      <w:lvlJc w:val="left"/>
      <w:pPr>
        <w:ind w:left="5997" w:hanging="420"/>
      </w:pPr>
    </w:lvl>
    <w:lvl w:ilvl="8" w:tentative="0">
      <w:start w:val="1"/>
      <w:numFmt w:val="lowerRoman"/>
      <w:lvlText w:val="%9."/>
      <w:lvlJc w:val="right"/>
      <w:pPr>
        <w:ind w:left="64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67C30"/>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5B01"/>
    <w:rsid w:val="00096172"/>
    <w:rsid w:val="0009775F"/>
    <w:rsid w:val="00097984"/>
    <w:rsid w:val="00097C88"/>
    <w:rsid w:val="000A21D3"/>
    <w:rsid w:val="000A2FD3"/>
    <w:rsid w:val="000A3044"/>
    <w:rsid w:val="000A365C"/>
    <w:rsid w:val="000A3696"/>
    <w:rsid w:val="000A36E6"/>
    <w:rsid w:val="000A3746"/>
    <w:rsid w:val="000A442C"/>
    <w:rsid w:val="000A6A9A"/>
    <w:rsid w:val="000A775B"/>
    <w:rsid w:val="000B049C"/>
    <w:rsid w:val="000B07CA"/>
    <w:rsid w:val="000B26A8"/>
    <w:rsid w:val="000B2E59"/>
    <w:rsid w:val="000B51B6"/>
    <w:rsid w:val="000B6258"/>
    <w:rsid w:val="000B6967"/>
    <w:rsid w:val="000B78FB"/>
    <w:rsid w:val="000B7B19"/>
    <w:rsid w:val="000C0148"/>
    <w:rsid w:val="000C14F6"/>
    <w:rsid w:val="000C1A8D"/>
    <w:rsid w:val="000C1F01"/>
    <w:rsid w:val="000C2295"/>
    <w:rsid w:val="000C242E"/>
    <w:rsid w:val="000C4E01"/>
    <w:rsid w:val="000C6584"/>
    <w:rsid w:val="000C7711"/>
    <w:rsid w:val="000D03F8"/>
    <w:rsid w:val="000D0D52"/>
    <w:rsid w:val="000D0ED3"/>
    <w:rsid w:val="000D1375"/>
    <w:rsid w:val="000D376C"/>
    <w:rsid w:val="000D3A89"/>
    <w:rsid w:val="000D49D5"/>
    <w:rsid w:val="000D4F83"/>
    <w:rsid w:val="000D52A6"/>
    <w:rsid w:val="000D5329"/>
    <w:rsid w:val="000D5E60"/>
    <w:rsid w:val="000D5EB3"/>
    <w:rsid w:val="000D6E7C"/>
    <w:rsid w:val="000D73B3"/>
    <w:rsid w:val="000D76D1"/>
    <w:rsid w:val="000E02DC"/>
    <w:rsid w:val="000E3675"/>
    <w:rsid w:val="000E3794"/>
    <w:rsid w:val="000E3A6B"/>
    <w:rsid w:val="000E4073"/>
    <w:rsid w:val="000E41C2"/>
    <w:rsid w:val="000E456C"/>
    <w:rsid w:val="000E5D9B"/>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018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2F8"/>
    <w:rsid w:val="00165F32"/>
    <w:rsid w:val="00166E4B"/>
    <w:rsid w:val="00167015"/>
    <w:rsid w:val="001675E0"/>
    <w:rsid w:val="00167C57"/>
    <w:rsid w:val="00171985"/>
    <w:rsid w:val="001723A3"/>
    <w:rsid w:val="00172632"/>
    <w:rsid w:val="00172A27"/>
    <w:rsid w:val="00172C94"/>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87736"/>
    <w:rsid w:val="00190282"/>
    <w:rsid w:val="001907EB"/>
    <w:rsid w:val="0019090C"/>
    <w:rsid w:val="00193BFB"/>
    <w:rsid w:val="001940CA"/>
    <w:rsid w:val="0019719A"/>
    <w:rsid w:val="00197303"/>
    <w:rsid w:val="001A1151"/>
    <w:rsid w:val="001A15BF"/>
    <w:rsid w:val="001A1652"/>
    <w:rsid w:val="001A2FD5"/>
    <w:rsid w:val="001A3878"/>
    <w:rsid w:val="001A39CE"/>
    <w:rsid w:val="001A3B73"/>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C65A7"/>
    <w:rsid w:val="001D139F"/>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4CA3"/>
    <w:rsid w:val="001F52BC"/>
    <w:rsid w:val="001F6D7C"/>
    <w:rsid w:val="0020102F"/>
    <w:rsid w:val="00201FE7"/>
    <w:rsid w:val="00202550"/>
    <w:rsid w:val="00202A26"/>
    <w:rsid w:val="00203503"/>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4D1"/>
    <w:rsid w:val="00276F03"/>
    <w:rsid w:val="00280A89"/>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0EE3"/>
    <w:rsid w:val="002D17E5"/>
    <w:rsid w:val="002D1D28"/>
    <w:rsid w:val="002D2700"/>
    <w:rsid w:val="002D465A"/>
    <w:rsid w:val="002D541C"/>
    <w:rsid w:val="002D5E5D"/>
    <w:rsid w:val="002D5FB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5610"/>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380"/>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7"/>
    <w:rsid w:val="00344829"/>
    <w:rsid w:val="003452D4"/>
    <w:rsid w:val="00345D57"/>
    <w:rsid w:val="00345EBD"/>
    <w:rsid w:val="00352C90"/>
    <w:rsid w:val="003531B3"/>
    <w:rsid w:val="00354040"/>
    <w:rsid w:val="00354142"/>
    <w:rsid w:val="00354B5F"/>
    <w:rsid w:val="003550FC"/>
    <w:rsid w:val="0035527F"/>
    <w:rsid w:val="00355775"/>
    <w:rsid w:val="00355952"/>
    <w:rsid w:val="00355966"/>
    <w:rsid w:val="003563DD"/>
    <w:rsid w:val="003575F1"/>
    <w:rsid w:val="00357EBD"/>
    <w:rsid w:val="0036096A"/>
    <w:rsid w:val="003625DE"/>
    <w:rsid w:val="00362755"/>
    <w:rsid w:val="00362F93"/>
    <w:rsid w:val="003632F7"/>
    <w:rsid w:val="003634CE"/>
    <w:rsid w:val="00363BA1"/>
    <w:rsid w:val="00363D0C"/>
    <w:rsid w:val="00366575"/>
    <w:rsid w:val="00367C0D"/>
    <w:rsid w:val="003709B2"/>
    <w:rsid w:val="003710DC"/>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C5C85"/>
    <w:rsid w:val="003C68D1"/>
    <w:rsid w:val="003D0009"/>
    <w:rsid w:val="003D01F6"/>
    <w:rsid w:val="003D08F8"/>
    <w:rsid w:val="003D1D93"/>
    <w:rsid w:val="003D3C05"/>
    <w:rsid w:val="003D4FED"/>
    <w:rsid w:val="003D5261"/>
    <w:rsid w:val="003D5457"/>
    <w:rsid w:val="003D54ED"/>
    <w:rsid w:val="003D5A80"/>
    <w:rsid w:val="003D6B4E"/>
    <w:rsid w:val="003D7719"/>
    <w:rsid w:val="003E04E3"/>
    <w:rsid w:val="003E1676"/>
    <w:rsid w:val="003E1AFA"/>
    <w:rsid w:val="003E1CAC"/>
    <w:rsid w:val="003E2863"/>
    <w:rsid w:val="003E3066"/>
    <w:rsid w:val="003E4431"/>
    <w:rsid w:val="003E47F7"/>
    <w:rsid w:val="003E5FEA"/>
    <w:rsid w:val="003E63B2"/>
    <w:rsid w:val="003E6C43"/>
    <w:rsid w:val="003E6DEF"/>
    <w:rsid w:val="003E75E9"/>
    <w:rsid w:val="003E7646"/>
    <w:rsid w:val="003F0BB2"/>
    <w:rsid w:val="003F0BCA"/>
    <w:rsid w:val="003F1FC8"/>
    <w:rsid w:val="003F2765"/>
    <w:rsid w:val="003F360E"/>
    <w:rsid w:val="003F38E4"/>
    <w:rsid w:val="003F3ECF"/>
    <w:rsid w:val="003F3FEB"/>
    <w:rsid w:val="003F4168"/>
    <w:rsid w:val="003F5225"/>
    <w:rsid w:val="003F6DDA"/>
    <w:rsid w:val="003F6DDC"/>
    <w:rsid w:val="003F794A"/>
    <w:rsid w:val="004006E4"/>
    <w:rsid w:val="0040380B"/>
    <w:rsid w:val="004039B9"/>
    <w:rsid w:val="004058F5"/>
    <w:rsid w:val="00406408"/>
    <w:rsid w:val="0040669F"/>
    <w:rsid w:val="00407006"/>
    <w:rsid w:val="004104DD"/>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1F3D"/>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45A"/>
    <w:rsid w:val="004978F0"/>
    <w:rsid w:val="004979B6"/>
    <w:rsid w:val="004979D6"/>
    <w:rsid w:val="004A0DAE"/>
    <w:rsid w:val="004A1D8A"/>
    <w:rsid w:val="004A1DE3"/>
    <w:rsid w:val="004A3306"/>
    <w:rsid w:val="004A4592"/>
    <w:rsid w:val="004A4FD3"/>
    <w:rsid w:val="004A5A4F"/>
    <w:rsid w:val="004A6F6A"/>
    <w:rsid w:val="004A70BC"/>
    <w:rsid w:val="004B0A0B"/>
    <w:rsid w:val="004B0F2A"/>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1062"/>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2754"/>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582"/>
    <w:rsid w:val="005778A7"/>
    <w:rsid w:val="00580F10"/>
    <w:rsid w:val="0058195A"/>
    <w:rsid w:val="00582518"/>
    <w:rsid w:val="005829DC"/>
    <w:rsid w:val="00585772"/>
    <w:rsid w:val="005857B3"/>
    <w:rsid w:val="0058765F"/>
    <w:rsid w:val="005907BE"/>
    <w:rsid w:val="0059094D"/>
    <w:rsid w:val="00592EA6"/>
    <w:rsid w:val="005931DC"/>
    <w:rsid w:val="00593E27"/>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3F13"/>
    <w:rsid w:val="005D4937"/>
    <w:rsid w:val="005D50DE"/>
    <w:rsid w:val="005D5D38"/>
    <w:rsid w:val="005D679D"/>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07DB3"/>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6495"/>
    <w:rsid w:val="00637885"/>
    <w:rsid w:val="00640073"/>
    <w:rsid w:val="006405CE"/>
    <w:rsid w:val="0064179F"/>
    <w:rsid w:val="006423D5"/>
    <w:rsid w:val="00645542"/>
    <w:rsid w:val="006472F7"/>
    <w:rsid w:val="006473B9"/>
    <w:rsid w:val="00650032"/>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EE4"/>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02B7"/>
    <w:rsid w:val="006C1543"/>
    <w:rsid w:val="006C45F9"/>
    <w:rsid w:val="006C6D0D"/>
    <w:rsid w:val="006C6D5F"/>
    <w:rsid w:val="006D07B7"/>
    <w:rsid w:val="006D18E5"/>
    <w:rsid w:val="006D1976"/>
    <w:rsid w:val="006D1E3E"/>
    <w:rsid w:val="006D2436"/>
    <w:rsid w:val="006D30C2"/>
    <w:rsid w:val="006D39E6"/>
    <w:rsid w:val="006D3C17"/>
    <w:rsid w:val="006D5E6E"/>
    <w:rsid w:val="006D7260"/>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2903"/>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0E7"/>
    <w:rsid w:val="007A583D"/>
    <w:rsid w:val="007A6203"/>
    <w:rsid w:val="007A6585"/>
    <w:rsid w:val="007A73AC"/>
    <w:rsid w:val="007A75A4"/>
    <w:rsid w:val="007A7819"/>
    <w:rsid w:val="007B0E13"/>
    <w:rsid w:val="007B1CCE"/>
    <w:rsid w:val="007B1EB1"/>
    <w:rsid w:val="007B205F"/>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399D"/>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4F1"/>
    <w:rsid w:val="008435B8"/>
    <w:rsid w:val="00843E3C"/>
    <w:rsid w:val="00843F85"/>
    <w:rsid w:val="00844263"/>
    <w:rsid w:val="008445DA"/>
    <w:rsid w:val="0084592E"/>
    <w:rsid w:val="00847B3F"/>
    <w:rsid w:val="00850C84"/>
    <w:rsid w:val="00850D31"/>
    <w:rsid w:val="00851184"/>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77394"/>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12BC"/>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4CA"/>
    <w:rsid w:val="008E3BB8"/>
    <w:rsid w:val="008E4285"/>
    <w:rsid w:val="008E459E"/>
    <w:rsid w:val="008E5973"/>
    <w:rsid w:val="008E6A39"/>
    <w:rsid w:val="008E7649"/>
    <w:rsid w:val="008F11E1"/>
    <w:rsid w:val="008F1E99"/>
    <w:rsid w:val="008F216B"/>
    <w:rsid w:val="008F2CA9"/>
    <w:rsid w:val="008F3866"/>
    <w:rsid w:val="008F41B8"/>
    <w:rsid w:val="008F494C"/>
    <w:rsid w:val="008F57DB"/>
    <w:rsid w:val="008F6562"/>
    <w:rsid w:val="008F766D"/>
    <w:rsid w:val="00900413"/>
    <w:rsid w:val="00900575"/>
    <w:rsid w:val="0090079D"/>
    <w:rsid w:val="00900E5D"/>
    <w:rsid w:val="009018CF"/>
    <w:rsid w:val="00901FBC"/>
    <w:rsid w:val="00902AA8"/>
    <w:rsid w:val="0090748A"/>
    <w:rsid w:val="009075FE"/>
    <w:rsid w:val="00907F7D"/>
    <w:rsid w:val="009119D6"/>
    <w:rsid w:val="00912550"/>
    <w:rsid w:val="00912EBC"/>
    <w:rsid w:val="00912F7B"/>
    <w:rsid w:val="009145E2"/>
    <w:rsid w:val="00914FFD"/>
    <w:rsid w:val="00915B8B"/>
    <w:rsid w:val="00915CFB"/>
    <w:rsid w:val="00915EEC"/>
    <w:rsid w:val="009166E5"/>
    <w:rsid w:val="00922324"/>
    <w:rsid w:val="009235DD"/>
    <w:rsid w:val="00923AE5"/>
    <w:rsid w:val="00923B5A"/>
    <w:rsid w:val="00923D30"/>
    <w:rsid w:val="00924A6D"/>
    <w:rsid w:val="00924BD3"/>
    <w:rsid w:val="00925609"/>
    <w:rsid w:val="009263B8"/>
    <w:rsid w:val="0092699D"/>
    <w:rsid w:val="009276E0"/>
    <w:rsid w:val="00927881"/>
    <w:rsid w:val="00927BE1"/>
    <w:rsid w:val="00930A07"/>
    <w:rsid w:val="00930F4D"/>
    <w:rsid w:val="0093104A"/>
    <w:rsid w:val="00931B0D"/>
    <w:rsid w:val="0093337B"/>
    <w:rsid w:val="00934191"/>
    <w:rsid w:val="009342C2"/>
    <w:rsid w:val="00934A2E"/>
    <w:rsid w:val="00935698"/>
    <w:rsid w:val="0093665B"/>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5A4D"/>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6F1C"/>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59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4A80"/>
    <w:rsid w:val="00A1557C"/>
    <w:rsid w:val="00A15C8B"/>
    <w:rsid w:val="00A16886"/>
    <w:rsid w:val="00A16DE4"/>
    <w:rsid w:val="00A20168"/>
    <w:rsid w:val="00A20831"/>
    <w:rsid w:val="00A22D0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3F6A"/>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79C"/>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3401"/>
    <w:rsid w:val="00AF5811"/>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34E6"/>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17C"/>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1DD8"/>
    <w:rsid w:val="00B92CDA"/>
    <w:rsid w:val="00B93E7F"/>
    <w:rsid w:val="00B947A7"/>
    <w:rsid w:val="00B9566F"/>
    <w:rsid w:val="00B96244"/>
    <w:rsid w:val="00B970AD"/>
    <w:rsid w:val="00B97986"/>
    <w:rsid w:val="00BA1B67"/>
    <w:rsid w:val="00BA2F9E"/>
    <w:rsid w:val="00BA414E"/>
    <w:rsid w:val="00BA4DAC"/>
    <w:rsid w:val="00BA67A5"/>
    <w:rsid w:val="00BA71FE"/>
    <w:rsid w:val="00BA78B2"/>
    <w:rsid w:val="00BA7EF2"/>
    <w:rsid w:val="00BB0619"/>
    <w:rsid w:val="00BB09F8"/>
    <w:rsid w:val="00BB2D18"/>
    <w:rsid w:val="00BB4F39"/>
    <w:rsid w:val="00BB6256"/>
    <w:rsid w:val="00BB71FF"/>
    <w:rsid w:val="00BB7D98"/>
    <w:rsid w:val="00BC0005"/>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179A"/>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909"/>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075C"/>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17E"/>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D7EE6"/>
    <w:rsid w:val="00CE2C57"/>
    <w:rsid w:val="00CE3484"/>
    <w:rsid w:val="00CE42D0"/>
    <w:rsid w:val="00CE6A0A"/>
    <w:rsid w:val="00CF0FEF"/>
    <w:rsid w:val="00CF1C74"/>
    <w:rsid w:val="00CF1DB8"/>
    <w:rsid w:val="00CF28B5"/>
    <w:rsid w:val="00CF3309"/>
    <w:rsid w:val="00CF371E"/>
    <w:rsid w:val="00CF3784"/>
    <w:rsid w:val="00CF3D32"/>
    <w:rsid w:val="00CF5041"/>
    <w:rsid w:val="00CF67DD"/>
    <w:rsid w:val="00D011FF"/>
    <w:rsid w:val="00D013C2"/>
    <w:rsid w:val="00D01726"/>
    <w:rsid w:val="00D02C8B"/>
    <w:rsid w:val="00D02E65"/>
    <w:rsid w:val="00D0355B"/>
    <w:rsid w:val="00D042E4"/>
    <w:rsid w:val="00D04B59"/>
    <w:rsid w:val="00D0515E"/>
    <w:rsid w:val="00D05419"/>
    <w:rsid w:val="00D054B0"/>
    <w:rsid w:val="00D07CD7"/>
    <w:rsid w:val="00D07F30"/>
    <w:rsid w:val="00D100C4"/>
    <w:rsid w:val="00D10F9C"/>
    <w:rsid w:val="00D13ED2"/>
    <w:rsid w:val="00D1469B"/>
    <w:rsid w:val="00D14E23"/>
    <w:rsid w:val="00D15A96"/>
    <w:rsid w:val="00D2155A"/>
    <w:rsid w:val="00D22043"/>
    <w:rsid w:val="00D24A5E"/>
    <w:rsid w:val="00D24C6A"/>
    <w:rsid w:val="00D25A15"/>
    <w:rsid w:val="00D26268"/>
    <w:rsid w:val="00D27021"/>
    <w:rsid w:val="00D273F2"/>
    <w:rsid w:val="00D31076"/>
    <w:rsid w:val="00D31412"/>
    <w:rsid w:val="00D31414"/>
    <w:rsid w:val="00D31992"/>
    <w:rsid w:val="00D3199E"/>
    <w:rsid w:val="00D32455"/>
    <w:rsid w:val="00D32DE2"/>
    <w:rsid w:val="00D33790"/>
    <w:rsid w:val="00D349C3"/>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3F4"/>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1DDF"/>
    <w:rsid w:val="00D8285C"/>
    <w:rsid w:val="00D83BC9"/>
    <w:rsid w:val="00D84459"/>
    <w:rsid w:val="00D844F6"/>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AD3"/>
    <w:rsid w:val="00DA6C1B"/>
    <w:rsid w:val="00DB018A"/>
    <w:rsid w:val="00DB0A8B"/>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1EBD"/>
    <w:rsid w:val="00E72EF2"/>
    <w:rsid w:val="00E74ACA"/>
    <w:rsid w:val="00E75CA4"/>
    <w:rsid w:val="00E765D0"/>
    <w:rsid w:val="00E773E1"/>
    <w:rsid w:val="00E8065F"/>
    <w:rsid w:val="00E8302D"/>
    <w:rsid w:val="00E83ED5"/>
    <w:rsid w:val="00E84ACE"/>
    <w:rsid w:val="00E85277"/>
    <w:rsid w:val="00E85FE6"/>
    <w:rsid w:val="00E8691A"/>
    <w:rsid w:val="00E87D9E"/>
    <w:rsid w:val="00E901AC"/>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A7F75"/>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162"/>
    <w:rsid w:val="00F31881"/>
    <w:rsid w:val="00F318CF"/>
    <w:rsid w:val="00F31D01"/>
    <w:rsid w:val="00F329BF"/>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BEF"/>
    <w:rsid w:val="00F51D4A"/>
    <w:rsid w:val="00F51EBD"/>
    <w:rsid w:val="00F532DF"/>
    <w:rsid w:val="00F553D9"/>
    <w:rsid w:val="00F5572B"/>
    <w:rsid w:val="00F5596B"/>
    <w:rsid w:val="00F56F2E"/>
    <w:rsid w:val="00F6075A"/>
    <w:rsid w:val="00F63808"/>
    <w:rsid w:val="00F65141"/>
    <w:rsid w:val="00F65362"/>
    <w:rsid w:val="00F6708C"/>
    <w:rsid w:val="00F67406"/>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A702E"/>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 w:val="00FF7761"/>
    <w:rsid w:val="0BA8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Document Map"/>
    <w:basedOn w:val="1"/>
    <w:link w:val="60"/>
    <w:semiHidden/>
    <w:unhideWhenUsed/>
    <w:uiPriority w:val="99"/>
    <w:rPr>
      <w:rFonts w:ascii="宋体"/>
      <w:sz w:val="18"/>
      <w:szCs w:val="18"/>
    </w:rPr>
  </w:style>
  <w:style w:type="paragraph" w:styleId="13">
    <w:name w:val="annotation text"/>
    <w:basedOn w:val="1"/>
    <w:link w:val="5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7"/>
    <w:qFormat/>
    <w:uiPriority w:val="99"/>
    <w:pPr>
      <w:widowControl/>
      <w:jc w:val="left"/>
    </w:pPr>
    <w:rPr>
      <w:rFonts w:ascii="Courier New" w:hAnsi="Courier New"/>
      <w:kern w:val="0"/>
      <w:sz w:val="20"/>
    </w:rPr>
  </w:style>
  <w:style w:type="paragraph" w:styleId="17">
    <w:name w:val="Date"/>
    <w:basedOn w:val="1"/>
    <w:next w:val="1"/>
    <w:link w:val="61"/>
    <w:semiHidden/>
    <w:unhideWhenUsed/>
    <w:uiPriority w:val="99"/>
    <w:pPr>
      <w:ind w:left="100" w:leftChars="2500"/>
    </w:p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uiPriority w:val="0"/>
    <w:rPr>
      <w:sz w:val="18"/>
    </w:rPr>
  </w:style>
  <w:style w:type="paragraph" w:styleId="20">
    <w:name w:val="footer"/>
    <w:basedOn w:val="1"/>
    <w:link w:val="58"/>
    <w:qFormat/>
    <w:uiPriority w:val="99"/>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uiPriority w:val="0"/>
    <w:rPr>
      <w:b/>
    </w:rPr>
  </w:style>
  <w:style w:type="paragraph" w:styleId="27">
    <w:name w:val="Body Text First Indent"/>
    <w:basedOn w:val="14"/>
    <w:qFormat/>
    <w:uiPriority w:val="0"/>
    <w:pPr>
      <w:spacing w:line="300" w:lineRule="auto"/>
      <w:ind w:firstLine="425"/>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read"/>
    <w:basedOn w:val="30"/>
    <w:qFormat/>
    <w:uiPriority w:val="0"/>
  </w:style>
  <w:style w:type="character" w:customStyle="1" w:styleId="35">
    <w:name w:val="已访问的超链接1"/>
    <w:qFormat/>
    <w:uiPriority w:val="0"/>
    <w:rPr>
      <w:color w:val="800080"/>
      <w:u w:val="single"/>
    </w:rPr>
  </w:style>
  <w:style w:type="character" w:customStyle="1" w:styleId="36">
    <w:name w:val="big1"/>
    <w:uiPriority w:val="0"/>
    <w:rPr>
      <w:sz w:val="22"/>
    </w:rPr>
  </w:style>
  <w:style w:type="character" w:customStyle="1" w:styleId="37">
    <w:name w:val="纯文本 字符"/>
    <w:link w:val="16"/>
    <w:qFormat/>
    <w:uiPriority w:val="99"/>
    <w:rPr>
      <w:rFonts w:ascii="Courier New" w:hAnsi="Courier New"/>
    </w:rPr>
  </w:style>
  <w:style w:type="character" w:customStyle="1" w:styleId="38">
    <w:name w:val="ten51"/>
    <w:qFormat/>
    <w:uiPriority w:val="0"/>
    <w:rPr>
      <w:sz w:val="21"/>
    </w:rPr>
  </w:style>
  <w:style w:type="paragraph" w:customStyle="1" w:styleId="39">
    <w:name w:val="Char Char Char Char Char Char Char"/>
    <w:basedOn w:val="1"/>
    <w:qFormat/>
    <w:uiPriority w:val="0"/>
  </w:style>
  <w:style w:type="paragraph" w:customStyle="1" w:styleId="40">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1">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2">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4">
    <w:name w:val="表格正文"/>
    <w:basedOn w:val="4"/>
    <w:qFormat/>
    <w:uiPriority w:val="0"/>
    <w:pPr>
      <w:spacing w:beforeLines="50"/>
      <w:ind w:firstLine="0" w:firstLineChars="0"/>
      <w:jc w:val="center"/>
    </w:pPr>
    <w:rPr>
      <w:sz w:val="24"/>
    </w:rPr>
  </w:style>
  <w:style w:type="paragraph" w:customStyle="1" w:styleId="45">
    <w:name w:val="Char"/>
    <w:basedOn w:val="1"/>
    <w:uiPriority w:val="0"/>
  </w:style>
  <w:style w:type="paragraph" w:customStyle="1" w:styleId="46">
    <w:name w:val="Char Char Char Char1 Char Char Char"/>
    <w:basedOn w:val="1"/>
    <w:uiPriority w:val="0"/>
  </w:style>
  <w:style w:type="paragraph" w:customStyle="1" w:styleId="47">
    <w:name w:val="默认段落字体 Para Char Char Char Char Char Char"/>
    <w:basedOn w:val="1"/>
    <w:uiPriority w:val="0"/>
    <w:pPr>
      <w:tabs>
        <w:tab w:val="left" w:pos="840"/>
      </w:tabs>
      <w:ind w:left="840" w:hanging="360"/>
    </w:pPr>
    <w:rPr>
      <w:sz w:val="24"/>
    </w:rPr>
  </w:style>
  <w:style w:type="paragraph" w:customStyle="1" w:styleId="48">
    <w:name w:val="报告署名"/>
    <w:basedOn w:val="1"/>
    <w:next w:val="1"/>
    <w:qFormat/>
    <w:uiPriority w:val="0"/>
    <w:pPr>
      <w:spacing w:line="360" w:lineRule="auto"/>
      <w:jc w:val="center"/>
    </w:pPr>
    <w:rPr>
      <w:rFonts w:ascii="宋体" w:hAnsi="宋体"/>
      <w:sz w:val="24"/>
    </w:rPr>
  </w:style>
  <w:style w:type="paragraph" w:customStyle="1" w:styleId="49">
    <w:name w:val="Char Char Char Char Char"/>
    <w:basedOn w:val="1"/>
    <w:qFormat/>
    <w:uiPriority w:val="0"/>
    <w:pPr>
      <w:tabs>
        <w:tab w:val="left" w:pos="840"/>
      </w:tabs>
      <w:ind w:left="840" w:hanging="360"/>
    </w:pPr>
    <w:rPr>
      <w:sz w:val="24"/>
    </w:rPr>
  </w:style>
  <w:style w:type="paragraph" w:customStyle="1" w:styleId="50">
    <w:name w:val="列表2"/>
    <w:basedOn w:val="1"/>
    <w:next w:val="25"/>
    <w:uiPriority w:val="0"/>
    <w:pPr>
      <w:tabs>
        <w:tab w:val="left" w:pos="1125"/>
      </w:tabs>
      <w:spacing w:line="360" w:lineRule="auto"/>
      <w:ind w:left="1125" w:hanging="1125"/>
    </w:pPr>
    <w:rPr>
      <w:rFonts w:ascii="宋体"/>
    </w:rPr>
  </w:style>
  <w:style w:type="paragraph" w:styleId="51">
    <w:name w:val="List Paragraph"/>
    <w:basedOn w:val="1"/>
    <w:qFormat/>
    <w:uiPriority w:val="0"/>
    <w:pPr>
      <w:ind w:firstLine="420" w:firstLineChars="200"/>
    </w:pPr>
  </w:style>
  <w:style w:type="character" w:customStyle="1" w:styleId="52">
    <w:name w:val="批注文字 字符"/>
    <w:link w:val="13"/>
    <w:qFormat/>
    <w:uiPriority w:val="0"/>
    <w:rPr>
      <w:kern w:val="2"/>
      <w:sz w:val="21"/>
    </w:rPr>
  </w:style>
  <w:style w:type="paragraph" w:customStyle="1" w:styleId="53">
    <w:name w:val="Char Char"/>
    <w:basedOn w:val="1"/>
    <w:qFormat/>
    <w:uiPriority w:val="0"/>
    <w:pPr>
      <w:tabs>
        <w:tab w:val="left" w:pos="840"/>
      </w:tabs>
      <w:ind w:left="840" w:hanging="360"/>
    </w:pPr>
    <w:rPr>
      <w:sz w:val="24"/>
      <w:szCs w:val="24"/>
    </w:rPr>
  </w:style>
  <w:style w:type="paragraph" w:customStyle="1" w:styleId="54">
    <w:name w:val="1 Char"/>
    <w:basedOn w:val="1"/>
    <w:semiHidden/>
    <w:qFormat/>
    <w:uiPriority w:val="0"/>
    <w:pPr>
      <w:tabs>
        <w:tab w:val="left" w:pos="360"/>
      </w:tabs>
    </w:pPr>
    <w:rPr>
      <w:sz w:val="24"/>
      <w:szCs w:val="24"/>
    </w:rPr>
  </w:style>
  <w:style w:type="paragraph" w:customStyle="1" w:styleId="55">
    <w:name w:val="Revision"/>
    <w:hidden/>
    <w:semiHidden/>
    <w:qFormat/>
    <w:uiPriority w:val="99"/>
    <w:rPr>
      <w:rFonts w:ascii="Times New Roman" w:hAnsi="Times New Roman" w:eastAsia="宋体" w:cs="Times New Roman"/>
      <w:kern w:val="2"/>
      <w:sz w:val="21"/>
      <w:lang w:val="en-US" w:eastAsia="zh-CN" w:bidi="ar-SA"/>
    </w:rPr>
  </w:style>
  <w:style w:type="character" w:customStyle="1" w:styleId="56">
    <w:name w:val="unnamed11"/>
    <w:qFormat/>
    <w:uiPriority w:val="0"/>
    <w:rPr>
      <w:rFonts w:hint="eastAsia" w:ascii="宋体" w:hAnsi="宋体" w:eastAsia="宋体"/>
      <w:sz w:val="18"/>
      <w:szCs w:val="18"/>
    </w:rPr>
  </w:style>
  <w:style w:type="paragraph" w:customStyle="1" w:styleId="5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8">
    <w:name w:val="页脚 字符"/>
    <w:link w:val="20"/>
    <w:qFormat/>
    <w:uiPriority w:val="99"/>
    <w:rPr>
      <w:kern w:val="2"/>
      <w:sz w:val="18"/>
    </w:rPr>
  </w:style>
  <w:style w:type="paragraph" w:customStyle="1" w:styleId="59">
    <w:name w:val="Char1"/>
    <w:basedOn w:val="1"/>
    <w:qFormat/>
    <w:uiPriority w:val="0"/>
  </w:style>
  <w:style w:type="character" w:customStyle="1" w:styleId="60">
    <w:name w:val="文档结构图 字符"/>
    <w:link w:val="12"/>
    <w:semiHidden/>
    <w:qFormat/>
    <w:uiPriority w:val="99"/>
    <w:rPr>
      <w:rFonts w:ascii="宋体"/>
      <w:kern w:val="2"/>
      <w:sz w:val="18"/>
      <w:szCs w:val="18"/>
    </w:rPr>
  </w:style>
  <w:style w:type="character" w:customStyle="1" w:styleId="61">
    <w:name w:val="日期 字符"/>
    <w:basedOn w:val="30"/>
    <w:link w:val="17"/>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77536-B794-4EFB-AD2C-9FF01A0B10C9}">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159</Pages>
  <Words>15175</Words>
  <Characters>86503</Characters>
  <Lines>720</Lines>
  <Paragraphs>202</Paragraphs>
  <TotalTime>0</TotalTime>
  <ScaleCrop>false</ScaleCrop>
  <LinksUpToDate>false</LinksUpToDate>
  <CharactersWithSpaces>101476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2021-03-25T08:38:00Z</dcterms:created>
  <dc:creator>倪俊-2</dc:creator>
  <cp:lastModifiedBy>wangwanting</cp:lastModifiedBy>
  <cp:lastPrinted>2019-03-15T03:27:00Z</cp:lastPrinted>
  <dcterms:modified xsi:type="dcterms:W3CDTF">2021-05-07T06:34:49Z</dcterms:modified>
  <dc:title>招募说明书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