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交银施罗德境尚收益债券型证券投资基金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交银境尚收益债券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2017年3月3日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3,941,325,701.84</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在严格控制风险的前提下,力求获得高于业绩基准的投资收益。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pPr>
              <w:adjustRightInd w:val="0"/>
              <w:spacing w:before="29" w:line="288" w:lineRule="auto"/>
              <w:ind w:left="17"/>
              <w:jc w:val="left"/>
              <w:rPr>
                <w:color w:val="000000"/>
                <w:sz w:val="24"/>
              </w:rPr>
            </w:pPr>
            <w:r>
              <w:rPr>
                <w:color w:val="000000"/>
                <w:kern w:val="0"/>
                <w:sz w:val="24"/>
              </w:rPr>
              <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封闭期内业绩比较基准：两年期银行定期存款税后收益率+1.25%。</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开放期内业绩比较基准：中债综合全价指数收益率。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交银境尚收益债券A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交银境尚收益债券C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519784</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519785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3,941,165,621.71</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160,080.13</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注：本基金自2019年3月5日起转为开放式运作。 </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(2020年10月1日-2020年12月31日)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交银境尚收益债券A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交银境尚收益债券C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19,740,214.95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700.02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37,649,544.02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1,381.64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0.0095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0.0073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3,971,873,397.17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161,238.32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1.0078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1.0072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交银境尚收益债券A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0.96%</w:t>
            </w:r>
          </w:p>
        </w:tc>
        <w:tc>
          <w:tcPr>
            <w:vAlign w:val="center"/>
          </w:tcPr>
          <w:p>
            <w:pPr>
              <w:jc w:val="center"/>
            </w:pPr>
            <w:r>
              <w:rPr>
                <w:color w:val="000000"/>
                <w:sz w:val="24"/>
              </w:rPr>
              <w:t>0.02%</w:t>
            </w:r>
          </w:p>
        </w:tc>
        <w:tc>
          <w:tcPr>
            <w:vAlign w:val="center"/>
          </w:tcPr>
          <w:p>
            <w:pPr>
              <w:jc w:val="center"/>
            </w:pPr>
            <w:r>
              <w:rPr>
                <w:color w:val="000000"/>
                <w:sz w:val="24"/>
              </w:rPr>
              <w:t>0.64%</w:t>
            </w:r>
          </w:p>
        </w:tc>
        <w:tc>
          <w:tcPr>
            <w:vAlign w:val="center"/>
          </w:tcPr>
          <w:p>
            <w:pPr>
              <w:jc w:val="center"/>
            </w:pPr>
            <w:r>
              <w:rPr>
                <w:color w:val="000000"/>
                <w:sz w:val="24"/>
              </w:rPr>
              <w:t>0.04%</w:t>
            </w:r>
          </w:p>
        </w:tc>
        <w:tc>
          <w:tcPr>
            <w:vAlign w:val="center"/>
          </w:tcPr>
          <w:p>
            <w:pPr>
              <w:jc w:val="center"/>
            </w:pPr>
            <w:r>
              <w:rPr>
                <w:color w:val="000000"/>
                <w:sz w:val="24"/>
              </w:rPr>
              <w:t>0.32%</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0.74%</w:t>
            </w:r>
          </w:p>
        </w:tc>
        <w:tc>
          <w:tcPr>
            <w:vAlign w:val="center"/>
          </w:tcPr>
          <w:p>
            <w:pPr>
              <w:jc w:val="center"/>
            </w:pPr>
            <w:r>
              <w:rPr>
                <w:color w:val="000000"/>
                <w:sz w:val="24"/>
              </w:rPr>
              <w:t>0.04%</w:t>
            </w:r>
          </w:p>
        </w:tc>
        <w:tc>
          <w:tcPr>
            <w:vAlign w:val="center"/>
          </w:tcPr>
          <w:p>
            <w:pPr>
              <w:jc w:val="center"/>
            </w:pPr>
            <w:r>
              <w:rPr>
                <w:color w:val="000000"/>
                <w:sz w:val="24"/>
              </w:rPr>
              <w:t>-0.85%</w:t>
            </w:r>
          </w:p>
        </w:tc>
        <w:tc>
          <w:tcPr>
            <w:vAlign w:val="center"/>
          </w:tcPr>
          <w:p>
            <w:pPr>
              <w:jc w:val="center"/>
            </w:pPr>
            <w:r>
              <w:rPr>
                <w:color w:val="000000"/>
                <w:sz w:val="24"/>
              </w:rPr>
              <w:t>0.07%</w:t>
            </w:r>
          </w:p>
        </w:tc>
        <w:tc>
          <w:tcPr>
            <w:vAlign w:val="center"/>
          </w:tcPr>
          <w:p>
            <w:pPr>
              <w:jc w:val="center"/>
            </w:pPr>
            <w:r>
              <w:rPr>
                <w:color w:val="000000"/>
                <w:sz w:val="24"/>
              </w:rPr>
              <w:t>1.59%</w:t>
            </w:r>
          </w:p>
        </w:tc>
        <w:tc>
          <w:tcPr>
            <w:vAlign w:val="center"/>
          </w:tcPr>
          <w:p>
            <w:pPr>
              <w:jc w:val="center"/>
            </w:pPr>
            <w:r>
              <w:rPr>
                <w:color w:val="000000"/>
                <w:sz w:val="24"/>
              </w:rPr>
              <w:t>-0.03%</w:t>
            </w:r>
          </w:p>
        </w:tc>
      </w:tr>
      <w:tr>
        <w:tc>
          <w:tcPr>
            <w:vAlign w:val="center"/>
          </w:tcPr>
          <w:p>
            <w:pPr>
              <w:jc w:val="left"/>
            </w:pPr>
            <w:r>
              <w:rPr>
                <w:color w:val="000000"/>
                <w:sz w:val="24"/>
              </w:rPr>
              <w:t>过去一年</w:t>
            </w:r>
          </w:p>
        </w:tc>
        <w:tc>
          <w:tcPr>
            <w:vAlign w:val="center"/>
          </w:tcPr>
          <w:p>
            <w:pPr>
              <w:jc w:val="center"/>
            </w:pPr>
            <w:r>
              <w:rPr>
                <w:color w:val="000000"/>
                <w:sz w:val="24"/>
              </w:rPr>
              <w:t>3.24%</w:t>
            </w:r>
          </w:p>
        </w:tc>
        <w:tc>
          <w:tcPr>
            <w:vAlign w:val="center"/>
          </w:tcPr>
          <w:p>
            <w:pPr>
              <w:jc w:val="center"/>
            </w:pPr>
            <w:r>
              <w:rPr>
                <w:color w:val="000000"/>
                <w:sz w:val="24"/>
              </w:rPr>
              <w:t>0.09%</w:t>
            </w:r>
          </w:p>
        </w:tc>
        <w:tc>
          <w:tcPr>
            <w:vAlign w:val="center"/>
          </w:tcPr>
          <w:p>
            <w:pPr>
              <w:jc w:val="center"/>
            </w:pPr>
            <w:r>
              <w:rPr>
                <w:color w:val="000000"/>
                <w:sz w:val="24"/>
              </w:rPr>
              <w:t>-0.07%</w:t>
            </w:r>
          </w:p>
        </w:tc>
        <w:tc>
          <w:tcPr>
            <w:vAlign w:val="center"/>
          </w:tcPr>
          <w:p>
            <w:pPr>
              <w:jc w:val="center"/>
            </w:pPr>
            <w:r>
              <w:rPr>
                <w:color w:val="000000"/>
                <w:sz w:val="24"/>
              </w:rPr>
              <w:t>0.09%</w:t>
            </w:r>
          </w:p>
        </w:tc>
        <w:tc>
          <w:tcPr>
            <w:vAlign w:val="center"/>
          </w:tcPr>
          <w:p>
            <w:pPr>
              <w:jc w:val="center"/>
            </w:pPr>
            <w:r>
              <w:rPr>
                <w:color w:val="000000"/>
                <w:sz w:val="24"/>
              </w:rPr>
              <w:t>3.31%</w:t>
            </w:r>
          </w:p>
        </w:tc>
        <w:tc>
          <w:tcPr>
            <w:vAlign w:val="center"/>
          </w:tcPr>
          <w:p>
            <w:pPr>
              <w:jc w:val="center"/>
            </w:pPr>
            <w:r>
              <w:rPr>
                <w:color w:val="000000"/>
                <w:sz w:val="24"/>
              </w:rPr>
              <w:t>0.00%</w:t>
            </w:r>
          </w:p>
        </w:tc>
      </w:tr>
      <w:tr>
        <w:tc>
          <w:tcPr>
            <w:vAlign w:val="center"/>
          </w:tcPr>
          <w:p>
            <w:pPr>
              <w:jc w:val="left"/>
            </w:pPr>
            <w:r>
              <w:rPr>
                <w:color w:val="000000"/>
                <w:sz w:val="24"/>
              </w:rPr>
              <w:t>过去三年</w:t>
            </w:r>
          </w:p>
        </w:tc>
        <w:tc>
          <w:tcPr>
            <w:vAlign w:val="center"/>
          </w:tcPr>
          <w:p>
            <w:pPr>
              <w:jc w:val="center"/>
            </w:pPr>
            <w:r>
              <w:rPr>
                <w:color w:val="000000"/>
                <w:sz w:val="24"/>
              </w:rPr>
              <w:t>15.48%</w:t>
            </w:r>
          </w:p>
        </w:tc>
        <w:tc>
          <w:tcPr>
            <w:vAlign w:val="center"/>
          </w:tcPr>
          <w:p>
            <w:pPr>
              <w:jc w:val="center"/>
            </w:pPr>
            <w:r>
              <w:rPr>
                <w:color w:val="000000"/>
                <w:sz w:val="24"/>
              </w:rPr>
              <w:t>0.07%</w:t>
            </w:r>
          </w:p>
        </w:tc>
        <w:tc>
          <w:tcPr>
            <w:vAlign w:val="center"/>
          </w:tcPr>
          <w:p>
            <w:pPr>
              <w:jc w:val="center"/>
            </w:pPr>
            <w:r>
              <w:rPr>
                <w:color w:val="000000"/>
                <w:sz w:val="24"/>
              </w:rPr>
              <w:t>4.79%</w:t>
            </w:r>
          </w:p>
        </w:tc>
        <w:tc>
          <w:tcPr>
            <w:vAlign w:val="center"/>
          </w:tcPr>
          <w:p>
            <w:pPr>
              <w:jc w:val="center"/>
            </w:pPr>
            <w:r>
              <w:rPr>
                <w:color w:val="000000"/>
                <w:sz w:val="24"/>
              </w:rPr>
              <w:t>0.06%</w:t>
            </w:r>
          </w:p>
        </w:tc>
        <w:tc>
          <w:tcPr>
            <w:vAlign w:val="center"/>
          </w:tcPr>
          <w:p>
            <w:pPr>
              <w:jc w:val="center"/>
            </w:pPr>
            <w:r>
              <w:rPr>
                <w:color w:val="000000"/>
                <w:sz w:val="24"/>
              </w:rPr>
              <w:t>10.69%</w:t>
            </w:r>
          </w:p>
        </w:tc>
        <w:tc>
          <w:tcPr>
            <w:vAlign w:val="center"/>
          </w:tcPr>
          <w:p>
            <w:pPr>
              <w:jc w:val="center"/>
            </w:pPr>
            <w:r>
              <w:rPr>
                <w:color w:val="000000"/>
                <w:sz w:val="24"/>
              </w:rPr>
              <w:t>0.01%</w:t>
            </w:r>
          </w:p>
        </w:tc>
      </w:tr>
      <w:tr>
        <w:tc>
          <w:tcPr>
            <w:vAlign w:val="center"/>
          </w:tcPr>
          <w:p>
            <w:pPr>
              <w:jc w:val="left"/>
            </w:pPr>
            <w:r>
              <w:rPr>
                <w:color w:val="000000"/>
                <w:sz w:val="24"/>
              </w:rPr>
              <w:t>自基金合同生效至今</w:t>
            </w:r>
          </w:p>
        </w:tc>
        <w:tc>
          <w:tcPr>
            <w:vAlign w:val="center"/>
          </w:tcPr>
          <w:p>
            <w:pPr>
              <w:jc w:val="center"/>
            </w:pPr>
            <w:r>
              <w:rPr>
                <w:color w:val="000000"/>
                <w:sz w:val="24"/>
              </w:rPr>
              <w:t>16.35%</w:t>
            </w:r>
          </w:p>
        </w:tc>
        <w:tc>
          <w:tcPr>
            <w:vAlign w:val="center"/>
          </w:tcPr>
          <w:p>
            <w:pPr>
              <w:jc w:val="center"/>
            </w:pPr>
            <w:r>
              <w:rPr>
                <w:color w:val="000000"/>
                <w:sz w:val="24"/>
              </w:rPr>
              <w:t>0.07%</w:t>
            </w:r>
          </w:p>
        </w:tc>
        <w:tc>
          <w:tcPr>
            <w:vAlign w:val="center"/>
          </w:tcPr>
          <w:p>
            <w:pPr>
              <w:jc w:val="center"/>
            </w:pPr>
            <w:r>
              <w:rPr>
                <w:color w:val="000000"/>
                <w:sz w:val="24"/>
              </w:rPr>
              <w:t>7.75%</w:t>
            </w:r>
          </w:p>
        </w:tc>
        <w:tc>
          <w:tcPr>
            <w:vAlign w:val="center"/>
          </w:tcPr>
          <w:p>
            <w:pPr>
              <w:jc w:val="center"/>
            </w:pPr>
            <w:r>
              <w:rPr>
                <w:color w:val="000000"/>
                <w:sz w:val="24"/>
              </w:rPr>
              <w:t>0.05%</w:t>
            </w:r>
          </w:p>
        </w:tc>
        <w:tc>
          <w:tcPr>
            <w:vAlign w:val="center"/>
          </w:tcPr>
          <w:p>
            <w:pPr>
              <w:jc w:val="center"/>
            </w:pPr>
            <w:r>
              <w:rPr>
                <w:color w:val="000000"/>
                <w:sz w:val="24"/>
              </w:rPr>
              <w:t>8.60%</w:t>
            </w:r>
          </w:p>
        </w:tc>
        <w:tc>
          <w:tcPr>
            <w:vAlign w:val="center"/>
          </w:tcPr>
          <w:p>
            <w:pPr>
              <w:jc w:val="center"/>
            </w:pPr>
            <w:r>
              <w:rPr>
                <w:color w:val="000000"/>
                <w:sz w:val="24"/>
              </w:rPr>
              <w:t>0.02%</w:t>
            </w:r>
          </w:p>
        </w:tc>
      </w:tr>
    </w:tbl>
    <w:p w:rsidP="007C14DF" w:rsidR="009238DB" w:rsidRDefault="004425E8" w:rsidRPr="007F52FA">
      <w:pPr>
        <w:autoSpaceDE w:val="0"/>
        <w:autoSpaceDN w:val="0"/>
        <w:adjustRightInd w:val="0"/>
        <w:spacing w:before="29" w:line="288" w:lineRule="auto"/>
        <w:jc w:val="left"/>
        <w:rPr>
          <w:color w:val="000000"/>
          <w:sz w:val="24"/>
        </w:rPr>
      </w:pPr>
      <w:r w:rsidRPr="007F52FA">
        <w:rPr>
          <w:color w:val="000000"/>
          <w:sz w:val="24"/>
        </w:rPr>
        <w:t/>
      </w:r>
      <w:r w:rsidR="00243122" w:rsidRPr="007F52FA">
        <w:rPr>
          <w:color w:val="000000"/>
          <w:sz w:val="24"/>
        </w:rPr>
        <w:t/>
      </w:r>
      <w:r w:rsidR="0042785F" w:rsidRPr="007F52FA">
        <w:rPr>
          <w:color w:val="000000"/>
          <w:sz w:val="24"/>
        </w:rPr>
        <w:t/>
      </w:r>
      <w:r w:rsidR="00243122" w:rsidRPr="007F52FA">
        <w:rPr>
          <w:color w:val="000000"/>
          <w:sz w:val="24"/>
        </w:rPr>
        <w:t/>
      </w:r>
      <w:r w:rsidRPr="007F52FA">
        <w:rPr>
          <w:color w:val="000000"/>
          <w:sz w:val="24"/>
        </w:rPr>
        <w:t>注：本基金自2019年3月5日起转为开放式运作，本基金的业绩比较基准由“两年期银行定期存款税后收益率+1.25%”变更为“中债综合全价指数收益率”，3.2.2同。</w:t>
      </w:r>
    </w:p>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交银境尚收益债券C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0.80%</w:t>
            </w:r>
          </w:p>
        </w:tc>
        <w:tc>
          <w:tcPr>
            <w:vAlign w:val="center"/>
          </w:tcPr>
          <w:p>
            <w:pPr>
              <w:jc w:val="center"/>
            </w:pPr>
            <w:r>
              <w:rPr>
                <w:color w:val="000000"/>
                <w:sz w:val="24"/>
              </w:rPr>
              <w:t>0.02%</w:t>
            </w:r>
          </w:p>
        </w:tc>
        <w:tc>
          <w:tcPr>
            <w:vAlign w:val="center"/>
          </w:tcPr>
          <w:p>
            <w:pPr>
              <w:jc w:val="center"/>
            </w:pPr>
            <w:r>
              <w:rPr>
                <w:color w:val="000000"/>
                <w:sz w:val="24"/>
              </w:rPr>
              <w:t>0.64%</w:t>
            </w:r>
          </w:p>
        </w:tc>
        <w:tc>
          <w:tcPr>
            <w:vAlign w:val="center"/>
          </w:tcPr>
          <w:p>
            <w:pPr>
              <w:jc w:val="center"/>
            </w:pPr>
            <w:r>
              <w:rPr>
                <w:color w:val="000000"/>
                <w:sz w:val="24"/>
              </w:rPr>
              <w:t>0.04%</w:t>
            </w:r>
          </w:p>
        </w:tc>
        <w:tc>
          <w:tcPr>
            <w:vAlign w:val="center"/>
          </w:tcPr>
          <w:p>
            <w:pPr>
              <w:jc w:val="center"/>
            </w:pPr>
            <w:r>
              <w:rPr>
                <w:color w:val="000000"/>
                <w:sz w:val="24"/>
              </w:rPr>
              <w:t>0.16%</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0.42%</w:t>
            </w:r>
          </w:p>
        </w:tc>
        <w:tc>
          <w:tcPr>
            <w:vAlign w:val="center"/>
          </w:tcPr>
          <w:p>
            <w:pPr>
              <w:jc w:val="center"/>
            </w:pPr>
            <w:r>
              <w:rPr>
                <w:color w:val="000000"/>
                <w:sz w:val="24"/>
              </w:rPr>
              <w:t>0.04%</w:t>
            </w:r>
          </w:p>
        </w:tc>
        <w:tc>
          <w:tcPr>
            <w:vAlign w:val="center"/>
          </w:tcPr>
          <w:p>
            <w:pPr>
              <w:jc w:val="center"/>
            </w:pPr>
            <w:r>
              <w:rPr>
                <w:color w:val="000000"/>
                <w:sz w:val="24"/>
              </w:rPr>
              <w:t>-0.85%</w:t>
            </w:r>
          </w:p>
        </w:tc>
        <w:tc>
          <w:tcPr>
            <w:vAlign w:val="center"/>
          </w:tcPr>
          <w:p>
            <w:pPr>
              <w:jc w:val="center"/>
            </w:pPr>
            <w:r>
              <w:rPr>
                <w:color w:val="000000"/>
                <w:sz w:val="24"/>
              </w:rPr>
              <w:t>0.07%</w:t>
            </w:r>
          </w:p>
        </w:tc>
        <w:tc>
          <w:tcPr>
            <w:vAlign w:val="center"/>
          </w:tcPr>
          <w:p>
            <w:pPr>
              <w:jc w:val="center"/>
            </w:pPr>
            <w:r>
              <w:rPr>
                <w:color w:val="000000"/>
                <w:sz w:val="24"/>
              </w:rPr>
              <w:t>1.27%</w:t>
            </w:r>
          </w:p>
        </w:tc>
        <w:tc>
          <w:tcPr>
            <w:vAlign w:val="center"/>
          </w:tcPr>
          <w:p>
            <w:pPr>
              <w:jc w:val="center"/>
            </w:pPr>
            <w:r>
              <w:rPr>
                <w:color w:val="000000"/>
                <w:sz w:val="24"/>
              </w:rPr>
              <w:t>-0.03%</w:t>
            </w:r>
          </w:p>
        </w:tc>
      </w:tr>
      <w:tr>
        <w:tc>
          <w:tcPr>
            <w:vAlign w:val="center"/>
          </w:tcPr>
          <w:p>
            <w:pPr>
              <w:jc w:val="left"/>
            </w:pPr>
            <w:r>
              <w:rPr>
                <w:color w:val="000000"/>
                <w:sz w:val="24"/>
              </w:rPr>
              <w:t>过去一年</w:t>
            </w:r>
          </w:p>
        </w:tc>
        <w:tc>
          <w:tcPr>
            <w:vAlign w:val="center"/>
          </w:tcPr>
          <w:p>
            <w:pPr>
              <w:jc w:val="center"/>
            </w:pPr>
            <w:r>
              <w:rPr>
                <w:color w:val="000000"/>
                <w:sz w:val="24"/>
              </w:rPr>
              <w:t>2.62%</w:t>
            </w:r>
          </w:p>
        </w:tc>
        <w:tc>
          <w:tcPr>
            <w:vAlign w:val="center"/>
          </w:tcPr>
          <w:p>
            <w:pPr>
              <w:jc w:val="center"/>
            </w:pPr>
            <w:r>
              <w:rPr>
                <w:color w:val="000000"/>
                <w:sz w:val="24"/>
              </w:rPr>
              <w:t>0.09%</w:t>
            </w:r>
          </w:p>
        </w:tc>
        <w:tc>
          <w:tcPr>
            <w:vAlign w:val="center"/>
          </w:tcPr>
          <w:p>
            <w:pPr>
              <w:jc w:val="center"/>
            </w:pPr>
            <w:r>
              <w:rPr>
                <w:color w:val="000000"/>
                <w:sz w:val="24"/>
              </w:rPr>
              <w:t>-0.07%</w:t>
            </w:r>
          </w:p>
        </w:tc>
        <w:tc>
          <w:tcPr>
            <w:vAlign w:val="center"/>
          </w:tcPr>
          <w:p>
            <w:pPr>
              <w:jc w:val="center"/>
            </w:pPr>
            <w:r>
              <w:rPr>
                <w:color w:val="000000"/>
                <w:sz w:val="24"/>
              </w:rPr>
              <w:t>0.09%</w:t>
            </w:r>
          </w:p>
        </w:tc>
        <w:tc>
          <w:tcPr>
            <w:vAlign w:val="center"/>
          </w:tcPr>
          <w:p>
            <w:pPr>
              <w:jc w:val="center"/>
            </w:pPr>
            <w:r>
              <w:rPr>
                <w:color w:val="000000"/>
                <w:sz w:val="24"/>
              </w:rPr>
              <w:t>2.69%</w:t>
            </w:r>
          </w:p>
        </w:tc>
        <w:tc>
          <w:tcPr>
            <w:vAlign w:val="center"/>
          </w:tcPr>
          <w:p>
            <w:pPr>
              <w:jc w:val="center"/>
            </w:pPr>
            <w:r>
              <w:rPr>
                <w:color w:val="000000"/>
                <w:sz w:val="24"/>
              </w:rPr>
              <w:t>0.00%</w:t>
            </w:r>
          </w:p>
        </w:tc>
      </w:tr>
      <w:tr>
        <w:tc>
          <w:tcPr>
            <w:vAlign w:val="center"/>
          </w:tcPr>
          <w:p>
            <w:pPr>
              <w:jc w:val="left"/>
            </w:pPr>
            <w:r>
              <w:rPr>
                <w:color w:val="000000"/>
                <w:sz w:val="24"/>
              </w:rPr>
              <w:t>过去三年</w:t>
            </w:r>
          </w:p>
        </w:tc>
        <w:tc>
          <w:tcPr>
            <w:vAlign w:val="center"/>
          </w:tcPr>
          <w:p>
            <w:pPr>
              <w:jc w:val="center"/>
            </w:pPr>
            <w:r>
              <w:rPr>
                <w:color w:val="000000"/>
                <w:sz w:val="24"/>
              </w:rPr>
              <w:t>13.41%</w:t>
            </w:r>
          </w:p>
        </w:tc>
        <w:tc>
          <w:tcPr>
            <w:vAlign w:val="center"/>
          </w:tcPr>
          <w:p>
            <w:pPr>
              <w:jc w:val="center"/>
            </w:pPr>
            <w:r>
              <w:rPr>
                <w:color w:val="000000"/>
                <w:sz w:val="24"/>
              </w:rPr>
              <w:t>0.07%</w:t>
            </w:r>
          </w:p>
        </w:tc>
        <w:tc>
          <w:tcPr>
            <w:vAlign w:val="center"/>
          </w:tcPr>
          <w:p>
            <w:pPr>
              <w:jc w:val="center"/>
            </w:pPr>
            <w:r>
              <w:rPr>
                <w:color w:val="000000"/>
                <w:sz w:val="24"/>
              </w:rPr>
              <w:t>4.79%</w:t>
            </w:r>
          </w:p>
        </w:tc>
        <w:tc>
          <w:tcPr>
            <w:vAlign w:val="center"/>
          </w:tcPr>
          <w:p>
            <w:pPr>
              <w:jc w:val="center"/>
            </w:pPr>
            <w:r>
              <w:rPr>
                <w:color w:val="000000"/>
                <w:sz w:val="24"/>
              </w:rPr>
              <w:t>0.06%</w:t>
            </w:r>
          </w:p>
        </w:tc>
        <w:tc>
          <w:tcPr>
            <w:vAlign w:val="center"/>
          </w:tcPr>
          <w:p>
            <w:pPr>
              <w:jc w:val="center"/>
            </w:pPr>
            <w:r>
              <w:rPr>
                <w:color w:val="000000"/>
                <w:sz w:val="24"/>
              </w:rPr>
              <w:t>8.62%</w:t>
            </w:r>
          </w:p>
        </w:tc>
        <w:tc>
          <w:tcPr>
            <w:vAlign w:val="center"/>
          </w:tcPr>
          <w:p>
            <w:pPr>
              <w:jc w:val="center"/>
            </w:pPr>
            <w:r>
              <w:rPr>
                <w:color w:val="000000"/>
                <w:sz w:val="24"/>
              </w:rPr>
              <w:t>0.01%</w:t>
            </w:r>
          </w:p>
        </w:tc>
      </w:tr>
      <w:tr>
        <w:tc>
          <w:tcPr>
            <w:vAlign w:val="center"/>
          </w:tcPr>
          <w:p>
            <w:pPr>
              <w:jc w:val="left"/>
            </w:pPr>
            <w:r>
              <w:rPr>
                <w:color w:val="000000"/>
                <w:sz w:val="24"/>
              </w:rPr>
              <w:t>自基金合同生效至今</w:t>
            </w:r>
          </w:p>
        </w:tc>
        <w:tc>
          <w:tcPr>
            <w:vAlign w:val="center"/>
          </w:tcPr>
          <w:p>
            <w:pPr>
              <w:jc w:val="center"/>
            </w:pPr>
            <w:r>
              <w:rPr>
                <w:color w:val="000000"/>
                <w:sz w:val="24"/>
              </w:rPr>
              <w:t>13.69%</w:t>
            </w:r>
          </w:p>
        </w:tc>
        <w:tc>
          <w:tcPr>
            <w:vAlign w:val="center"/>
          </w:tcPr>
          <w:p>
            <w:pPr>
              <w:jc w:val="center"/>
            </w:pPr>
            <w:r>
              <w:rPr>
                <w:color w:val="000000"/>
                <w:sz w:val="24"/>
              </w:rPr>
              <w:t>0.07%</w:t>
            </w:r>
          </w:p>
        </w:tc>
        <w:tc>
          <w:tcPr>
            <w:vAlign w:val="center"/>
          </w:tcPr>
          <w:p>
            <w:pPr>
              <w:jc w:val="center"/>
            </w:pPr>
            <w:r>
              <w:rPr>
                <w:color w:val="000000"/>
                <w:sz w:val="24"/>
              </w:rPr>
              <w:t>7.75%</w:t>
            </w:r>
          </w:p>
        </w:tc>
        <w:tc>
          <w:tcPr>
            <w:vAlign w:val="center"/>
          </w:tcPr>
          <w:p>
            <w:pPr>
              <w:jc w:val="center"/>
            </w:pPr>
            <w:r>
              <w:rPr>
                <w:color w:val="000000"/>
                <w:sz w:val="24"/>
              </w:rPr>
              <w:t>0.05%</w:t>
            </w:r>
          </w:p>
        </w:tc>
        <w:tc>
          <w:tcPr>
            <w:vAlign w:val="center"/>
          </w:tcPr>
          <w:p>
            <w:pPr>
              <w:jc w:val="center"/>
            </w:pPr>
            <w:r>
              <w:rPr>
                <w:color w:val="000000"/>
                <w:sz w:val="24"/>
              </w:rPr>
              <w:t>5.94%</w:t>
            </w:r>
          </w:p>
        </w:tc>
        <w:tc>
          <w:tcPr>
            <w:vAlign w:val="center"/>
          </w:tcPr>
          <w:p>
            <w:pPr>
              <w:jc w:val="center"/>
            </w:pPr>
            <w:r>
              <w:rPr>
                <w:color w:val="000000"/>
                <w:sz w:val="24"/>
              </w:rPr>
              <w:t>0.02%</w:t>
            </w:r>
          </w:p>
        </w:tc>
      </w:tr>
    </w:tbl>
    <w:p w:rsidP="007C14DF" w:rsidR="00E73221" w:rsidRDefault="00E73221" w:rsidRPr="007F52FA">
      <w:pPr>
        <w:autoSpaceDE w:val="0"/>
        <w:autoSpaceDN w:val="0"/>
        <w:adjustRightInd w:val="0"/>
        <w:spacing w:before="29" w:line="288" w:lineRule="auto"/>
        <w:jc w:val="left"/>
        <w:rPr>
          <w:color w:val="000000"/>
          <w:sz w:val="24"/>
        </w:rPr>
      </w:pPr>
      <w:r w:rsidRPr="007F52FA">
        <w:rPr>
          <w:color w:val="000000"/>
          <w:sz w:val="24"/>
        </w:rPr>
        <w:t/>
      </w:r>
      <w:r w:rsidR="004D614E" w:rsidRPr="007F52FA">
        <w:rPr>
          <w:color w:val="000000"/>
          <w:sz w:val="24"/>
        </w:rPr>
        <w:t/>
      </w:r>
      <w:r w:rsidR="00FE7FBD" w:rsidRPr="007F52FA">
        <w:rPr>
          <w:color w:val="000000"/>
          <w:sz w:val="24"/>
        </w:rPr>
        <w:t>注：本基金自2019年3月5日起转为开放式运作，本基金的业绩比较基准由“两年期银行定期存款税后收益率+1.25%”变更为“中债综合全价指数收益率”，3.2.2同。</w:t>
      </w:r>
    </w:p>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交银施罗德境尚收益债券型证券投资基金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2017年3月3日</w:t>
      </w:r>
      <w:r w:rsidR="009A045B" w:rsidRPr="007F52FA">
        <w:rPr>
          <w:rFonts w:ascii="Times New Roman" w:hAnsi="Times New Roman"/>
          <w:sz w:val="24"/>
          <w:szCs w:val="24"/>
        </w:rPr>
        <w:t>至</w:t>
      </w:r>
      <w:r w:rsidRPr="007F52FA">
        <w:rPr>
          <w:rFonts w:ascii="Times New Roman" w:hAnsi="Times New Roman"/>
          <w:sz w:val="24"/>
          <w:szCs w:val="24"/>
        </w:rPr>
        <w:t>2020年12月31日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交银境尚收益债券A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交银境尚收益债券C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vAlign w:val="center"/>
          </w:tcPr>
          <w:p>
            <w:pPr>
              <w:jc w:val="center"/>
            </w:pPr>
            <w:r>
              <w:rPr>
                <w:color w:val="000000"/>
                <w:sz w:val="24"/>
              </w:rPr>
              <w:t>2017-03-03</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2015年5月27日至2020年7月27日担任转型前的交银施罗德理财21天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收益率先在经济数据透露出“结构隐忧”和四季度供需结构优化的双重作用下，小幅下行。之后央行重提总闸门引发货币政策进一步收紧的预期，叠加部分信用债违约风险事件，信用债和短久期利率债经历了大幅下跌。11月下旬随着央行超预期投放流动性，经济工作会议精神明确不会“急转弯”，债券市场在配置力量带动下，收益率转而下行。</w:t>
      </w:r>
    </w:p>
    <w:p>
      <w:pPr>
        <w:spacing w:before="29" w:line="288" w:lineRule="auto"/>
        <w:ind w:firstLine="480" w:firstLineChars="200"/>
        <w:rPr>
          <w:color w:val="000000"/>
          <w:sz w:val="24"/>
        </w:rPr>
      </w:pPr>
      <w:r>
        <w:rPr>
          <w:color w:val="000000"/>
          <w:sz w:val="24"/>
        </w:rPr>
        <w:t>由于央行MLF的超额投放和年底大量的跨年公开市场操作，资金面年底前呈现宽松态势，股份制存款存单收益率也在11月底最高达到3.2%附近见顶后，出现明显的下行，年底下至2.6%附近。</w:t>
      </w:r>
    </w:p>
    <w:p>
      <w:pPr>
        <w:spacing w:before="29" w:line="288" w:lineRule="auto"/>
        <w:ind w:firstLine="480" w:firstLineChars="200"/>
        <w:rPr>
          <w:color w:val="000000"/>
          <w:sz w:val="24"/>
        </w:rPr>
      </w:pPr>
      <w:r>
        <w:rPr>
          <w:color w:val="000000"/>
          <w:sz w:val="24"/>
        </w:rPr>
        <w:t>基金操作方面，本基金以高等级中短久期信用债策略为主，以1-3年高等级信用债为底仓，同时择机配置了部分中短端利率债，维持一个中性偏防守的久期水平。同时适度运用杠杆操作增厚组合收益。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2021年一季度，基本面延续边际改善趋势，债市核心交易要素还是资金面，在央行流动性呵护下此前超调的短债、中高等级信用债近期表现较好，需要关注通胀是否超预期上行从而引致货币政策的边际收紧。中期来看，经济依然延续改善，大宗价格明显上涨，债市仍然难现趋势性行情，但以社融见顶的逻辑推演来看，收益率已经接近顶部区域，大概率是一个磨顶的过程，但低等级信用债则需规避信用利差走扩的风险。债券的趋势性拐点则需要紧密跟踪信用收缩对实体经济的负反馈，以及海外供需缺口变化对我国出口的负面拖累。组合操作方面，组合仍将以中高等级信用债为底仓，根据对宏观经济、货币政策的判断，适时调整组合久期，采取票息策略为主的思路。在严控信用风险的基础上，对各类债券品种精耕细作，加强收益挖掘。同时，在融资成本相对较低的情况下，短端资金和资产收益利差空间仍然较为显著，我们会辅以合理杠杆水平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3,946,092,000.00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3,946,092,000.00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526,521.79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66,218,576.11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4,012,837,097.90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1,684,102,000.00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42.40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1,493,364,000.00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37.60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190,311,000.00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4.79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1,358,532,000.00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34.20</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713,147,000.00</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17.95</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3,946,092,000.00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99.35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200201</w:t>
            </w:r>
          </w:p>
        </w:tc>
        <w:tc>
          <w:tcPr>
            <w:vAlign w:val="center"/>
          </w:tcPr>
          <w:p>
            <w:pPr>
              <w:jc w:val="center"/>
            </w:pPr>
            <w:r>
              <w:rPr>
                <w:color w:val="000000"/>
                <w:sz w:val="24"/>
              </w:rPr>
              <w:t>20国开01</w:t>
            </w:r>
          </w:p>
        </w:tc>
        <w:tc>
          <w:tcPr>
            <w:vAlign w:val="center"/>
          </w:tcPr>
          <w:p>
            <w:pPr>
              <w:jc w:val="right"/>
            </w:pPr>
            <w:r>
              <w:rPr>
                <w:color w:val="000000"/>
                <w:sz w:val="24"/>
              </w:rPr>
              <w:t>4,300,000</w:t>
            </w:r>
          </w:p>
        </w:tc>
        <w:tc>
          <w:tcPr>
            <w:vAlign w:val="center"/>
          </w:tcPr>
          <w:p>
            <w:pPr>
              <w:jc w:val="right"/>
            </w:pPr>
            <w:r>
              <w:rPr>
                <w:color w:val="000000"/>
                <w:sz w:val="24"/>
              </w:rPr>
              <w:t>430,043,000.00</w:t>
            </w:r>
          </w:p>
        </w:tc>
        <w:tc>
          <w:tcPr>
            <w:vAlign w:val="center"/>
          </w:tcPr>
          <w:p>
            <w:pPr>
              <w:jc w:val="right"/>
            </w:pPr>
            <w:r>
              <w:rPr>
                <w:color w:val="000000"/>
                <w:sz w:val="24"/>
              </w:rPr>
              <w:t>10.83</w:t>
            </w:r>
          </w:p>
        </w:tc>
      </w:tr>
      <w:tr>
        <w:tc>
          <w:tcPr>
            <w:vAlign w:val="center"/>
          </w:tcPr>
          <w:p>
            <w:pPr>
              <w:jc w:val="center"/>
            </w:pPr>
            <w:r>
              <w:rPr>
                <w:color w:val="000000"/>
                <w:sz w:val="24"/>
              </w:rPr>
              <w:t>2</w:t>
            </w:r>
          </w:p>
        </w:tc>
        <w:tc>
          <w:tcPr>
            <w:vAlign w:val="center"/>
          </w:tcPr>
          <w:p>
            <w:pPr>
              <w:jc w:val="center"/>
            </w:pPr>
            <w:r>
              <w:rPr>
                <w:color w:val="000000"/>
                <w:sz w:val="24"/>
              </w:rPr>
              <w:t>190306</w:t>
            </w:r>
          </w:p>
        </w:tc>
        <w:tc>
          <w:tcPr>
            <w:vAlign w:val="center"/>
          </w:tcPr>
          <w:p>
            <w:pPr>
              <w:jc w:val="center"/>
            </w:pPr>
            <w:r>
              <w:rPr>
                <w:color w:val="000000"/>
                <w:sz w:val="24"/>
              </w:rPr>
              <w:t>19进出06</w:t>
            </w:r>
          </w:p>
        </w:tc>
        <w:tc>
          <w:tcPr>
            <w:vAlign w:val="center"/>
          </w:tcPr>
          <w:p>
            <w:pPr>
              <w:jc w:val="right"/>
            </w:pPr>
            <w:r>
              <w:rPr>
                <w:color w:val="000000"/>
                <w:sz w:val="24"/>
              </w:rPr>
              <w:t>2,500,000</w:t>
            </w:r>
          </w:p>
        </w:tc>
        <w:tc>
          <w:tcPr>
            <w:vAlign w:val="center"/>
          </w:tcPr>
          <w:p>
            <w:pPr>
              <w:jc w:val="right"/>
            </w:pPr>
            <w:r>
              <w:rPr>
                <w:color w:val="000000"/>
                <w:sz w:val="24"/>
              </w:rPr>
              <w:t>251,925,000.00</w:t>
            </w:r>
          </w:p>
        </w:tc>
        <w:tc>
          <w:tcPr>
            <w:vAlign w:val="center"/>
          </w:tcPr>
          <w:p>
            <w:pPr>
              <w:jc w:val="right"/>
            </w:pPr>
            <w:r>
              <w:rPr>
                <w:color w:val="000000"/>
                <w:sz w:val="24"/>
              </w:rPr>
              <w:t>6.34</w:t>
            </w:r>
          </w:p>
        </w:tc>
      </w:tr>
      <w:tr>
        <w:tc>
          <w:tcPr>
            <w:vAlign w:val="center"/>
          </w:tcPr>
          <w:p>
            <w:pPr>
              <w:jc w:val="center"/>
            </w:pPr>
            <w:r>
              <w:rPr>
                <w:color w:val="000000"/>
                <w:sz w:val="24"/>
              </w:rPr>
              <w:t>3</w:t>
            </w:r>
          </w:p>
        </w:tc>
        <w:tc>
          <w:tcPr>
            <w:vAlign w:val="center"/>
          </w:tcPr>
          <w:p>
            <w:pPr>
              <w:jc w:val="center"/>
            </w:pPr>
            <w:r>
              <w:rPr>
                <w:color w:val="000000"/>
                <w:sz w:val="24"/>
              </w:rPr>
              <w:t>112010127</w:t>
            </w:r>
          </w:p>
        </w:tc>
        <w:tc>
          <w:tcPr>
            <w:vAlign w:val="center"/>
          </w:tcPr>
          <w:p>
            <w:pPr>
              <w:jc w:val="center"/>
            </w:pPr>
            <w:r>
              <w:rPr>
                <w:color w:val="000000"/>
                <w:sz w:val="24"/>
              </w:rPr>
              <w:t>20兴业银行CD127</w:t>
            </w:r>
          </w:p>
        </w:tc>
        <w:tc>
          <w:tcPr>
            <w:vAlign w:val="center"/>
          </w:tcPr>
          <w:p>
            <w:pPr>
              <w:jc w:val="right"/>
            </w:pPr>
            <w:r>
              <w:rPr>
                <w:color w:val="000000"/>
                <w:sz w:val="24"/>
              </w:rPr>
              <w:t>2,500,000</w:t>
            </w:r>
          </w:p>
        </w:tc>
        <w:tc>
          <w:tcPr>
            <w:vAlign w:val="center"/>
          </w:tcPr>
          <w:p>
            <w:pPr>
              <w:jc w:val="right"/>
            </w:pPr>
            <w:r>
              <w:rPr>
                <w:color w:val="000000"/>
                <w:sz w:val="24"/>
              </w:rPr>
              <w:t>245,225,000.00</w:t>
            </w:r>
          </w:p>
        </w:tc>
        <w:tc>
          <w:tcPr>
            <w:vAlign w:val="center"/>
          </w:tcPr>
          <w:p>
            <w:pPr>
              <w:jc w:val="right"/>
            </w:pPr>
            <w:r>
              <w:rPr>
                <w:color w:val="000000"/>
                <w:sz w:val="24"/>
              </w:rPr>
              <w:t>6.17</w:t>
            </w:r>
          </w:p>
        </w:tc>
      </w:tr>
      <w:tr>
        <w:tc>
          <w:tcPr>
            <w:vAlign w:val="center"/>
          </w:tcPr>
          <w:p>
            <w:pPr>
              <w:jc w:val="center"/>
            </w:pPr>
            <w:r>
              <w:rPr>
                <w:color w:val="000000"/>
                <w:sz w:val="24"/>
              </w:rPr>
              <w:t>4</w:t>
            </w:r>
          </w:p>
        </w:tc>
        <w:tc>
          <w:tcPr>
            <w:vAlign w:val="center"/>
          </w:tcPr>
          <w:p>
            <w:pPr>
              <w:jc w:val="center"/>
            </w:pPr>
            <w:r>
              <w:rPr>
                <w:color w:val="000000"/>
                <w:sz w:val="24"/>
              </w:rPr>
              <w:t>180211</w:t>
            </w:r>
          </w:p>
        </w:tc>
        <w:tc>
          <w:tcPr>
            <w:vAlign w:val="center"/>
          </w:tcPr>
          <w:p>
            <w:pPr>
              <w:jc w:val="center"/>
            </w:pPr>
            <w:r>
              <w:rPr>
                <w:color w:val="000000"/>
                <w:sz w:val="24"/>
              </w:rPr>
              <w:t>18国开11</w:t>
            </w:r>
          </w:p>
        </w:tc>
        <w:tc>
          <w:tcPr>
            <w:vAlign w:val="center"/>
          </w:tcPr>
          <w:p>
            <w:pPr>
              <w:jc w:val="right"/>
            </w:pPr>
            <w:r>
              <w:rPr>
                <w:color w:val="000000"/>
                <w:sz w:val="24"/>
              </w:rPr>
              <w:t>2,000,000</w:t>
            </w:r>
          </w:p>
        </w:tc>
        <w:tc>
          <w:tcPr>
            <w:vAlign w:val="center"/>
          </w:tcPr>
          <w:p>
            <w:pPr>
              <w:jc w:val="right"/>
            </w:pPr>
            <w:r>
              <w:rPr>
                <w:color w:val="000000"/>
                <w:sz w:val="24"/>
              </w:rPr>
              <w:t>203,800,000.00</w:t>
            </w:r>
          </w:p>
        </w:tc>
        <w:tc>
          <w:tcPr>
            <w:vAlign w:val="center"/>
          </w:tcPr>
          <w:p>
            <w:pPr>
              <w:jc w:val="right"/>
            </w:pPr>
            <w:r>
              <w:rPr>
                <w:color w:val="000000"/>
                <w:sz w:val="24"/>
              </w:rPr>
              <w:t>5.13</w:t>
            </w:r>
          </w:p>
        </w:tc>
      </w:tr>
      <w:tr>
        <w:tc>
          <w:tcPr>
            <w:vAlign w:val="center"/>
          </w:tcPr>
          <w:p>
            <w:pPr>
              <w:jc w:val="center"/>
            </w:pPr>
            <w:r>
              <w:rPr>
                <w:color w:val="000000"/>
                <w:sz w:val="24"/>
              </w:rPr>
              <w:t>5</w:t>
            </w:r>
          </w:p>
        </w:tc>
        <w:tc>
          <w:tcPr>
            <w:vAlign w:val="center"/>
          </w:tcPr>
          <w:p>
            <w:pPr>
              <w:jc w:val="center"/>
            </w:pPr>
            <w:r>
              <w:rPr>
                <w:color w:val="000000"/>
                <w:sz w:val="24"/>
              </w:rPr>
              <w:t>101800632</w:t>
            </w:r>
          </w:p>
        </w:tc>
        <w:tc>
          <w:tcPr>
            <w:vAlign w:val="center"/>
          </w:tcPr>
          <w:p>
            <w:pPr>
              <w:jc w:val="center"/>
            </w:pPr>
            <w:r>
              <w:rPr>
                <w:color w:val="000000"/>
                <w:sz w:val="24"/>
              </w:rPr>
              <w:t>18南电MTN002</w:t>
            </w:r>
          </w:p>
        </w:tc>
        <w:tc>
          <w:tcPr>
            <w:vAlign w:val="center"/>
          </w:tcPr>
          <w:p>
            <w:pPr>
              <w:jc w:val="right"/>
            </w:pPr>
            <w:r>
              <w:rPr>
                <w:color w:val="000000"/>
                <w:sz w:val="24"/>
              </w:rPr>
              <w:t>1,600,000</w:t>
            </w:r>
          </w:p>
        </w:tc>
        <w:tc>
          <w:tcPr>
            <w:vAlign w:val="center"/>
          </w:tcPr>
          <w:p>
            <w:pPr>
              <w:jc w:val="right"/>
            </w:pPr>
            <w:r>
              <w:rPr>
                <w:color w:val="000000"/>
                <w:sz w:val="24"/>
              </w:rPr>
              <w:t>162,048,000.00</w:t>
            </w:r>
          </w:p>
        </w:tc>
        <w:tc>
          <w:tcPr>
            <w:vAlign w:val="center"/>
          </w:tcPr>
          <w:p>
            <w:pPr>
              <w:jc w:val="right"/>
            </w:pPr>
            <w:r>
              <w:rPr>
                <w:color w:val="000000"/>
                <w:sz w:val="24"/>
              </w:rPr>
              <w:t>4.08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66,218,566.12</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9.99</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66,218,576.11</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交银境尚收益债券A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交银境尚收益债券C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3,944,696,062.19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230,423.05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10,396.68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9,265.59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3,540,837.16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79,608.51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3,941,165,621.71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160,080.13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2020/10/1-2020/12/31</w:t>
            </w:r>
          </w:p>
        </w:tc>
        <w:tc>
          <w:tcPr>
            <w:vAlign w:val="center"/>
          </w:tcPr>
          <w:p>
            <w:pPr>
              <w:jc w:val="center"/>
            </w:pPr>
            <w:r>
              <w:rPr>
                <w:rFonts w:ascii="宋体" w:hAnsi="宋体" w:hint="eastAsia"/>
                <w:color w:val="000000"/>
                <w:kern w:val="0"/>
                <w:szCs w:val="21"/>
              </w:rPr>
              <w:t>1,156,591,932.37</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1,156,591,932.37</w:t>
            </w:r>
          </w:p>
        </w:tc>
        <w:tc>
          <w:tcPr>
            <w:vAlign w:val="center"/>
          </w:tcPr>
          <w:p>
            <w:pPr>
              <w:jc w:val="center"/>
            </w:pPr>
            <w:r>
              <w:rPr>
                <w:rFonts w:ascii="宋体" w:hAnsi="宋体" w:hint="eastAsia"/>
                <w:color w:val="000000"/>
                <w:kern w:val="0"/>
                <w:szCs w:val="21"/>
              </w:rPr>
              <w:t>29.35%</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2020/10/1-2020/12/31</w:t>
            </w:r>
          </w:p>
        </w:tc>
        <w:tc>
          <w:tcPr>
            <w:vAlign w:val="center"/>
          </w:tcPr>
          <w:p>
            <w:pPr>
              <w:jc w:val="center"/>
            </w:pPr>
            <w:r>
              <w:rPr>
                <w:rFonts w:ascii="宋体" w:hAnsi="宋体" w:hint="eastAsia"/>
                <w:color w:val="000000"/>
                <w:kern w:val="0"/>
                <w:szCs w:val="21"/>
              </w:rPr>
              <w:t>2,756,591,932.37</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2,756,591,932.37</w:t>
            </w:r>
          </w:p>
        </w:tc>
        <w:tc>
          <w:tcPr>
            <w:vAlign w:val="center"/>
          </w:tcPr>
          <w:p>
            <w:pPr>
              <w:jc w:val="center"/>
            </w:pPr>
            <w:r>
              <w:rPr>
                <w:rFonts w:ascii="宋体" w:hAnsi="宋体" w:hint="eastAsia"/>
                <w:color w:val="000000"/>
                <w:kern w:val="0"/>
                <w:szCs w:val="21"/>
              </w:rPr>
              <w:t>69.94%</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1、中国证监会准予交银施罗德境尚收益债券型证券投资基金募集注册的文件；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2、《交银施罗德境尚收益债券型证券投资基金基金合同》；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3、《交银施罗德境尚收益债券型证券投资基金招募说明书》；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4、《交银施罗德境尚收益债券型证券投资基金托管协议》；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5、关于申请募集注册交银施罗德境尚收益债券型证券投资基金的法律意见书；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8、报告期内交银施罗德境尚收益债券型证券投资基金在指定报刊上各项公告的原稿。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交银施罗德境尚收益债券型证券投资基金2020年第4季度报告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