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交银施罗德安享稳健养老目标一年持有期混合型基金中基金（</w:t>
      </w:r>
      <w:r w:rsidRPr="0081286B">
        <w:rPr>
          <w:b/>
          <w:sz w:val="36"/>
          <w:szCs w:val="36"/>
        </w:rPr>
        <w:t>FOF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10A1C" w:rsidRDefault="00AA0A5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w:t>
      </w:r>
      <w:r>
        <w:rPr>
          <w:color w:val="000000"/>
          <w:sz w:val="24"/>
          <w:szCs w:val="24"/>
        </w:rPr>
        <w:t>定盈利。</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交银安享稳健养老一年</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006880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006880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9,955,281,366.94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本基金主要投资于经中国证监会依法核准或注册的公开募集证券投资基金的基金份额，在控制风险并保持基金资产良好的流动性的前提下，力争实现基金资产的长期稳健增值，满足养老资金理财需求。</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B10A1C" w:rsidRDefault="00AA0A50">
            <w:pPr>
              <w:adjustRightInd w:val="0"/>
              <w:spacing w:before="29" w:line="288" w:lineRule="auto"/>
              <w:ind w:left="17"/>
              <w:jc w:val="left"/>
              <w:rPr>
                <w:color w:val="000000"/>
                <w:sz w:val="24"/>
                <w:szCs w:val="24"/>
              </w:rPr>
            </w:pPr>
            <w:r>
              <w:rPr>
                <w:color w:val="000000"/>
                <w:kern w:val="0"/>
                <w:sz w:val="24"/>
                <w:szCs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w:t>
            </w:r>
            <w:r>
              <w:rPr>
                <w:color w:val="000000"/>
                <w:kern w:val="0"/>
                <w:sz w:val="24"/>
                <w:szCs w:val="24"/>
              </w:rPr>
              <w:t>暴露。</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中债综合全价指数收益率</w:t>
            </w:r>
            <w:r w:rsidRPr="00414345">
              <w:rPr>
                <w:color w:val="000000"/>
                <w:kern w:val="0"/>
                <w:sz w:val="24"/>
                <w:szCs w:val="24"/>
              </w:rPr>
              <w:t>+20%×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D47CB" w:rsidRPr="00414345" w:rsidTr="00BD47C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D47CB" w:rsidRPr="00414345" w:rsidTr="00BD47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95,691,965.21</w:t>
            </w:r>
          </w:p>
        </w:tc>
      </w:tr>
      <w:tr w:rsidR="00BD47CB" w:rsidRPr="00414345" w:rsidTr="00BD47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207,919,883.03</w:t>
            </w:r>
          </w:p>
        </w:tc>
      </w:tr>
      <w:tr w:rsidR="00BD47CB" w:rsidRPr="00414345" w:rsidTr="00BD47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0.0232</w:t>
            </w:r>
          </w:p>
        </w:tc>
      </w:tr>
      <w:tr w:rsidR="00BD47CB" w:rsidRPr="00414345" w:rsidTr="00BD47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11,349,248,669.54</w:t>
            </w:r>
          </w:p>
        </w:tc>
      </w:tr>
      <w:tr w:rsidR="00BD47CB" w:rsidRPr="00414345" w:rsidTr="00BD47C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1.1400</w:t>
            </w:r>
          </w:p>
        </w:tc>
      </w:tr>
    </w:tbl>
    <w:p w:rsidR="00B10A1C" w:rsidRDefault="00AA0A5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10A1C">
        <w:trPr>
          <w:jc w:val="center"/>
        </w:trPr>
        <w:tc>
          <w:tcPr>
            <w:tcW w:w="1701" w:type="dxa"/>
            <w:vAlign w:val="center"/>
          </w:tcPr>
          <w:p w:rsidR="00B10A1C" w:rsidRDefault="00AA0A50">
            <w:pPr>
              <w:jc w:val="left"/>
            </w:pPr>
            <w:r>
              <w:rPr>
                <w:color w:val="000000"/>
                <w:sz w:val="24"/>
                <w:szCs w:val="24"/>
              </w:rPr>
              <w:t>过去三个月</w:t>
            </w:r>
          </w:p>
        </w:tc>
        <w:tc>
          <w:tcPr>
            <w:tcW w:w="1045" w:type="dxa"/>
            <w:vAlign w:val="center"/>
          </w:tcPr>
          <w:p w:rsidR="00B10A1C" w:rsidRDefault="00AA0A50">
            <w:pPr>
              <w:jc w:val="center"/>
            </w:pPr>
            <w:r>
              <w:rPr>
                <w:color w:val="000000"/>
                <w:sz w:val="24"/>
                <w:szCs w:val="24"/>
              </w:rPr>
              <w:t>2.01%</w:t>
            </w:r>
          </w:p>
        </w:tc>
        <w:tc>
          <w:tcPr>
            <w:tcW w:w="1344" w:type="dxa"/>
            <w:vAlign w:val="center"/>
          </w:tcPr>
          <w:p w:rsidR="00B10A1C" w:rsidRDefault="00AA0A50">
            <w:pPr>
              <w:jc w:val="center"/>
            </w:pPr>
            <w:r>
              <w:rPr>
                <w:color w:val="000000"/>
                <w:sz w:val="24"/>
                <w:szCs w:val="24"/>
              </w:rPr>
              <w:t>0.17%</w:t>
            </w:r>
          </w:p>
        </w:tc>
        <w:tc>
          <w:tcPr>
            <w:tcW w:w="1194" w:type="dxa"/>
            <w:vAlign w:val="center"/>
          </w:tcPr>
          <w:p w:rsidR="00B10A1C" w:rsidRDefault="00AA0A50">
            <w:pPr>
              <w:jc w:val="center"/>
            </w:pPr>
            <w:r>
              <w:rPr>
                <w:color w:val="000000"/>
                <w:sz w:val="24"/>
                <w:szCs w:val="24"/>
              </w:rPr>
              <w:t>3.15%</w:t>
            </w:r>
          </w:p>
        </w:tc>
        <w:tc>
          <w:tcPr>
            <w:tcW w:w="1492" w:type="dxa"/>
            <w:vAlign w:val="center"/>
          </w:tcPr>
          <w:p w:rsidR="00B10A1C" w:rsidRDefault="00AA0A50">
            <w:pPr>
              <w:jc w:val="center"/>
            </w:pPr>
            <w:r>
              <w:rPr>
                <w:color w:val="000000"/>
                <w:sz w:val="24"/>
                <w:szCs w:val="24"/>
              </w:rPr>
              <w:t>0.20%</w:t>
            </w:r>
          </w:p>
        </w:tc>
        <w:tc>
          <w:tcPr>
            <w:tcW w:w="1194" w:type="dxa"/>
            <w:vAlign w:val="center"/>
          </w:tcPr>
          <w:p w:rsidR="00B10A1C" w:rsidRDefault="00AA0A50">
            <w:pPr>
              <w:jc w:val="center"/>
            </w:pPr>
            <w:r>
              <w:rPr>
                <w:color w:val="000000"/>
                <w:sz w:val="24"/>
                <w:szCs w:val="24"/>
              </w:rPr>
              <w:t>-1.14%</w:t>
            </w:r>
          </w:p>
        </w:tc>
        <w:tc>
          <w:tcPr>
            <w:tcW w:w="898" w:type="dxa"/>
            <w:vAlign w:val="center"/>
          </w:tcPr>
          <w:p w:rsidR="00B10A1C" w:rsidRDefault="00AA0A50">
            <w:pPr>
              <w:jc w:val="center"/>
            </w:pPr>
            <w:r>
              <w:rPr>
                <w:color w:val="000000"/>
                <w:sz w:val="24"/>
                <w:szCs w:val="24"/>
              </w:rPr>
              <w:t>-0.03%</w:t>
            </w:r>
          </w:p>
        </w:tc>
      </w:tr>
      <w:tr w:rsidR="00B10A1C">
        <w:trPr>
          <w:jc w:val="center"/>
        </w:trPr>
        <w:tc>
          <w:tcPr>
            <w:tcW w:w="1701" w:type="dxa"/>
            <w:vAlign w:val="center"/>
          </w:tcPr>
          <w:p w:rsidR="00B10A1C" w:rsidRDefault="00AA0A50">
            <w:pPr>
              <w:jc w:val="left"/>
            </w:pPr>
            <w:r>
              <w:rPr>
                <w:color w:val="000000"/>
                <w:sz w:val="24"/>
                <w:szCs w:val="24"/>
              </w:rPr>
              <w:t>过去六个月</w:t>
            </w:r>
          </w:p>
        </w:tc>
        <w:tc>
          <w:tcPr>
            <w:tcW w:w="1045" w:type="dxa"/>
            <w:vAlign w:val="center"/>
          </w:tcPr>
          <w:p w:rsidR="00B10A1C" w:rsidRDefault="00AA0A50">
            <w:pPr>
              <w:jc w:val="center"/>
            </w:pPr>
            <w:r>
              <w:rPr>
                <w:color w:val="000000"/>
                <w:sz w:val="24"/>
                <w:szCs w:val="24"/>
              </w:rPr>
              <w:t>5.57%</w:t>
            </w:r>
          </w:p>
        </w:tc>
        <w:tc>
          <w:tcPr>
            <w:tcW w:w="1344" w:type="dxa"/>
            <w:vAlign w:val="center"/>
          </w:tcPr>
          <w:p w:rsidR="00B10A1C" w:rsidRDefault="00AA0A50">
            <w:pPr>
              <w:jc w:val="center"/>
            </w:pPr>
            <w:r>
              <w:rPr>
                <w:color w:val="000000"/>
                <w:sz w:val="24"/>
                <w:szCs w:val="24"/>
              </w:rPr>
              <w:t>0.20%</w:t>
            </w:r>
          </w:p>
        </w:tc>
        <w:tc>
          <w:tcPr>
            <w:tcW w:w="1194" w:type="dxa"/>
            <w:vAlign w:val="center"/>
          </w:tcPr>
          <w:p w:rsidR="00B10A1C" w:rsidRDefault="00AA0A50">
            <w:pPr>
              <w:jc w:val="center"/>
            </w:pPr>
            <w:r>
              <w:rPr>
                <w:color w:val="000000"/>
                <w:sz w:val="24"/>
                <w:szCs w:val="24"/>
              </w:rPr>
              <w:t>4.08%</w:t>
            </w:r>
          </w:p>
        </w:tc>
        <w:tc>
          <w:tcPr>
            <w:tcW w:w="1492" w:type="dxa"/>
            <w:vAlign w:val="center"/>
          </w:tcPr>
          <w:p w:rsidR="00B10A1C" w:rsidRDefault="00AA0A50">
            <w:pPr>
              <w:jc w:val="center"/>
            </w:pPr>
            <w:r>
              <w:rPr>
                <w:color w:val="000000"/>
                <w:sz w:val="24"/>
                <w:szCs w:val="24"/>
              </w:rPr>
              <w:t>0.25%</w:t>
            </w:r>
          </w:p>
        </w:tc>
        <w:tc>
          <w:tcPr>
            <w:tcW w:w="1194" w:type="dxa"/>
            <w:vAlign w:val="center"/>
          </w:tcPr>
          <w:p w:rsidR="00B10A1C" w:rsidRDefault="00AA0A50">
            <w:pPr>
              <w:jc w:val="center"/>
            </w:pPr>
            <w:r>
              <w:rPr>
                <w:color w:val="000000"/>
                <w:sz w:val="24"/>
                <w:szCs w:val="24"/>
              </w:rPr>
              <w:t>1.49%</w:t>
            </w:r>
          </w:p>
        </w:tc>
        <w:tc>
          <w:tcPr>
            <w:tcW w:w="898" w:type="dxa"/>
            <w:vAlign w:val="center"/>
          </w:tcPr>
          <w:p w:rsidR="00B10A1C" w:rsidRDefault="00AA0A50">
            <w:pPr>
              <w:jc w:val="center"/>
            </w:pPr>
            <w:r>
              <w:rPr>
                <w:color w:val="000000"/>
                <w:sz w:val="24"/>
                <w:szCs w:val="24"/>
              </w:rPr>
              <w:t>-0.05%</w:t>
            </w:r>
          </w:p>
        </w:tc>
      </w:tr>
      <w:tr w:rsidR="00B10A1C">
        <w:trPr>
          <w:jc w:val="center"/>
        </w:trPr>
        <w:tc>
          <w:tcPr>
            <w:tcW w:w="1701" w:type="dxa"/>
            <w:vAlign w:val="center"/>
          </w:tcPr>
          <w:p w:rsidR="00B10A1C" w:rsidRDefault="00AA0A50">
            <w:pPr>
              <w:jc w:val="left"/>
            </w:pPr>
            <w:r>
              <w:rPr>
                <w:color w:val="000000"/>
                <w:sz w:val="24"/>
                <w:szCs w:val="24"/>
              </w:rPr>
              <w:t>过去一年</w:t>
            </w:r>
          </w:p>
        </w:tc>
        <w:tc>
          <w:tcPr>
            <w:tcW w:w="1045" w:type="dxa"/>
            <w:vAlign w:val="center"/>
          </w:tcPr>
          <w:p w:rsidR="00B10A1C" w:rsidRDefault="00AA0A50">
            <w:pPr>
              <w:jc w:val="center"/>
            </w:pPr>
            <w:r>
              <w:rPr>
                <w:color w:val="000000"/>
                <w:sz w:val="24"/>
                <w:szCs w:val="24"/>
              </w:rPr>
              <w:t>10.03%</w:t>
            </w:r>
          </w:p>
        </w:tc>
        <w:tc>
          <w:tcPr>
            <w:tcW w:w="1344" w:type="dxa"/>
            <w:vAlign w:val="center"/>
          </w:tcPr>
          <w:p w:rsidR="00B10A1C" w:rsidRDefault="00AA0A50">
            <w:pPr>
              <w:jc w:val="center"/>
            </w:pPr>
            <w:r>
              <w:rPr>
                <w:color w:val="000000"/>
                <w:sz w:val="24"/>
                <w:szCs w:val="24"/>
              </w:rPr>
              <w:t>0.20%</w:t>
            </w:r>
          </w:p>
        </w:tc>
        <w:tc>
          <w:tcPr>
            <w:tcW w:w="1194" w:type="dxa"/>
            <w:vAlign w:val="center"/>
          </w:tcPr>
          <w:p w:rsidR="00B10A1C" w:rsidRDefault="00AA0A50">
            <w:pPr>
              <w:jc w:val="center"/>
            </w:pPr>
            <w:r>
              <w:rPr>
                <w:color w:val="000000"/>
                <w:sz w:val="24"/>
                <w:szCs w:val="24"/>
              </w:rPr>
              <w:t>5.32%</w:t>
            </w:r>
          </w:p>
        </w:tc>
        <w:tc>
          <w:tcPr>
            <w:tcW w:w="1492" w:type="dxa"/>
            <w:vAlign w:val="center"/>
          </w:tcPr>
          <w:p w:rsidR="00B10A1C" w:rsidRDefault="00AA0A50">
            <w:pPr>
              <w:jc w:val="center"/>
            </w:pPr>
            <w:r>
              <w:rPr>
                <w:color w:val="000000"/>
                <w:sz w:val="24"/>
                <w:szCs w:val="24"/>
              </w:rPr>
              <w:t>0.27%</w:t>
            </w:r>
          </w:p>
        </w:tc>
        <w:tc>
          <w:tcPr>
            <w:tcW w:w="1194" w:type="dxa"/>
            <w:vAlign w:val="center"/>
          </w:tcPr>
          <w:p w:rsidR="00B10A1C" w:rsidRDefault="00AA0A50">
            <w:pPr>
              <w:jc w:val="center"/>
            </w:pPr>
            <w:r>
              <w:rPr>
                <w:color w:val="000000"/>
                <w:sz w:val="24"/>
                <w:szCs w:val="24"/>
              </w:rPr>
              <w:t>4.71%</w:t>
            </w:r>
          </w:p>
        </w:tc>
        <w:tc>
          <w:tcPr>
            <w:tcW w:w="898" w:type="dxa"/>
            <w:vAlign w:val="center"/>
          </w:tcPr>
          <w:p w:rsidR="00B10A1C" w:rsidRDefault="00AA0A50">
            <w:pPr>
              <w:jc w:val="center"/>
            </w:pPr>
            <w:r>
              <w:rPr>
                <w:color w:val="000000"/>
                <w:sz w:val="24"/>
                <w:szCs w:val="24"/>
              </w:rPr>
              <w:t>-0.07%</w:t>
            </w:r>
          </w:p>
        </w:tc>
      </w:tr>
      <w:tr w:rsidR="00B10A1C">
        <w:trPr>
          <w:jc w:val="center"/>
        </w:trPr>
        <w:tc>
          <w:tcPr>
            <w:tcW w:w="1701" w:type="dxa"/>
            <w:vAlign w:val="center"/>
          </w:tcPr>
          <w:p w:rsidR="00B10A1C" w:rsidRDefault="00AA0A50">
            <w:pPr>
              <w:jc w:val="left"/>
            </w:pPr>
            <w:r>
              <w:rPr>
                <w:color w:val="000000"/>
                <w:sz w:val="24"/>
                <w:szCs w:val="24"/>
              </w:rPr>
              <w:t>自基金合同生效至今</w:t>
            </w:r>
          </w:p>
        </w:tc>
        <w:tc>
          <w:tcPr>
            <w:tcW w:w="1045" w:type="dxa"/>
            <w:vAlign w:val="center"/>
          </w:tcPr>
          <w:p w:rsidR="00B10A1C" w:rsidRDefault="00AA0A50">
            <w:pPr>
              <w:jc w:val="center"/>
            </w:pPr>
            <w:r>
              <w:rPr>
                <w:color w:val="000000"/>
                <w:sz w:val="24"/>
                <w:szCs w:val="24"/>
              </w:rPr>
              <w:t>14.00%</w:t>
            </w:r>
          </w:p>
        </w:tc>
        <w:tc>
          <w:tcPr>
            <w:tcW w:w="1344" w:type="dxa"/>
            <w:vAlign w:val="center"/>
          </w:tcPr>
          <w:p w:rsidR="00B10A1C" w:rsidRDefault="00AA0A50">
            <w:pPr>
              <w:jc w:val="center"/>
            </w:pPr>
            <w:r>
              <w:rPr>
                <w:color w:val="000000"/>
                <w:sz w:val="24"/>
                <w:szCs w:val="24"/>
              </w:rPr>
              <w:t>0.16%</w:t>
            </w:r>
          </w:p>
        </w:tc>
        <w:tc>
          <w:tcPr>
            <w:tcW w:w="1194" w:type="dxa"/>
            <w:vAlign w:val="center"/>
          </w:tcPr>
          <w:p w:rsidR="00B10A1C" w:rsidRDefault="00AA0A50">
            <w:pPr>
              <w:jc w:val="center"/>
            </w:pPr>
            <w:r>
              <w:rPr>
                <w:color w:val="000000"/>
                <w:sz w:val="24"/>
                <w:szCs w:val="24"/>
              </w:rPr>
              <w:t>9.00%</w:t>
            </w:r>
          </w:p>
        </w:tc>
        <w:tc>
          <w:tcPr>
            <w:tcW w:w="1492" w:type="dxa"/>
            <w:vAlign w:val="center"/>
          </w:tcPr>
          <w:p w:rsidR="00B10A1C" w:rsidRDefault="00AA0A50">
            <w:pPr>
              <w:jc w:val="center"/>
            </w:pPr>
            <w:r>
              <w:rPr>
                <w:color w:val="000000"/>
                <w:sz w:val="24"/>
                <w:szCs w:val="24"/>
              </w:rPr>
              <w:t>0.24%</w:t>
            </w:r>
          </w:p>
        </w:tc>
        <w:tc>
          <w:tcPr>
            <w:tcW w:w="1194" w:type="dxa"/>
            <w:vAlign w:val="center"/>
          </w:tcPr>
          <w:p w:rsidR="00B10A1C" w:rsidRDefault="00AA0A50">
            <w:pPr>
              <w:jc w:val="center"/>
            </w:pPr>
            <w:r>
              <w:rPr>
                <w:color w:val="000000"/>
                <w:sz w:val="24"/>
                <w:szCs w:val="24"/>
              </w:rPr>
              <w:t>5.00%</w:t>
            </w:r>
          </w:p>
        </w:tc>
        <w:tc>
          <w:tcPr>
            <w:tcW w:w="898" w:type="dxa"/>
            <w:vAlign w:val="center"/>
          </w:tcPr>
          <w:p w:rsidR="00B10A1C" w:rsidRDefault="00AA0A50">
            <w:pPr>
              <w:jc w:val="center"/>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交银施罗德安享稳健养老目标一年持有期混合型基金中基金（</w:t>
      </w:r>
      <w:r w:rsidRPr="00414345">
        <w:rPr>
          <w:color w:val="000000"/>
          <w:sz w:val="24"/>
          <w:szCs w:val="24"/>
        </w:rPr>
        <w:t>FOF</w:t>
      </w:r>
      <w:r w:rsidRPr="00414345">
        <w:rPr>
          <w:color w:val="000000"/>
          <w:sz w:val="24"/>
          <w:szCs w:val="24"/>
        </w:rPr>
        <w:t>）</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10A1C">
        <w:trPr>
          <w:jc w:val="center"/>
        </w:trPr>
        <w:tc>
          <w:tcPr>
            <w:tcW w:w="846" w:type="dxa"/>
            <w:vAlign w:val="center"/>
          </w:tcPr>
          <w:p w:rsidR="00B10A1C" w:rsidRDefault="00AA0A50">
            <w:pPr>
              <w:jc w:val="center"/>
            </w:pPr>
            <w:r>
              <w:rPr>
                <w:color w:val="000000"/>
                <w:sz w:val="24"/>
                <w:szCs w:val="24"/>
              </w:rPr>
              <w:t>杨喆</w:t>
            </w:r>
          </w:p>
        </w:tc>
        <w:tc>
          <w:tcPr>
            <w:tcW w:w="845" w:type="dxa"/>
            <w:vAlign w:val="center"/>
          </w:tcPr>
          <w:p w:rsidR="00B10A1C" w:rsidRDefault="00AA0A50">
            <w:pPr>
              <w:jc w:val="center"/>
            </w:pPr>
            <w:r>
              <w:rPr>
                <w:color w:val="000000"/>
                <w:sz w:val="24"/>
                <w:szCs w:val="24"/>
              </w:rPr>
              <w:t>交银安享稳健养老一年、交银养老</w:t>
            </w:r>
            <w:r>
              <w:rPr>
                <w:color w:val="000000"/>
                <w:sz w:val="24"/>
                <w:szCs w:val="24"/>
              </w:rPr>
              <w:t>2035</w:t>
            </w:r>
            <w:r>
              <w:rPr>
                <w:color w:val="000000"/>
                <w:sz w:val="24"/>
                <w:szCs w:val="24"/>
              </w:rPr>
              <w:t>三年的基金经理，公司多元资产管理副总监。</w:t>
            </w:r>
          </w:p>
        </w:tc>
        <w:tc>
          <w:tcPr>
            <w:tcW w:w="1549" w:type="dxa"/>
            <w:vAlign w:val="center"/>
          </w:tcPr>
          <w:p w:rsidR="00B10A1C" w:rsidRDefault="00AA0A50">
            <w:pPr>
              <w:jc w:val="center"/>
            </w:pPr>
            <w:r>
              <w:rPr>
                <w:color w:val="000000"/>
                <w:sz w:val="24"/>
                <w:szCs w:val="24"/>
              </w:rPr>
              <w:t>2019-05-30</w:t>
            </w:r>
          </w:p>
        </w:tc>
        <w:tc>
          <w:tcPr>
            <w:tcW w:w="1548" w:type="dxa"/>
            <w:vAlign w:val="center"/>
          </w:tcPr>
          <w:p w:rsidR="00B10A1C" w:rsidRDefault="00AA0A50">
            <w:pPr>
              <w:jc w:val="center"/>
            </w:pPr>
            <w:r>
              <w:rPr>
                <w:color w:val="000000"/>
                <w:sz w:val="24"/>
                <w:szCs w:val="24"/>
              </w:rPr>
              <w:t>-</w:t>
            </w:r>
          </w:p>
        </w:tc>
        <w:tc>
          <w:tcPr>
            <w:tcW w:w="1407" w:type="dxa"/>
            <w:vAlign w:val="center"/>
          </w:tcPr>
          <w:p w:rsidR="00B10A1C" w:rsidRDefault="00AA0A50">
            <w:pPr>
              <w:jc w:val="center"/>
            </w:pPr>
            <w:r>
              <w:rPr>
                <w:color w:val="000000"/>
                <w:sz w:val="24"/>
                <w:szCs w:val="24"/>
              </w:rPr>
              <w:t>12</w:t>
            </w:r>
            <w:r>
              <w:rPr>
                <w:color w:val="000000"/>
                <w:sz w:val="24"/>
                <w:szCs w:val="24"/>
              </w:rPr>
              <w:t>年</w:t>
            </w:r>
          </w:p>
        </w:tc>
        <w:tc>
          <w:tcPr>
            <w:tcW w:w="2673" w:type="dxa"/>
            <w:vAlign w:val="center"/>
          </w:tcPr>
          <w:p w:rsidR="00B10A1C" w:rsidRDefault="00AA0A50">
            <w:r>
              <w:rPr>
                <w:color w:val="000000"/>
                <w:sz w:val="24"/>
                <w:szCs w:val="24"/>
              </w:rPr>
              <w:t>杨喆女士，同济大学金融学硕士。曾任国泰君安证券有限公司研究所金融工程与衍生品研究员。</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10A1C" w:rsidRDefault="00AA0A5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B10A1C" w:rsidRDefault="00AA0A5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w:t>
      </w:r>
      <w:r>
        <w:rPr>
          <w:color w:val="000000"/>
          <w:sz w:val="24"/>
          <w:szCs w:val="24"/>
        </w:rPr>
        <w:t>外交易，遵循公平交易分配原则对交易结果进行分配。</w:t>
      </w:r>
    </w:p>
    <w:p w:rsidR="00B10A1C" w:rsidRDefault="00AA0A5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10A1C" w:rsidRDefault="00AA0A50">
      <w:pPr>
        <w:spacing w:before="29" w:line="288" w:lineRule="auto"/>
        <w:ind w:firstLineChars="200" w:firstLine="480"/>
        <w:rPr>
          <w:color w:val="000000"/>
          <w:sz w:val="24"/>
          <w:szCs w:val="24"/>
        </w:rPr>
      </w:pPr>
      <w:r>
        <w:rPr>
          <w:color w:val="000000"/>
          <w:sz w:val="24"/>
          <w:szCs w:val="24"/>
        </w:rPr>
        <w:t>2020</w:t>
      </w:r>
      <w:r>
        <w:rPr>
          <w:color w:val="000000"/>
          <w:sz w:val="24"/>
          <w:szCs w:val="24"/>
        </w:rPr>
        <w:t>年四季度，经济指标延续回升趋势，工业、服务业生产、内外需求都在加快改善。国内疫情防控取得了重大的阶段性成果，国内的消费环境在改善，消费信心在增强。权益市场整体呈现热点轮动的态势。十一月信用债市场由于受到信用违约事件的冲击，发生了较大幅度的调整，在近期有所修复。</w:t>
      </w:r>
    </w:p>
    <w:p w:rsidR="00B10A1C" w:rsidRDefault="00AA0A50">
      <w:pPr>
        <w:spacing w:before="29" w:line="288" w:lineRule="auto"/>
        <w:ind w:firstLineChars="200" w:firstLine="480"/>
        <w:rPr>
          <w:color w:val="000000"/>
          <w:sz w:val="24"/>
          <w:szCs w:val="24"/>
        </w:rPr>
      </w:pPr>
      <w:r>
        <w:rPr>
          <w:color w:val="000000"/>
          <w:sz w:val="24"/>
          <w:szCs w:val="24"/>
        </w:rPr>
        <w:t>报告期内，权益市场在波动中蕴藏着投资机会，市场整体震荡上行，债券市场受信用违约事件影响波动加大。本基金在综合分析各类资产的投资机会和市场风险情况的基础上，精选成长性基金和中长期超额收益明显且业绩稳健的优质基金加以配置，灵活调整债券资产和权益资</w:t>
      </w:r>
      <w:r>
        <w:rPr>
          <w:color w:val="000000"/>
          <w:sz w:val="24"/>
          <w:szCs w:val="24"/>
        </w:rPr>
        <w:t>产的仓位，控制市场波动风险，把握市场机会。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疫情之后全球经济的共振复苏将成为资本市场的主要基调，欧美国家的需求回暖将带来显著的外部效应，疫苗的大规模落地使用对于供给的修复也将对经济起到一定刺激作用。低基数将促使未来经济增速进一步提升，在</w:t>
      </w:r>
      <w:r w:rsidRPr="00414345">
        <w:rPr>
          <w:color w:val="000000"/>
          <w:sz w:val="24"/>
          <w:szCs w:val="24"/>
        </w:rPr>
        <w:t>“</w:t>
      </w:r>
      <w:r w:rsidRPr="00414345">
        <w:rPr>
          <w:color w:val="000000"/>
          <w:sz w:val="24"/>
          <w:szCs w:val="24"/>
        </w:rPr>
        <w:t>双循环</w:t>
      </w:r>
      <w:r w:rsidRPr="00414345">
        <w:rPr>
          <w:color w:val="000000"/>
          <w:sz w:val="24"/>
          <w:szCs w:val="24"/>
        </w:rPr>
        <w:t>”</w:t>
      </w:r>
      <w:r w:rsidRPr="00414345">
        <w:rPr>
          <w:color w:val="000000"/>
          <w:sz w:val="24"/>
          <w:szCs w:val="24"/>
        </w:rPr>
        <w:t>发展格局和</w:t>
      </w:r>
      <w:r w:rsidRPr="00414345">
        <w:rPr>
          <w:color w:val="000000"/>
          <w:sz w:val="24"/>
          <w:szCs w:val="24"/>
        </w:rPr>
        <w:t>“</w:t>
      </w:r>
      <w:r w:rsidRPr="00414345">
        <w:rPr>
          <w:color w:val="000000"/>
          <w:sz w:val="24"/>
          <w:szCs w:val="24"/>
        </w:rPr>
        <w:t>需求侧改革</w:t>
      </w:r>
      <w:r w:rsidRPr="00414345">
        <w:rPr>
          <w:color w:val="000000"/>
          <w:sz w:val="24"/>
          <w:szCs w:val="24"/>
        </w:rPr>
        <w:t>”</w:t>
      </w:r>
      <w:r w:rsidRPr="00414345">
        <w:rPr>
          <w:color w:val="000000"/>
          <w:sz w:val="24"/>
          <w:szCs w:val="24"/>
        </w:rPr>
        <w:t>等新理念的指导下，经济改革、资本市场和产业政策都面临新的环境变化，并将催生出新的行业机遇。货币政策预计持续稳健，流动性维持合理充裕状态。我们将持续关注流动性和政策面，重点把握市场中潜在的结构性机会，防范风险，挖掘景气度高的行业和基本面改善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151,133,925.60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151,133,925.60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10,303,615,650.47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90.51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552,253,699.74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552,253,699.74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123,557,008.78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252,884,603.91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11,383,444,888.50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1,587,103.80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2,937,734.24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77,658,726.85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562,833.00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1,487,458.00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1,568,824.72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1,945,043.88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1,803,957.38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43,655,666.50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12,264,443.94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4,171,815.00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1,426,975.92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15,081.10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48,261.27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151,133,925.60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10A1C">
        <w:trPr>
          <w:jc w:val="center"/>
        </w:trPr>
        <w:tc>
          <w:tcPr>
            <w:tcW w:w="855" w:type="dxa"/>
            <w:vAlign w:val="center"/>
          </w:tcPr>
          <w:p w:rsidR="00B10A1C" w:rsidRDefault="00AA0A50">
            <w:pPr>
              <w:jc w:val="center"/>
            </w:pPr>
            <w:r>
              <w:rPr>
                <w:color w:val="000000"/>
                <w:sz w:val="24"/>
                <w:szCs w:val="24"/>
              </w:rPr>
              <w:t>1</w:t>
            </w:r>
          </w:p>
        </w:tc>
        <w:tc>
          <w:tcPr>
            <w:tcW w:w="1334" w:type="dxa"/>
            <w:vAlign w:val="center"/>
          </w:tcPr>
          <w:p w:rsidR="00B10A1C" w:rsidRDefault="00AA0A50">
            <w:pPr>
              <w:jc w:val="center"/>
            </w:pPr>
            <w:r>
              <w:rPr>
                <w:color w:val="000000"/>
                <w:sz w:val="24"/>
                <w:szCs w:val="24"/>
              </w:rPr>
              <w:t>600519</w:t>
            </w:r>
          </w:p>
        </w:tc>
        <w:tc>
          <w:tcPr>
            <w:tcW w:w="1777" w:type="dxa"/>
            <w:vAlign w:val="center"/>
          </w:tcPr>
          <w:p w:rsidR="00B10A1C" w:rsidRDefault="00AA0A50">
            <w:pPr>
              <w:jc w:val="center"/>
            </w:pPr>
            <w:r>
              <w:rPr>
                <w:color w:val="000000"/>
                <w:sz w:val="24"/>
                <w:szCs w:val="24"/>
              </w:rPr>
              <w:t>贵州茅台</w:t>
            </w:r>
          </w:p>
        </w:tc>
        <w:tc>
          <w:tcPr>
            <w:tcW w:w="1334" w:type="dxa"/>
            <w:vAlign w:val="center"/>
          </w:tcPr>
          <w:p w:rsidR="00B10A1C" w:rsidRDefault="00AA0A50">
            <w:pPr>
              <w:jc w:val="right"/>
            </w:pPr>
            <w:r>
              <w:rPr>
                <w:color w:val="000000"/>
                <w:sz w:val="24"/>
                <w:szCs w:val="24"/>
              </w:rPr>
              <w:t>5,200</w:t>
            </w:r>
          </w:p>
        </w:tc>
        <w:tc>
          <w:tcPr>
            <w:tcW w:w="1924" w:type="dxa"/>
            <w:vAlign w:val="center"/>
          </w:tcPr>
          <w:p w:rsidR="00B10A1C" w:rsidRDefault="00AA0A50">
            <w:pPr>
              <w:jc w:val="right"/>
            </w:pPr>
            <w:r>
              <w:rPr>
                <w:color w:val="000000"/>
                <w:sz w:val="24"/>
                <w:szCs w:val="24"/>
              </w:rPr>
              <w:t>10,389,600.00</w:t>
            </w:r>
          </w:p>
        </w:tc>
        <w:tc>
          <w:tcPr>
            <w:tcW w:w="1644" w:type="dxa"/>
            <w:vAlign w:val="center"/>
          </w:tcPr>
          <w:p w:rsidR="00B10A1C" w:rsidRDefault="00AA0A50">
            <w:pPr>
              <w:jc w:val="right"/>
            </w:pPr>
            <w:r>
              <w:rPr>
                <w:color w:val="000000"/>
                <w:sz w:val="24"/>
                <w:szCs w:val="24"/>
              </w:rPr>
              <w:t>0.09</w:t>
            </w:r>
          </w:p>
        </w:tc>
      </w:tr>
      <w:tr w:rsidR="00B10A1C">
        <w:trPr>
          <w:jc w:val="center"/>
        </w:trPr>
        <w:tc>
          <w:tcPr>
            <w:tcW w:w="855" w:type="dxa"/>
            <w:vAlign w:val="center"/>
          </w:tcPr>
          <w:p w:rsidR="00B10A1C" w:rsidRDefault="00AA0A50">
            <w:pPr>
              <w:jc w:val="center"/>
            </w:pPr>
            <w:r>
              <w:rPr>
                <w:color w:val="000000"/>
                <w:sz w:val="24"/>
                <w:szCs w:val="24"/>
              </w:rPr>
              <w:t>2</w:t>
            </w:r>
          </w:p>
        </w:tc>
        <w:tc>
          <w:tcPr>
            <w:tcW w:w="1334" w:type="dxa"/>
            <w:vAlign w:val="center"/>
          </w:tcPr>
          <w:p w:rsidR="00B10A1C" w:rsidRDefault="00AA0A50">
            <w:pPr>
              <w:jc w:val="center"/>
            </w:pPr>
            <w:r>
              <w:rPr>
                <w:color w:val="000000"/>
                <w:sz w:val="24"/>
                <w:szCs w:val="24"/>
              </w:rPr>
              <w:t>601318</w:t>
            </w:r>
          </w:p>
        </w:tc>
        <w:tc>
          <w:tcPr>
            <w:tcW w:w="1777" w:type="dxa"/>
            <w:vAlign w:val="center"/>
          </w:tcPr>
          <w:p w:rsidR="00B10A1C" w:rsidRDefault="00AA0A50">
            <w:pPr>
              <w:jc w:val="center"/>
            </w:pPr>
            <w:r>
              <w:rPr>
                <w:color w:val="000000"/>
                <w:sz w:val="24"/>
                <w:szCs w:val="24"/>
              </w:rPr>
              <w:t>中国平安</w:t>
            </w:r>
          </w:p>
        </w:tc>
        <w:tc>
          <w:tcPr>
            <w:tcW w:w="1334" w:type="dxa"/>
            <w:vAlign w:val="center"/>
          </w:tcPr>
          <w:p w:rsidR="00B10A1C" w:rsidRDefault="00AA0A50">
            <w:pPr>
              <w:jc w:val="right"/>
            </w:pPr>
            <w:r>
              <w:rPr>
                <w:color w:val="000000"/>
                <w:sz w:val="24"/>
                <w:szCs w:val="24"/>
              </w:rPr>
              <w:t>112,529</w:t>
            </w:r>
          </w:p>
        </w:tc>
        <w:tc>
          <w:tcPr>
            <w:tcW w:w="1924" w:type="dxa"/>
            <w:vAlign w:val="center"/>
          </w:tcPr>
          <w:p w:rsidR="00B10A1C" w:rsidRDefault="00AA0A50">
            <w:pPr>
              <w:jc w:val="right"/>
            </w:pPr>
            <w:r>
              <w:rPr>
                <w:color w:val="000000"/>
                <w:sz w:val="24"/>
                <w:szCs w:val="24"/>
              </w:rPr>
              <w:t>9,787,772.42</w:t>
            </w:r>
          </w:p>
        </w:tc>
        <w:tc>
          <w:tcPr>
            <w:tcW w:w="1644" w:type="dxa"/>
            <w:vAlign w:val="center"/>
          </w:tcPr>
          <w:p w:rsidR="00B10A1C" w:rsidRDefault="00AA0A50">
            <w:pPr>
              <w:jc w:val="right"/>
            </w:pPr>
            <w:r>
              <w:rPr>
                <w:color w:val="000000"/>
                <w:sz w:val="24"/>
                <w:szCs w:val="24"/>
              </w:rPr>
              <w:t>0.09</w:t>
            </w:r>
          </w:p>
        </w:tc>
      </w:tr>
      <w:tr w:rsidR="00B10A1C">
        <w:trPr>
          <w:jc w:val="center"/>
        </w:trPr>
        <w:tc>
          <w:tcPr>
            <w:tcW w:w="855" w:type="dxa"/>
            <w:vAlign w:val="center"/>
          </w:tcPr>
          <w:p w:rsidR="00B10A1C" w:rsidRDefault="00AA0A50">
            <w:pPr>
              <w:jc w:val="center"/>
            </w:pPr>
            <w:r>
              <w:rPr>
                <w:color w:val="000000"/>
                <w:sz w:val="24"/>
                <w:szCs w:val="24"/>
              </w:rPr>
              <w:t>3</w:t>
            </w:r>
          </w:p>
        </w:tc>
        <w:tc>
          <w:tcPr>
            <w:tcW w:w="1334" w:type="dxa"/>
            <w:vAlign w:val="center"/>
          </w:tcPr>
          <w:p w:rsidR="00B10A1C" w:rsidRDefault="00AA0A50">
            <w:pPr>
              <w:jc w:val="center"/>
            </w:pPr>
            <w:r>
              <w:rPr>
                <w:color w:val="000000"/>
                <w:sz w:val="24"/>
                <w:szCs w:val="24"/>
              </w:rPr>
              <w:t>000002</w:t>
            </w:r>
          </w:p>
        </w:tc>
        <w:tc>
          <w:tcPr>
            <w:tcW w:w="1777" w:type="dxa"/>
            <w:vAlign w:val="center"/>
          </w:tcPr>
          <w:p w:rsidR="00B10A1C" w:rsidRDefault="00AA0A50">
            <w:pPr>
              <w:jc w:val="center"/>
            </w:pPr>
            <w:r>
              <w:rPr>
                <w:color w:val="000000"/>
                <w:sz w:val="24"/>
                <w:szCs w:val="24"/>
              </w:rPr>
              <w:t>万科</w:t>
            </w:r>
            <w:r>
              <w:rPr>
                <w:color w:val="000000"/>
                <w:sz w:val="24"/>
                <w:szCs w:val="24"/>
              </w:rPr>
              <w:t>A</w:t>
            </w:r>
          </w:p>
        </w:tc>
        <w:tc>
          <w:tcPr>
            <w:tcW w:w="1334" w:type="dxa"/>
            <w:vAlign w:val="center"/>
          </w:tcPr>
          <w:p w:rsidR="00B10A1C" w:rsidRDefault="00AA0A50">
            <w:pPr>
              <w:jc w:val="right"/>
            </w:pPr>
            <w:r>
              <w:rPr>
                <w:color w:val="000000"/>
                <w:sz w:val="24"/>
                <w:szCs w:val="24"/>
              </w:rPr>
              <w:t>224,100</w:t>
            </w:r>
          </w:p>
        </w:tc>
        <w:tc>
          <w:tcPr>
            <w:tcW w:w="1924" w:type="dxa"/>
            <w:vAlign w:val="center"/>
          </w:tcPr>
          <w:p w:rsidR="00B10A1C" w:rsidRDefault="00AA0A50">
            <w:pPr>
              <w:jc w:val="right"/>
            </w:pPr>
            <w:r>
              <w:rPr>
                <w:color w:val="000000"/>
                <w:sz w:val="24"/>
                <w:szCs w:val="24"/>
              </w:rPr>
              <w:t>6,431,670.00</w:t>
            </w:r>
          </w:p>
        </w:tc>
        <w:tc>
          <w:tcPr>
            <w:tcW w:w="1644" w:type="dxa"/>
            <w:vAlign w:val="center"/>
          </w:tcPr>
          <w:p w:rsidR="00B10A1C" w:rsidRDefault="00AA0A50">
            <w:pPr>
              <w:jc w:val="right"/>
            </w:pPr>
            <w:r>
              <w:rPr>
                <w:color w:val="000000"/>
                <w:sz w:val="24"/>
                <w:szCs w:val="24"/>
              </w:rPr>
              <w:t>0.06</w:t>
            </w:r>
          </w:p>
        </w:tc>
      </w:tr>
      <w:tr w:rsidR="00B10A1C">
        <w:trPr>
          <w:jc w:val="center"/>
        </w:trPr>
        <w:tc>
          <w:tcPr>
            <w:tcW w:w="855" w:type="dxa"/>
            <w:vAlign w:val="center"/>
          </w:tcPr>
          <w:p w:rsidR="00B10A1C" w:rsidRDefault="00AA0A50">
            <w:pPr>
              <w:jc w:val="center"/>
            </w:pPr>
            <w:r>
              <w:rPr>
                <w:color w:val="000000"/>
                <w:sz w:val="24"/>
                <w:szCs w:val="24"/>
              </w:rPr>
              <w:t>4</w:t>
            </w:r>
          </w:p>
        </w:tc>
        <w:tc>
          <w:tcPr>
            <w:tcW w:w="1334" w:type="dxa"/>
            <w:vAlign w:val="center"/>
          </w:tcPr>
          <w:p w:rsidR="00B10A1C" w:rsidRDefault="00AA0A50">
            <w:pPr>
              <w:jc w:val="center"/>
            </w:pPr>
            <w:r>
              <w:rPr>
                <w:color w:val="000000"/>
                <w:sz w:val="24"/>
                <w:szCs w:val="24"/>
              </w:rPr>
              <w:t>000333</w:t>
            </w:r>
          </w:p>
        </w:tc>
        <w:tc>
          <w:tcPr>
            <w:tcW w:w="1777" w:type="dxa"/>
            <w:vAlign w:val="center"/>
          </w:tcPr>
          <w:p w:rsidR="00B10A1C" w:rsidRDefault="00AA0A50">
            <w:pPr>
              <w:jc w:val="center"/>
            </w:pPr>
            <w:r>
              <w:rPr>
                <w:color w:val="000000"/>
                <w:sz w:val="24"/>
                <w:szCs w:val="24"/>
              </w:rPr>
              <w:t>美的集团</w:t>
            </w:r>
          </w:p>
        </w:tc>
        <w:tc>
          <w:tcPr>
            <w:tcW w:w="1334" w:type="dxa"/>
            <w:vAlign w:val="center"/>
          </w:tcPr>
          <w:p w:rsidR="00B10A1C" w:rsidRDefault="00AA0A50">
            <w:pPr>
              <w:jc w:val="right"/>
            </w:pPr>
            <w:r>
              <w:rPr>
                <w:color w:val="000000"/>
                <w:sz w:val="24"/>
                <w:szCs w:val="24"/>
              </w:rPr>
              <w:t>61,600</w:t>
            </w:r>
          </w:p>
        </w:tc>
        <w:tc>
          <w:tcPr>
            <w:tcW w:w="1924" w:type="dxa"/>
            <w:vAlign w:val="center"/>
          </w:tcPr>
          <w:p w:rsidR="00B10A1C" w:rsidRDefault="00AA0A50">
            <w:pPr>
              <w:jc w:val="right"/>
            </w:pPr>
            <w:r>
              <w:rPr>
                <w:color w:val="000000"/>
                <w:sz w:val="24"/>
                <w:szCs w:val="24"/>
              </w:rPr>
              <w:t>6,063,904.00</w:t>
            </w:r>
          </w:p>
        </w:tc>
        <w:tc>
          <w:tcPr>
            <w:tcW w:w="1644" w:type="dxa"/>
            <w:vAlign w:val="center"/>
          </w:tcPr>
          <w:p w:rsidR="00B10A1C" w:rsidRDefault="00AA0A50">
            <w:pPr>
              <w:jc w:val="right"/>
            </w:pPr>
            <w:r>
              <w:rPr>
                <w:color w:val="000000"/>
                <w:sz w:val="24"/>
                <w:szCs w:val="24"/>
              </w:rPr>
              <w:t>0.05</w:t>
            </w:r>
          </w:p>
        </w:tc>
      </w:tr>
      <w:tr w:rsidR="00B10A1C">
        <w:trPr>
          <w:jc w:val="center"/>
        </w:trPr>
        <w:tc>
          <w:tcPr>
            <w:tcW w:w="855" w:type="dxa"/>
            <w:vAlign w:val="center"/>
          </w:tcPr>
          <w:p w:rsidR="00B10A1C" w:rsidRDefault="00AA0A50">
            <w:pPr>
              <w:jc w:val="center"/>
            </w:pPr>
            <w:r>
              <w:rPr>
                <w:color w:val="000000"/>
                <w:sz w:val="24"/>
                <w:szCs w:val="24"/>
              </w:rPr>
              <w:t>5</w:t>
            </w:r>
          </w:p>
        </w:tc>
        <w:tc>
          <w:tcPr>
            <w:tcW w:w="1334" w:type="dxa"/>
            <w:vAlign w:val="center"/>
          </w:tcPr>
          <w:p w:rsidR="00B10A1C" w:rsidRDefault="00AA0A50">
            <w:pPr>
              <w:jc w:val="center"/>
            </w:pPr>
            <w:r>
              <w:rPr>
                <w:color w:val="000000"/>
                <w:sz w:val="24"/>
                <w:szCs w:val="24"/>
              </w:rPr>
              <w:t>000651</w:t>
            </w:r>
          </w:p>
        </w:tc>
        <w:tc>
          <w:tcPr>
            <w:tcW w:w="1777" w:type="dxa"/>
            <w:vAlign w:val="center"/>
          </w:tcPr>
          <w:p w:rsidR="00B10A1C" w:rsidRDefault="00AA0A50">
            <w:pPr>
              <w:jc w:val="center"/>
            </w:pPr>
            <w:r>
              <w:rPr>
                <w:color w:val="000000"/>
                <w:sz w:val="24"/>
                <w:szCs w:val="24"/>
              </w:rPr>
              <w:t>格力电器</w:t>
            </w:r>
          </w:p>
        </w:tc>
        <w:tc>
          <w:tcPr>
            <w:tcW w:w="1334" w:type="dxa"/>
            <w:vAlign w:val="center"/>
          </w:tcPr>
          <w:p w:rsidR="00B10A1C" w:rsidRDefault="00AA0A50">
            <w:pPr>
              <w:jc w:val="right"/>
            </w:pPr>
            <w:r>
              <w:rPr>
                <w:color w:val="000000"/>
                <w:sz w:val="24"/>
                <w:szCs w:val="24"/>
              </w:rPr>
              <w:t>81,400</w:t>
            </w:r>
          </w:p>
        </w:tc>
        <w:tc>
          <w:tcPr>
            <w:tcW w:w="1924" w:type="dxa"/>
            <w:vAlign w:val="center"/>
          </w:tcPr>
          <w:p w:rsidR="00B10A1C" w:rsidRDefault="00AA0A50">
            <w:pPr>
              <w:jc w:val="right"/>
            </w:pPr>
            <w:r>
              <w:rPr>
                <w:color w:val="000000"/>
                <w:sz w:val="24"/>
                <w:szCs w:val="24"/>
              </w:rPr>
              <w:t>5,041,916.00</w:t>
            </w:r>
          </w:p>
        </w:tc>
        <w:tc>
          <w:tcPr>
            <w:tcW w:w="1644" w:type="dxa"/>
            <w:vAlign w:val="center"/>
          </w:tcPr>
          <w:p w:rsidR="00B10A1C" w:rsidRDefault="00AA0A50">
            <w:pPr>
              <w:jc w:val="right"/>
            </w:pPr>
            <w:r>
              <w:rPr>
                <w:color w:val="000000"/>
                <w:sz w:val="24"/>
                <w:szCs w:val="24"/>
              </w:rPr>
              <w:t>0.04</w:t>
            </w:r>
          </w:p>
        </w:tc>
      </w:tr>
      <w:tr w:rsidR="00B10A1C">
        <w:trPr>
          <w:jc w:val="center"/>
        </w:trPr>
        <w:tc>
          <w:tcPr>
            <w:tcW w:w="855" w:type="dxa"/>
            <w:vAlign w:val="center"/>
          </w:tcPr>
          <w:p w:rsidR="00B10A1C" w:rsidRDefault="00AA0A50">
            <w:pPr>
              <w:jc w:val="center"/>
            </w:pPr>
            <w:r>
              <w:rPr>
                <w:color w:val="000000"/>
                <w:sz w:val="24"/>
                <w:szCs w:val="24"/>
              </w:rPr>
              <w:t>6</w:t>
            </w:r>
          </w:p>
        </w:tc>
        <w:tc>
          <w:tcPr>
            <w:tcW w:w="1334" w:type="dxa"/>
            <w:vAlign w:val="center"/>
          </w:tcPr>
          <w:p w:rsidR="00B10A1C" w:rsidRDefault="00AA0A50">
            <w:pPr>
              <w:jc w:val="center"/>
            </w:pPr>
            <w:r>
              <w:rPr>
                <w:color w:val="000000"/>
                <w:sz w:val="24"/>
                <w:szCs w:val="24"/>
              </w:rPr>
              <w:t>600036</w:t>
            </w:r>
          </w:p>
        </w:tc>
        <w:tc>
          <w:tcPr>
            <w:tcW w:w="1777" w:type="dxa"/>
            <w:vAlign w:val="center"/>
          </w:tcPr>
          <w:p w:rsidR="00B10A1C" w:rsidRDefault="00AA0A50">
            <w:pPr>
              <w:jc w:val="center"/>
            </w:pPr>
            <w:r>
              <w:rPr>
                <w:color w:val="000000"/>
                <w:sz w:val="24"/>
                <w:szCs w:val="24"/>
              </w:rPr>
              <w:t>招商银行</w:t>
            </w:r>
          </w:p>
        </w:tc>
        <w:tc>
          <w:tcPr>
            <w:tcW w:w="1334" w:type="dxa"/>
            <w:vAlign w:val="center"/>
          </w:tcPr>
          <w:p w:rsidR="00B10A1C" w:rsidRDefault="00AA0A50">
            <w:pPr>
              <w:jc w:val="right"/>
            </w:pPr>
            <w:r>
              <w:rPr>
                <w:color w:val="000000"/>
                <w:sz w:val="24"/>
                <w:szCs w:val="24"/>
              </w:rPr>
              <w:t>112,500</w:t>
            </w:r>
          </w:p>
        </w:tc>
        <w:tc>
          <w:tcPr>
            <w:tcW w:w="1924" w:type="dxa"/>
            <w:vAlign w:val="center"/>
          </w:tcPr>
          <w:p w:rsidR="00B10A1C" w:rsidRDefault="00AA0A50">
            <w:pPr>
              <w:jc w:val="right"/>
            </w:pPr>
            <w:r>
              <w:rPr>
                <w:color w:val="000000"/>
                <w:sz w:val="24"/>
                <w:szCs w:val="24"/>
              </w:rPr>
              <w:t>4,944,375.00</w:t>
            </w:r>
          </w:p>
        </w:tc>
        <w:tc>
          <w:tcPr>
            <w:tcW w:w="1644" w:type="dxa"/>
            <w:vAlign w:val="center"/>
          </w:tcPr>
          <w:p w:rsidR="00B10A1C" w:rsidRDefault="00AA0A50">
            <w:pPr>
              <w:jc w:val="right"/>
            </w:pPr>
            <w:r>
              <w:rPr>
                <w:color w:val="000000"/>
                <w:sz w:val="24"/>
                <w:szCs w:val="24"/>
              </w:rPr>
              <w:t>0.04</w:t>
            </w:r>
          </w:p>
        </w:tc>
      </w:tr>
      <w:tr w:rsidR="00B10A1C">
        <w:trPr>
          <w:jc w:val="center"/>
        </w:trPr>
        <w:tc>
          <w:tcPr>
            <w:tcW w:w="855" w:type="dxa"/>
            <w:vAlign w:val="center"/>
          </w:tcPr>
          <w:p w:rsidR="00B10A1C" w:rsidRDefault="00AA0A50">
            <w:pPr>
              <w:jc w:val="center"/>
            </w:pPr>
            <w:r>
              <w:rPr>
                <w:color w:val="000000"/>
                <w:sz w:val="24"/>
                <w:szCs w:val="24"/>
              </w:rPr>
              <w:t>7</w:t>
            </w:r>
          </w:p>
        </w:tc>
        <w:tc>
          <w:tcPr>
            <w:tcW w:w="1334" w:type="dxa"/>
            <w:vAlign w:val="center"/>
          </w:tcPr>
          <w:p w:rsidR="00B10A1C" w:rsidRDefault="00AA0A50">
            <w:pPr>
              <w:jc w:val="center"/>
            </w:pPr>
            <w:r>
              <w:rPr>
                <w:color w:val="000000"/>
                <w:sz w:val="24"/>
                <w:szCs w:val="24"/>
              </w:rPr>
              <w:t>600276</w:t>
            </w:r>
          </w:p>
        </w:tc>
        <w:tc>
          <w:tcPr>
            <w:tcW w:w="1777" w:type="dxa"/>
            <w:vAlign w:val="center"/>
          </w:tcPr>
          <w:p w:rsidR="00B10A1C" w:rsidRDefault="00AA0A50">
            <w:pPr>
              <w:jc w:val="center"/>
            </w:pPr>
            <w:r>
              <w:rPr>
                <w:color w:val="000000"/>
                <w:sz w:val="24"/>
                <w:szCs w:val="24"/>
              </w:rPr>
              <w:t>恒瑞医药</w:t>
            </w:r>
          </w:p>
        </w:tc>
        <w:tc>
          <w:tcPr>
            <w:tcW w:w="1334" w:type="dxa"/>
            <w:vAlign w:val="center"/>
          </w:tcPr>
          <w:p w:rsidR="00B10A1C" w:rsidRDefault="00AA0A50">
            <w:pPr>
              <w:jc w:val="right"/>
            </w:pPr>
            <w:r>
              <w:rPr>
                <w:color w:val="000000"/>
                <w:sz w:val="24"/>
                <w:szCs w:val="24"/>
              </w:rPr>
              <w:t>40,440</w:t>
            </w:r>
          </w:p>
        </w:tc>
        <w:tc>
          <w:tcPr>
            <w:tcW w:w="1924" w:type="dxa"/>
            <w:vAlign w:val="center"/>
          </w:tcPr>
          <w:p w:rsidR="00B10A1C" w:rsidRDefault="00AA0A50">
            <w:pPr>
              <w:jc w:val="right"/>
            </w:pPr>
            <w:r>
              <w:rPr>
                <w:color w:val="000000"/>
                <w:sz w:val="24"/>
                <w:szCs w:val="24"/>
              </w:rPr>
              <w:t>4,507,442.40</w:t>
            </w:r>
          </w:p>
        </w:tc>
        <w:tc>
          <w:tcPr>
            <w:tcW w:w="1644" w:type="dxa"/>
            <w:vAlign w:val="center"/>
          </w:tcPr>
          <w:p w:rsidR="00B10A1C" w:rsidRDefault="00AA0A50">
            <w:pPr>
              <w:jc w:val="right"/>
            </w:pPr>
            <w:r>
              <w:rPr>
                <w:color w:val="000000"/>
                <w:sz w:val="24"/>
                <w:szCs w:val="24"/>
              </w:rPr>
              <w:t>0.04</w:t>
            </w:r>
          </w:p>
        </w:tc>
      </w:tr>
      <w:tr w:rsidR="00B10A1C">
        <w:trPr>
          <w:jc w:val="center"/>
        </w:trPr>
        <w:tc>
          <w:tcPr>
            <w:tcW w:w="855" w:type="dxa"/>
            <w:vAlign w:val="center"/>
          </w:tcPr>
          <w:p w:rsidR="00B10A1C" w:rsidRDefault="00AA0A50">
            <w:pPr>
              <w:jc w:val="center"/>
            </w:pPr>
            <w:r>
              <w:rPr>
                <w:color w:val="000000"/>
                <w:sz w:val="24"/>
                <w:szCs w:val="24"/>
              </w:rPr>
              <w:t>8</w:t>
            </w:r>
          </w:p>
        </w:tc>
        <w:tc>
          <w:tcPr>
            <w:tcW w:w="1334" w:type="dxa"/>
            <w:vAlign w:val="center"/>
          </w:tcPr>
          <w:p w:rsidR="00B10A1C" w:rsidRDefault="00AA0A50">
            <w:pPr>
              <w:jc w:val="center"/>
            </w:pPr>
            <w:r>
              <w:rPr>
                <w:color w:val="000000"/>
                <w:sz w:val="24"/>
                <w:szCs w:val="24"/>
              </w:rPr>
              <w:t>000001</w:t>
            </w:r>
          </w:p>
        </w:tc>
        <w:tc>
          <w:tcPr>
            <w:tcW w:w="1777" w:type="dxa"/>
            <w:vAlign w:val="center"/>
          </w:tcPr>
          <w:p w:rsidR="00B10A1C" w:rsidRDefault="00AA0A50">
            <w:pPr>
              <w:jc w:val="center"/>
            </w:pPr>
            <w:r>
              <w:rPr>
                <w:color w:val="000000"/>
                <w:sz w:val="24"/>
                <w:szCs w:val="24"/>
              </w:rPr>
              <w:t>平安银行</w:t>
            </w:r>
          </w:p>
        </w:tc>
        <w:tc>
          <w:tcPr>
            <w:tcW w:w="1334" w:type="dxa"/>
            <w:vAlign w:val="center"/>
          </w:tcPr>
          <w:p w:rsidR="00B10A1C" w:rsidRDefault="00AA0A50">
            <w:pPr>
              <w:jc w:val="right"/>
            </w:pPr>
            <w:r>
              <w:rPr>
                <w:color w:val="000000"/>
                <w:sz w:val="24"/>
                <w:szCs w:val="24"/>
              </w:rPr>
              <w:t>214,100</w:t>
            </w:r>
          </w:p>
        </w:tc>
        <w:tc>
          <w:tcPr>
            <w:tcW w:w="1924" w:type="dxa"/>
            <w:vAlign w:val="center"/>
          </w:tcPr>
          <w:p w:rsidR="00B10A1C" w:rsidRDefault="00AA0A50">
            <w:pPr>
              <w:jc w:val="right"/>
            </w:pPr>
            <w:r>
              <w:rPr>
                <w:color w:val="000000"/>
                <w:sz w:val="24"/>
                <w:szCs w:val="24"/>
              </w:rPr>
              <w:t>4,140,694.00</w:t>
            </w:r>
          </w:p>
        </w:tc>
        <w:tc>
          <w:tcPr>
            <w:tcW w:w="1644" w:type="dxa"/>
            <w:vAlign w:val="center"/>
          </w:tcPr>
          <w:p w:rsidR="00B10A1C" w:rsidRDefault="00AA0A50">
            <w:pPr>
              <w:jc w:val="right"/>
            </w:pPr>
            <w:r>
              <w:rPr>
                <w:color w:val="000000"/>
                <w:sz w:val="24"/>
                <w:szCs w:val="24"/>
              </w:rPr>
              <w:t>0.04</w:t>
            </w:r>
          </w:p>
        </w:tc>
      </w:tr>
      <w:tr w:rsidR="00B10A1C">
        <w:trPr>
          <w:jc w:val="center"/>
        </w:trPr>
        <w:tc>
          <w:tcPr>
            <w:tcW w:w="855" w:type="dxa"/>
            <w:vAlign w:val="center"/>
          </w:tcPr>
          <w:p w:rsidR="00B10A1C" w:rsidRDefault="00AA0A50">
            <w:pPr>
              <w:jc w:val="center"/>
            </w:pPr>
            <w:r>
              <w:rPr>
                <w:color w:val="000000"/>
                <w:sz w:val="24"/>
                <w:szCs w:val="24"/>
              </w:rPr>
              <w:t>9</w:t>
            </w:r>
          </w:p>
        </w:tc>
        <w:tc>
          <w:tcPr>
            <w:tcW w:w="1334" w:type="dxa"/>
            <w:vAlign w:val="center"/>
          </w:tcPr>
          <w:p w:rsidR="00B10A1C" w:rsidRDefault="00AA0A50">
            <w:pPr>
              <w:jc w:val="center"/>
            </w:pPr>
            <w:r>
              <w:rPr>
                <w:color w:val="000000"/>
                <w:sz w:val="24"/>
                <w:szCs w:val="24"/>
              </w:rPr>
              <w:t>601166</w:t>
            </w:r>
          </w:p>
        </w:tc>
        <w:tc>
          <w:tcPr>
            <w:tcW w:w="1777" w:type="dxa"/>
            <w:vAlign w:val="center"/>
          </w:tcPr>
          <w:p w:rsidR="00B10A1C" w:rsidRDefault="00AA0A50">
            <w:pPr>
              <w:jc w:val="center"/>
            </w:pPr>
            <w:r>
              <w:rPr>
                <w:color w:val="000000"/>
                <w:sz w:val="24"/>
                <w:szCs w:val="24"/>
              </w:rPr>
              <w:t>兴业银行</w:t>
            </w:r>
          </w:p>
        </w:tc>
        <w:tc>
          <w:tcPr>
            <w:tcW w:w="1334" w:type="dxa"/>
            <w:vAlign w:val="center"/>
          </w:tcPr>
          <w:p w:rsidR="00B10A1C" w:rsidRDefault="00AA0A50">
            <w:pPr>
              <w:jc w:val="right"/>
            </w:pPr>
            <w:r>
              <w:rPr>
                <w:color w:val="000000"/>
                <w:sz w:val="24"/>
                <w:szCs w:val="24"/>
              </w:rPr>
              <w:t>140,600</w:t>
            </w:r>
          </w:p>
        </w:tc>
        <w:tc>
          <w:tcPr>
            <w:tcW w:w="1924" w:type="dxa"/>
            <w:vAlign w:val="center"/>
          </w:tcPr>
          <w:p w:rsidR="00B10A1C" w:rsidRDefault="00AA0A50">
            <w:pPr>
              <w:jc w:val="right"/>
            </w:pPr>
            <w:r>
              <w:rPr>
                <w:color w:val="000000"/>
                <w:sz w:val="24"/>
                <w:szCs w:val="24"/>
              </w:rPr>
              <w:t>2,934,322.00</w:t>
            </w:r>
          </w:p>
        </w:tc>
        <w:tc>
          <w:tcPr>
            <w:tcW w:w="1644" w:type="dxa"/>
            <w:vAlign w:val="center"/>
          </w:tcPr>
          <w:p w:rsidR="00B10A1C" w:rsidRDefault="00AA0A50">
            <w:pPr>
              <w:jc w:val="right"/>
            </w:pPr>
            <w:r>
              <w:rPr>
                <w:color w:val="000000"/>
                <w:sz w:val="24"/>
                <w:szCs w:val="24"/>
              </w:rPr>
              <w:t>0.03</w:t>
            </w:r>
          </w:p>
        </w:tc>
      </w:tr>
      <w:tr w:rsidR="00B10A1C">
        <w:trPr>
          <w:jc w:val="center"/>
        </w:trPr>
        <w:tc>
          <w:tcPr>
            <w:tcW w:w="855" w:type="dxa"/>
            <w:vAlign w:val="center"/>
          </w:tcPr>
          <w:p w:rsidR="00B10A1C" w:rsidRDefault="00AA0A50">
            <w:pPr>
              <w:jc w:val="center"/>
            </w:pPr>
            <w:r>
              <w:rPr>
                <w:color w:val="000000"/>
                <w:sz w:val="24"/>
                <w:szCs w:val="24"/>
              </w:rPr>
              <w:t>10</w:t>
            </w:r>
          </w:p>
        </w:tc>
        <w:tc>
          <w:tcPr>
            <w:tcW w:w="1334" w:type="dxa"/>
            <w:vAlign w:val="center"/>
          </w:tcPr>
          <w:p w:rsidR="00B10A1C" w:rsidRDefault="00AA0A50">
            <w:pPr>
              <w:jc w:val="center"/>
            </w:pPr>
            <w:r>
              <w:rPr>
                <w:color w:val="000000"/>
                <w:sz w:val="24"/>
                <w:szCs w:val="24"/>
              </w:rPr>
              <w:t>000858</w:t>
            </w:r>
          </w:p>
        </w:tc>
        <w:tc>
          <w:tcPr>
            <w:tcW w:w="1777" w:type="dxa"/>
            <w:vAlign w:val="center"/>
          </w:tcPr>
          <w:p w:rsidR="00B10A1C" w:rsidRDefault="00AA0A50">
            <w:pPr>
              <w:jc w:val="center"/>
            </w:pPr>
            <w:r>
              <w:rPr>
                <w:color w:val="000000"/>
                <w:sz w:val="24"/>
                <w:szCs w:val="24"/>
              </w:rPr>
              <w:t>五粮液</w:t>
            </w:r>
          </w:p>
        </w:tc>
        <w:tc>
          <w:tcPr>
            <w:tcW w:w="1334" w:type="dxa"/>
            <w:vAlign w:val="center"/>
          </w:tcPr>
          <w:p w:rsidR="00B10A1C" w:rsidRDefault="00AA0A50">
            <w:pPr>
              <w:jc w:val="right"/>
            </w:pPr>
            <w:r>
              <w:rPr>
                <w:color w:val="000000"/>
                <w:sz w:val="24"/>
                <w:szCs w:val="24"/>
              </w:rPr>
              <w:t>10,000</w:t>
            </w:r>
          </w:p>
        </w:tc>
        <w:tc>
          <w:tcPr>
            <w:tcW w:w="1924" w:type="dxa"/>
            <w:vAlign w:val="center"/>
          </w:tcPr>
          <w:p w:rsidR="00B10A1C" w:rsidRDefault="00AA0A50">
            <w:pPr>
              <w:jc w:val="right"/>
            </w:pPr>
            <w:r>
              <w:rPr>
                <w:color w:val="000000"/>
                <w:sz w:val="24"/>
                <w:szCs w:val="24"/>
              </w:rPr>
              <w:t>2,918,500.00</w:t>
            </w:r>
          </w:p>
        </w:tc>
        <w:tc>
          <w:tcPr>
            <w:tcW w:w="1644" w:type="dxa"/>
            <w:vAlign w:val="center"/>
          </w:tcPr>
          <w:p w:rsidR="00B10A1C" w:rsidRDefault="00AA0A50">
            <w:pPr>
              <w:jc w:val="right"/>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150,570,000.00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401,621,000.00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401,621,000.00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62,699.74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552,253,699.74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10A1C">
        <w:trPr>
          <w:jc w:val="center"/>
        </w:trPr>
        <w:tc>
          <w:tcPr>
            <w:tcW w:w="850" w:type="dxa"/>
            <w:vAlign w:val="center"/>
          </w:tcPr>
          <w:p w:rsidR="00B10A1C" w:rsidRDefault="00AA0A50">
            <w:pPr>
              <w:jc w:val="center"/>
            </w:pPr>
            <w:r>
              <w:rPr>
                <w:color w:val="000000"/>
                <w:sz w:val="24"/>
                <w:szCs w:val="24"/>
              </w:rPr>
              <w:t>1</w:t>
            </w:r>
          </w:p>
        </w:tc>
        <w:tc>
          <w:tcPr>
            <w:tcW w:w="1475" w:type="dxa"/>
            <w:vAlign w:val="center"/>
          </w:tcPr>
          <w:p w:rsidR="00B10A1C" w:rsidRDefault="00AA0A50">
            <w:pPr>
              <w:jc w:val="center"/>
            </w:pPr>
            <w:r>
              <w:rPr>
                <w:color w:val="000000"/>
                <w:sz w:val="24"/>
                <w:szCs w:val="24"/>
              </w:rPr>
              <w:t>200015</w:t>
            </w:r>
          </w:p>
        </w:tc>
        <w:tc>
          <w:tcPr>
            <w:tcW w:w="1769" w:type="dxa"/>
            <w:vAlign w:val="center"/>
          </w:tcPr>
          <w:p w:rsidR="00B10A1C" w:rsidRDefault="00AA0A50">
            <w:pPr>
              <w:jc w:val="center"/>
            </w:pPr>
            <w:r>
              <w:rPr>
                <w:color w:val="000000"/>
                <w:sz w:val="24"/>
                <w:szCs w:val="24"/>
              </w:rPr>
              <w:t>20</w:t>
            </w:r>
            <w:r>
              <w:rPr>
                <w:color w:val="000000"/>
                <w:sz w:val="24"/>
                <w:szCs w:val="24"/>
              </w:rPr>
              <w:t>附息国债</w:t>
            </w:r>
            <w:r>
              <w:rPr>
                <w:color w:val="000000"/>
                <w:sz w:val="24"/>
                <w:szCs w:val="24"/>
              </w:rPr>
              <w:t>15</w:t>
            </w:r>
          </w:p>
        </w:tc>
        <w:tc>
          <w:tcPr>
            <w:tcW w:w="1387" w:type="dxa"/>
            <w:vAlign w:val="center"/>
          </w:tcPr>
          <w:p w:rsidR="00B10A1C" w:rsidRDefault="00AA0A50">
            <w:pPr>
              <w:jc w:val="right"/>
            </w:pPr>
            <w:r>
              <w:rPr>
                <w:color w:val="000000"/>
                <w:sz w:val="24"/>
                <w:szCs w:val="24"/>
              </w:rPr>
              <w:t>1,500,000</w:t>
            </w:r>
          </w:p>
        </w:tc>
        <w:tc>
          <w:tcPr>
            <w:tcW w:w="2150" w:type="dxa"/>
            <w:vAlign w:val="center"/>
          </w:tcPr>
          <w:p w:rsidR="00B10A1C" w:rsidRDefault="00AA0A50">
            <w:pPr>
              <w:jc w:val="right"/>
            </w:pPr>
            <w:r>
              <w:rPr>
                <w:color w:val="000000"/>
                <w:sz w:val="24"/>
                <w:szCs w:val="24"/>
              </w:rPr>
              <w:t>150,570,000.00</w:t>
            </w:r>
          </w:p>
        </w:tc>
        <w:tc>
          <w:tcPr>
            <w:tcW w:w="1237" w:type="dxa"/>
            <w:vAlign w:val="center"/>
          </w:tcPr>
          <w:p w:rsidR="00B10A1C" w:rsidRDefault="00AA0A50">
            <w:pPr>
              <w:jc w:val="right"/>
            </w:pPr>
            <w:r>
              <w:rPr>
                <w:color w:val="000000"/>
                <w:sz w:val="24"/>
                <w:szCs w:val="24"/>
              </w:rPr>
              <w:t>1.33</w:t>
            </w:r>
          </w:p>
        </w:tc>
      </w:tr>
      <w:tr w:rsidR="00B10A1C">
        <w:trPr>
          <w:jc w:val="center"/>
        </w:trPr>
        <w:tc>
          <w:tcPr>
            <w:tcW w:w="850" w:type="dxa"/>
            <w:vAlign w:val="center"/>
          </w:tcPr>
          <w:p w:rsidR="00B10A1C" w:rsidRDefault="00AA0A50">
            <w:pPr>
              <w:jc w:val="center"/>
            </w:pPr>
            <w:r>
              <w:rPr>
                <w:color w:val="000000"/>
                <w:sz w:val="24"/>
                <w:szCs w:val="24"/>
              </w:rPr>
              <w:t>2</w:t>
            </w:r>
          </w:p>
        </w:tc>
        <w:tc>
          <w:tcPr>
            <w:tcW w:w="1475" w:type="dxa"/>
            <w:vAlign w:val="center"/>
          </w:tcPr>
          <w:p w:rsidR="00B10A1C" w:rsidRDefault="00AA0A50">
            <w:pPr>
              <w:jc w:val="center"/>
            </w:pPr>
            <w:r>
              <w:rPr>
                <w:color w:val="000000"/>
                <w:sz w:val="24"/>
                <w:szCs w:val="24"/>
              </w:rPr>
              <w:t>180203</w:t>
            </w:r>
          </w:p>
        </w:tc>
        <w:tc>
          <w:tcPr>
            <w:tcW w:w="1769" w:type="dxa"/>
            <w:vAlign w:val="center"/>
          </w:tcPr>
          <w:p w:rsidR="00B10A1C" w:rsidRDefault="00AA0A50">
            <w:pPr>
              <w:jc w:val="center"/>
            </w:pPr>
            <w:r>
              <w:rPr>
                <w:color w:val="000000"/>
                <w:sz w:val="24"/>
                <w:szCs w:val="24"/>
              </w:rPr>
              <w:t>18</w:t>
            </w:r>
            <w:r>
              <w:rPr>
                <w:color w:val="000000"/>
                <w:sz w:val="24"/>
                <w:szCs w:val="24"/>
              </w:rPr>
              <w:t>国开</w:t>
            </w:r>
            <w:r>
              <w:rPr>
                <w:color w:val="000000"/>
                <w:sz w:val="24"/>
                <w:szCs w:val="24"/>
              </w:rPr>
              <w:t>03</w:t>
            </w:r>
          </w:p>
        </w:tc>
        <w:tc>
          <w:tcPr>
            <w:tcW w:w="1387" w:type="dxa"/>
            <w:vAlign w:val="center"/>
          </w:tcPr>
          <w:p w:rsidR="00B10A1C" w:rsidRDefault="00AA0A50">
            <w:pPr>
              <w:jc w:val="right"/>
            </w:pPr>
            <w:r>
              <w:rPr>
                <w:color w:val="000000"/>
                <w:sz w:val="24"/>
                <w:szCs w:val="24"/>
              </w:rPr>
              <w:t>1,000,000</w:t>
            </w:r>
          </w:p>
        </w:tc>
        <w:tc>
          <w:tcPr>
            <w:tcW w:w="2150" w:type="dxa"/>
            <w:vAlign w:val="center"/>
          </w:tcPr>
          <w:p w:rsidR="00B10A1C" w:rsidRDefault="00AA0A50">
            <w:pPr>
              <w:jc w:val="right"/>
            </w:pPr>
            <w:r>
              <w:rPr>
                <w:color w:val="000000"/>
                <w:sz w:val="24"/>
                <w:szCs w:val="24"/>
              </w:rPr>
              <w:t>100,420,000.00</w:t>
            </w:r>
          </w:p>
        </w:tc>
        <w:tc>
          <w:tcPr>
            <w:tcW w:w="1237" w:type="dxa"/>
            <w:vAlign w:val="center"/>
          </w:tcPr>
          <w:p w:rsidR="00B10A1C" w:rsidRDefault="00AA0A50">
            <w:pPr>
              <w:jc w:val="right"/>
            </w:pPr>
            <w:r>
              <w:rPr>
                <w:color w:val="000000"/>
                <w:sz w:val="24"/>
                <w:szCs w:val="24"/>
              </w:rPr>
              <w:t>0.88</w:t>
            </w:r>
          </w:p>
        </w:tc>
      </w:tr>
      <w:tr w:rsidR="00B10A1C">
        <w:trPr>
          <w:jc w:val="center"/>
        </w:trPr>
        <w:tc>
          <w:tcPr>
            <w:tcW w:w="850" w:type="dxa"/>
            <w:vAlign w:val="center"/>
          </w:tcPr>
          <w:p w:rsidR="00B10A1C" w:rsidRDefault="00AA0A50">
            <w:pPr>
              <w:jc w:val="center"/>
            </w:pPr>
            <w:r>
              <w:rPr>
                <w:color w:val="000000"/>
                <w:sz w:val="24"/>
                <w:szCs w:val="24"/>
              </w:rPr>
              <w:t>3</w:t>
            </w:r>
          </w:p>
        </w:tc>
        <w:tc>
          <w:tcPr>
            <w:tcW w:w="1475" w:type="dxa"/>
            <w:vAlign w:val="center"/>
          </w:tcPr>
          <w:p w:rsidR="00B10A1C" w:rsidRDefault="00AA0A50">
            <w:pPr>
              <w:jc w:val="center"/>
            </w:pPr>
            <w:r>
              <w:rPr>
                <w:color w:val="000000"/>
                <w:sz w:val="24"/>
                <w:szCs w:val="24"/>
              </w:rPr>
              <w:t>200216</w:t>
            </w:r>
          </w:p>
        </w:tc>
        <w:tc>
          <w:tcPr>
            <w:tcW w:w="1769" w:type="dxa"/>
            <w:vAlign w:val="center"/>
          </w:tcPr>
          <w:p w:rsidR="00B10A1C" w:rsidRDefault="00AA0A50">
            <w:pPr>
              <w:jc w:val="center"/>
            </w:pPr>
            <w:r>
              <w:rPr>
                <w:color w:val="000000"/>
                <w:sz w:val="24"/>
                <w:szCs w:val="24"/>
              </w:rPr>
              <w:t>20</w:t>
            </w:r>
            <w:r>
              <w:rPr>
                <w:color w:val="000000"/>
                <w:sz w:val="24"/>
                <w:szCs w:val="24"/>
              </w:rPr>
              <w:t>国开</w:t>
            </w:r>
            <w:r>
              <w:rPr>
                <w:color w:val="000000"/>
                <w:sz w:val="24"/>
                <w:szCs w:val="24"/>
              </w:rPr>
              <w:t>16</w:t>
            </w:r>
          </w:p>
        </w:tc>
        <w:tc>
          <w:tcPr>
            <w:tcW w:w="1387" w:type="dxa"/>
            <w:vAlign w:val="center"/>
          </w:tcPr>
          <w:p w:rsidR="00B10A1C" w:rsidRDefault="00AA0A50">
            <w:pPr>
              <w:jc w:val="right"/>
            </w:pPr>
            <w:r>
              <w:rPr>
                <w:color w:val="000000"/>
                <w:sz w:val="24"/>
                <w:szCs w:val="24"/>
              </w:rPr>
              <w:t>1,000,000</w:t>
            </w:r>
          </w:p>
        </w:tc>
        <w:tc>
          <w:tcPr>
            <w:tcW w:w="2150" w:type="dxa"/>
            <w:vAlign w:val="center"/>
          </w:tcPr>
          <w:p w:rsidR="00B10A1C" w:rsidRDefault="00AA0A50">
            <w:pPr>
              <w:jc w:val="right"/>
            </w:pPr>
            <w:r>
              <w:rPr>
                <w:color w:val="000000"/>
                <w:sz w:val="24"/>
                <w:szCs w:val="24"/>
              </w:rPr>
              <w:t>100,170,000.00</w:t>
            </w:r>
          </w:p>
        </w:tc>
        <w:tc>
          <w:tcPr>
            <w:tcW w:w="1237" w:type="dxa"/>
            <w:vAlign w:val="center"/>
          </w:tcPr>
          <w:p w:rsidR="00B10A1C" w:rsidRDefault="00AA0A50">
            <w:pPr>
              <w:jc w:val="right"/>
            </w:pPr>
            <w:r>
              <w:rPr>
                <w:color w:val="000000"/>
                <w:sz w:val="24"/>
                <w:szCs w:val="24"/>
              </w:rPr>
              <w:t>0.88</w:t>
            </w:r>
          </w:p>
        </w:tc>
      </w:tr>
      <w:tr w:rsidR="00B10A1C">
        <w:trPr>
          <w:jc w:val="center"/>
        </w:trPr>
        <w:tc>
          <w:tcPr>
            <w:tcW w:w="850" w:type="dxa"/>
            <w:vAlign w:val="center"/>
          </w:tcPr>
          <w:p w:rsidR="00B10A1C" w:rsidRDefault="00AA0A50">
            <w:pPr>
              <w:jc w:val="center"/>
            </w:pPr>
            <w:r>
              <w:rPr>
                <w:color w:val="000000"/>
                <w:sz w:val="24"/>
                <w:szCs w:val="24"/>
              </w:rPr>
              <w:t>4</w:t>
            </w:r>
          </w:p>
        </w:tc>
        <w:tc>
          <w:tcPr>
            <w:tcW w:w="1475" w:type="dxa"/>
            <w:vAlign w:val="center"/>
          </w:tcPr>
          <w:p w:rsidR="00B10A1C" w:rsidRDefault="00AA0A50">
            <w:pPr>
              <w:jc w:val="center"/>
            </w:pPr>
            <w:r>
              <w:rPr>
                <w:color w:val="000000"/>
                <w:sz w:val="24"/>
                <w:szCs w:val="24"/>
              </w:rPr>
              <w:t>180402</w:t>
            </w:r>
          </w:p>
        </w:tc>
        <w:tc>
          <w:tcPr>
            <w:tcW w:w="1769" w:type="dxa"/>
            <w:vAlign w:val="center"/>
          </w:tcPr>
          <w:p w:rsidR="00B10A1C" w:rsidRDefault="00AA0A50">
            <w:pPr>
              <w:jc w:val="center"/>
            </w:pPr>
            <w:r>
              <w:rPr>
                <w:color w:val="000000"/>
                <w:sz w:val="24"/>
                <w:szCs w:val="24"/>
              </w:rPr>
              <w:t>18</w:t>
            </w:r>
            <w:r>
              <w:rPr>
                <w:color w:val="000000"/>
                <w:sz w:val="24"/>
                <w:szCs w:val="24"/>
              </w:rPr>
              <w:t>农发</w:t>
            </w:r>
            <w:r>
              <w:rPr>
                <w:color w:val="000000"/>
                <w:sz w:val="24"/>
                <w:szCs w:val="24"/>
              </w:rPr>
              <w:t>02</w:t>
            </w:r>
          </w:p>
        </w:tc>
        <w:tc>
          <w:tcPr>
            <w:tcW w:w="1387" w:type="dxa"/>
            <w:vAlign w:val="center"/>
          </w:tcPr>
          <w:p w:rsidR="00B10A1C" w:rsidRDefault="00AA0A50">
            <w:pPr>
              <w:jc w:val="right"/>
            </w:pPr>
            <w:r>
              <w:rPr>
                <w:color w:val="000000"/>
                <w:sz w:val="24"/>
                <w:szCs w:val="24"/>
              </w:rPr>
              <w:t>600,000</w:t>
            </w:r>
          </w:p>
        </w:tc>
        <w:tc>
          <w:tcPr>
            <w:tcW w:w="2150" w:type="dxa"/>
            <w:vAlign w:val="center"/>
          </w:tcPr>
          <w:p w:rsidR="00B10A1C" w:rsidRDefault="00AA0A50">
            <w:pPr>
              <w:jc w:val="right"/>
            </w:pPr>
            <w:r>
              <w:rPr>
                <w:color w:val="000000"/>
                <w:sz w:val="24"/>
                <w:szCs w:val="24"/>
              </w:rPr>
              <w:t>60,084,000.00</w:t>
            </w:r>
          </w:p>
        </w:tc>
        <w:tc>
          <w:tcPr>
            <w:tcW w:w="1237" w:type="dxa"/>
            <w:vAlign w:val="center"/>
          </w:tcPr>
          <w:p w:rsidR="00B10A1C" w:rsidRDefault="00AA0A50">
            <w:pPr>
              <w:jc w:val="right"/>
            </w:pPr>
            <w:r>
              <w:rPr>
                <w:color w:val="000000"/>
                <w:sz w:val="24"/>
                <w:szCs w:val="24"/>
              </w:rPr>
              <w:t>0.53</w:t>
            </w:r>
          </w:p>
        </w:tc>
      </w:tr>
      <w:tr w:rsidR="00B10A1C">
        <w:trPr>
          <w:jc w:val="center"/>
        </w:trPr>
        <w:tc>
          <w:tcPr>
            <w:tcW w:w="850" w:type="dxa"/>
            <w:vAlign w:val="center"/>
          </w:tcPr>
          <w:p w:rsidR="00B10A1C" w:rsidRDefault="00AA0A50">
            <w:pPr>
              <w:jc w:val="center"/>
            </w:pPr>
            <w:r>
              <w:rPr>
                <w:color w:val="000000"/>
                <w:sz w:val="24"/>
                <w:szCs w:val="24"/>
              </w:rPr>
              <w:t>5</w:t>
            </w:r>
          </w:p>
        </w:tc>
        <w:tc>
          <w:tcPr>
            <w:tcW w:w="1475" w:type="dxa"/>
            <w:vAlign w:val="center"/>
          </w:tcPr>
          <w:p w:rsidR="00B10A1C" w:rsidRDefault="00AA0A50">
            <w:pPr>
              <w:jc w:val="center"/>
            </w:pPr>
            <w:r>
              <w:rPr>
                <w:color w:val="000000"/>
                <w:sz w:val="24"/>
                <w:szCs w:val="24"/>
              </w:rPr>
              <w:t>140442</w:t>
            </w:r>
          </w:p>
        </w:tc>
        <w:tc>
          <w:tcPr>
            <w:tcW w:w="1769" w:type="dxa"/>
            <w:vAlign w:val="center"/>
          </w:tcPr>
          <w:p w:rsidR="00B10A1C" w:rsidRDefault="00AA0A50">
            <w:pPr>
              <w:jc w:val="center"/>
            </w:pPr>
            <w:r>
              <w:rPr>
                <w:color w:val="000000"/>
                <w:sz w:val="24"/>
                <w:szCs w:val="24"/>
              </w:rPr>
              <w:t>14</w:t>
            </w:r>
            <w:r>
              <w:rPr>
                <w:color w:val="000000"/>
                <w:sz w:val="24"/>
                <w:szCs w:val="24"/>
              </w:rPr>
              <w:t>农发</w:t>
            </w:r>
            <w:r>
              <w:rPr>
                <w:color w:val="000000"/>
                <w:sz w:val="24"/>
                <w:szCs w:val="24"/>
              </w:rPr>
              <w:t>42</w:t>
            </w:r>
          </w:p>
        </w:tc>
        <w:tc>
          <w:tcPr>
            <w:tcW w:w="1387" w:type="dxa"/>
            <w:vAlign w:val="center"/>
          </w:tcPr>
          <w:p w:rsidR="00B10A1C" w:rsidRDefault="00AA0A50">
            <w:pPr>
              <w:jc w:val="right"/>
            </w:pPr>
            <w:r>
              <w:rPr>
                <w:color w:val="000000"/>
                <w:sz w:val="24"/>
                <w:szCs w:val="24"/>
              </w:rPr>
              <w:t>500,000</w:t>
            </w:r>
          </w:p>
        </w:tc>
        <w:tc>
          <w:tcPr>
            <w:tcW w:w="2150" w:type="dxa"/>
            <w:vAlign w:val="center"/>
          </w:tcPr>
          <w:p w:rsidR="00B10A1C" w:rsidRDefault="00AA0A50">
            <w:pPr>
              <w:jc w:val="right"/>
            </w:pPr>
            <w:r>
              <w:rPr>
                <w:color w:val="000000"/>
                <w:sz w:val="24"/>
                <w:szCs w:val="24"/>
              </w:rPr>
              <w:t>50,710,000.00</w:t>
            </w:r>
          </w:p>
        </w:tc>
        <w:tc>
          <w:tcPr>
            <w:tcW w:w="1237" w:type="dxa"/>
            <w:vAlign w:val="center"/>
          </w:tcPr>
          <w:p w:rsidR="00B10A1C" w:rsidRDefault="00AA0A50">
            <w:pPr>
              <w:jc w:val="right"/>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68,604.87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223,378.16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895.94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11,285,496.99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241,169,810.21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136,417.74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252,884,603.91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4046D7" w:rsidRPr="00575270" w:rsidRDefault="004046D7" w:rsidP="004046D7">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4046D7" w:rsidRPr="00575270" w:rsidRDefault="004046D7" w:rsidP="004046D7">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4046D7" w:rsidRPr="00575270" w:rsidTr="00B32CA0">
        <w:tc>
          <w:tcPr>
            <w:tcW w:w="452" w:type="pct"/>
            <w:vAlign w:val="center"/>
          </w:tcPr>
          <w:p w:rsidR="004046D7" w:rsidRPr="00575270" w:rsidRDefault="004046D7" w:rsidP="00F8289A">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r w:rsidR="004E5CD0">
              <w:rPr>
                <w:rFonts w:ascii="Times New Roman" w:hAnsi="Times New Roman" w:cs="Times New Roman"/>
              </w:rPr>
              <w:t>（</w:t>
            </w:r>
            <w:r w:rsidR="004E5CD0">
              <w:rPr>
                <w:rFonts w:ascii="Times New Roman" w:hAnsi="Times New Roman" w:cs="Times New Roman" w:hint="eastAsia"/>
              </w:rPr>
              <w:t>%</w:t>
            </w:r>
            <w:r w:rsidR="004E5CD0" w:rsidRPr="00575270">
              <w:rPr>
                <w:rFonts w:ascii="Times New Roman" w:hAnsi="Times New Roman" w:cs="Times New Roman"/>
              </w:rPr>
              <w:t>）</w:t>
            </w:r>
          </w:p>
        </w:tc>
        <w:tc>
          <w:tcPr>
            <w:tcW w:w="704"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B10A1C">
        <w:tc>
          <w:tcPr>
            <w:tcW w:w="835" w:type="dxa"/>
            <w:vAlign w:val="center"/>
          </w:tcPr>
          <w:p w:rsidR="00B10A1C" w:rsidRDefault="00AA0A50">
            <w:pPr>
              <w:jc w:val="center"/>
            </w:pPr>
            <w:r>
              <w:rPr>
                <w:sz w:val="24"/>
                <w:szCs w:val="24"/>
              </w:rPr>
              <w:t>1</w:t>
            </w:r>
          </w:p>
        </w:tc>
        <w:tc>
          <w:tcPr>
            <w:tcW w:w="1159" w:type="dxa"/>
            <w:vAlign w:val="center"/>
          </w:tcPr>
          <w:p w:rsidR="00B10A1C" w:rsidRDefault="00AA0A50">
            <w:pPr>
              <w:jc w:val="center"/>
            </w:pPr>
            <w:r>
              <w:rPr>
                <w:sz w:val="24"/>
                <w:szCs w:val="24"/>
              </w:rPr>
              <w:t>519718</w:t>
            </w:r>
          </w:p>
        </w:tc>
        <w:tc>
          <w:tcPr>
            <w:tcW w:w="1161" w:type="dxa"/>
            <w:vAlign w:val="center"/>
          </w:tcPr>
          <w:p w:rsidR="00B10A1C" w:rsidRDefault="00AA0A50">
            <w:pPr>
              <w:jc w:val="center"/>
            </w:pPr>
            <w:r>
              <w:rPr>
                <w:sz w:val="24"/>
                <w:szCs w:val="24"/>
              </w:rPr>
              <w:t>交银纯债债券发起</w:t>
            </w:r>
            <w:r>
              <w:rPr>
                <w:sz w:val="24"/>
                <w:szCs w:val="24"/>
              </w:rPr>
              <w:t>A/B</w:t>
            </w:r>
          </w:p>
        </w:tc>
        <w:tc>
          <w:tcPr>
            <w:tcW w:w="1161" w:type="dxa"/>
            <w:vAlign w:val="center"/>
          </w:tcPr>
          <w:p w:rsidR="00B10A1C" w:rsidRDefault="00AA0A50">
            <w:pPr>
              <w:jc w:val="center"/>
            </w:pPr>
            <w:r>
              <w:rPr>
                <w:sz w:val="24"/>
                <w:szCs w:val="24"/>
              </w:rPr>
              <w:t>契约型开放式</w:t>
            </w:r>
          </w:p>
        </w:tc>
        <w:tc>
          <w:tcPr>
            <w:tcW w:w="1159" w:type="dxa"/>
            <w:vAlign w:val="center"/>
          </w:tcPr>
          <w:p w:rsidR="00B10A1C" w:rsidRDefault="00AA0A50">
            <w:pPr>
              <w:jc w:val="center"/>
            </w:pPr>
            <w:r>
              <w:rPr>
                <w:sz w:val="24"/>
                <w:szCs w:val="24"/>
              </w:rPr>
              <w:t>849,612,642.78</w:t>
            </w:r>
          </w:p>
        </w:tc>
        <w:tc>
          <w:tcPr>
            <w:tcW w:w="1305" w:type="dxa"/>
            <w:vAlign w:val="center"/>
          </w:tcPr>
          <w:p w:rsidR="00B10A1C" w:rsidRDefault="00AA0A50">
            <w:pPr>
              <w:jc w:val="center"/>
            </w:pPr>
            <w:r>
              <w:rPr>
                <w:sz w:val="24"/>
                <w:szCs w:val="24"/>
              </w:rPr>
              <w:t>907,556,225.02</w:t>
            </w:r>
          </w:p>
        </w:tc>
        <w:tc>
          <w:tcPr>
            <w:tcW w:w="1161" w:type="dxa"/>
            <w:vAlign w:val="center"/>
          </w:tcPr>
          <w:p w:rsidR="00B10A1C" w:rsidRDefault="00AA0A50">
            <w:pPr>
              <w:jc w:val="center"/>
            </w:pPr>
            <w:r>
              <w:rPr>
                <w:sz w:val="24"/>
                <w:szCs w:val="24"/>
              </w:rPr>
              <w:t>8.00</w:t>
            </w:r>
          </w:p>
        </w:tc>
        <w:tc>
          <w:tcPr>
            <w:tcW w:w="1301" w:type="dxa"/>
            <w:vAlign w:val="center"/>
          </w:tcPr>
          <w:p w:rsidR="00B10A1C" w:rsidRDefault="00AA0A50">
            <w:pPr>
              <w:jc w:val="center"/>
            </w:pPr>
            <w:r>
              <w:rPr>
                <w:sz w:val="24"/>
                <w:szCs w:val="24"/>
              </w:rPr>
              <w:t>是</w:t>
            </w:r>
          </w:p>
        </w:tc>
      </w:tr>
      <w:tr w:rsidR="00B10A1C">
        <w:tc>
          <w:tcPr>
            <w:tcW w:w="835" w:type="dxa"/>
            <w:vAlign w:val="center"/>
          </w:tcPr>
          <w:p w:rsidR="00B10A1C" w:rsidRDefault="00AA0A50">
            <w:pPr>
              <w:jc w:val="center"/>
            </w:pPr>
            <w:r>
              <w:rPr>
                <w:sz w:val="24"/>
                <w:szCs w:val="24"/>
              </w:rPr>
              <w:t>2</w:t>
            </w:r>
          </w:p>
        </w:tc>
        <w:tc>
          <w:tcPr>
            <w:tcW w:w="1159" w:type="dxa"/>
            <w:vAlign w:val="center"/>
          </w:tcPr>
          <w:p w:rsidR="00B10A1C" w:rsidRDefault="00AA0A50">
            <w:pPr>
              <w:jc w:val="center"/>
            </w:pPr>
            <w:r>
              <w:rPr>
                <w:sz w:val="24"/>
                <w:szCs w:val="24"/>
              </w:rPr>
              <w:t>164902</w:t>
            </w:r>
          </w:p>
        </w:tc>
        <w:tc>
          <w:tcPr>
            <w:tcW w:w="1161" w:type="dxa"/>
            <w:vAlign w:val="center"/>
          </w:tcPr>
          <w:p w:rsidR="00B10A1C" w:rsidRDefault="00AA0A50">
            <w:pPr>
              <w:jc w:val="center"/>
            </w:pPr>
            <w:r>
              <w:rPr>
                <w:sz w:val="24"/>
                <w:szCs w:val="24"/>
              </w:rPr>
              <w:t>交银信用添利债券</w:t>
            </w:r>
            <w:r>
              <w:rPr>
                <w:sz w:val="24"/>
                <w:szCs w:val="24"/>
              </w:rPr>
              <w:t>(LOF)</w:t>
            </w:r>
          </w:p>
        </w:tc>
        <w:tc>
          <w:tcPr>
            <w:tcW w:w="1161" w:type="dxa"/>
            <w:vAlign w:val="center"/>
          </w:tcPr>
          <w:p w:rsidR="00B10A1C" w:rsidRDefault="00AA0A50">
            <w:pPr>
              <w:jc w:val="center"/>
            </w:pPr>
            <w:r>
              <w:rPr>
                <w:sz w:val="24"/>
                <w:szCs w:val="24"/>
              </w:rPr>
              <w:t>契约型开放式</w:t>
            </w:r>
            <w:r>
              <w:rPr>
                <w:sz w:val="24"/>
                <w:szCs w:val="24"/>
              </w:rPr>
              <w:t>(LOF)</w:t>
            </w:r>
          </w:p>
        </w:tc>
        <w:tc>
          <w:tcPr>
            <w:tcW w:w="1159" w:type="dxa"/>
            <w:vAlign w:val="center"/>
          </w:tcPr>
          <w:p w:rsidR="00B10A1C" w:rsidRDefault="00AA0A50">
            <w:pPr>
              <w:jc w:val="center"/>
            </w:pPr>
            <w:r>
              <w:rPr>
                <w:sz w:val="24"/>
                <w:szCs w:val="24"/>
              </w:rPr>
              <w:t>475,033,090.89</w:t>
            </w:r>
          </w:p>
        </w:tc>
        <w:tc>
          <w:tcPr>
            <w:tcW w:w="1305" w:type="dxa"/>
            <w:vAlign w:val="center"/>
          </w:tcPr>
          <w:p w:rsidR="00B10A1C" w:rsidRDefault="00AA0A50">
            <w:pPr>
              <w:jc w:val="center"/>
            </w:pPr>
            <w:r>
              <w:rPr>
                <w:sz w:val="24"/>
                <w:szCs w:val="24"/>
              </w:rPr>
              <w:t>554,981,160.09</w:t>
            </w:r>
          </w:p>
        </w:tc>
        <w:tc>
          <w:tcPr>
            <w:tcW w:w="1161" w:type="dxa"/>
            <w:vAlign w:val="center"/>
          </w:tcPr>
          <w:p w:rsidR="00B10A1C" w:rsidRDefault="00AA0A50">
            <w:pPr>
              <w:jc w:val="center"/>
            </w:pPr>
            <w:r>
              <w:rPr>
                <w:sz w:val="24"/>
                <w:szCs w:val="24"/>
              </w:rPr>
              <w:t>4.89</w:t>
            </w:r>
          </w:p>
        </w:tc>
        <w:tc>
          <w:tcPr>
            <w:tcW w:w="1301" w:type="dxa"/>
            <w:vAlign w:val="center"/>
          </w:tcPr>
          <w:p w:rsidR="00B10A1C" w:rsidRDefault="00AA0A50">
            <w:pPr>
              <w:jc w:val="center"/>
            </w:pPr>
            <w:r>
              <w:rPr>
                <w:sz w:val="24"/>
                <w:szCs w:val="24"/>
              </w:rPr>
              <w:t>是</w:t>
            </w:r>
          </w:p>
        </w:tc>
      </w:tr>
      <w:tr w:rsidR="00B10A1C">
        <w:tc>
          <w:tcPr>
            <w:tcW w:w="835" w:type="dxa"/>
            <w:vAlign w:val="center"/>
          </w:tcPr>
          <w:p w:rsidR="00B10A1C" w:rsidRDefault="00AA0A50">
            <w:pPr>
              <w:jc w:val="center"/>
            </w:pPr>
            <w:r>
              <w:rPr>
                <w:sz w:val="24"/>
                <w:szCs w:val="24"/>
              </w:rPr>
              <w:t>3</w:t>
            </w:r>
          </w:p>
        </w:tc>
        <w:tc>
          <w:tcPr>
            <w:tcW w:w="1159" w:type="dxa"/>
            <w:vAlign w:val="center"/>
          </w:tcPr>
          <w:p w:rsidR="00B10A1C" w:rsidRDefault="00AA0A50">
            <w:pPr>
              <w:jc w:val="center"/>
            </w:pPr>
            <w:r>
              <w:rPr>
                <w:sz w:val="24"/>
                <w:szCs w:val="24"/>
              </w:rPr>
              <w:t>519062</w:t>
            </w:r>
          </w:p>
        </w:tc>
        <w:tc>
          <w:tcPr>
            <w:tcW w:w="1161" w:type="dxa"/>
            <w:vAlign w:val="center"/>
          </w:tcPr>
          <w:p w:rsidR="00B10A1C" w:rsidRDefault="00AA0A50">
            <w:pPr>
              <w:jc w:val="center"/>
            </w:pPr>
            <w:r>
              <w:rPr>
                <w:sz w:val="24"/>
                <w:szCs w:val="24"/>
              </w:rPr>
              <w:t>海富通阿尔法对冲混合</w:t>
            </w:r>
            <w:r>
              <w:rPr>
                <w:sz w:val="24"/>
                <w:szCs w:val="24"/>
              </w:rPr>
              <w:t>A</w:t>
            </w:r>
          </w:p>
        </w:tc>
        <w:tc>
          <w:tcPr>
            <w:tcW w:w="1161" w:type="dxa"/>
            <w:vAlign w:val="center"/>
          </w:tcPr>
          <w:p w:rsidR="00B10A1C" w:rsidRDefault="00AA0A50">
            <w:pPr>
              <w:jc w:val="center"/>
            </w:pPr>
            <w:r>
              <w:rPr>
                <w:sz w:val="24"/>
                <w:szCs w:val="24"/>
              </w:rPr>
              <w:t>契约型开放式</w:t>
            </w:r>
          </w:p>
        </w:tc>
        <w:tc>
          <w:tcPr>
            <w:tcW w:w="1159" w:type="dxa"/>
            <w:vAlign w:val="center"/>
          </w:tcPr>
          <w:p w:rsidR="00B10A1C" w:rsidRDefault="00AA0A50">
            <w:pPr>
              <w:jc w:val="center"/>
            </w:pPr>
            <w:r>
              <w:rPr>
                <w:sz w:val="24"/>
                <w:szCs w:val="24"/>
              </w:rPr>
              <w:t>454,426,986.94</w:t>
            </w:r>
          </w:p>
        </w:tc>
        <w:tc>
          <w:tcPr>
            <w:tcW w:w="1305" w:type="dxa"/>
            <w:vAlign w:val="center"/>
          </w:tcPr>
          <w:p w:rsidR="00B10A1C" w:rsidRDefault="00AA0A50">
            <w:pPr>
              <w:jc w:val="center"/>
            </w:pPr>
            <w:r>
              <w:rPr>
                <w:sz w:val="24"/>
                <w:szCs w:val="24"/>
              </w:rPr>
              <w:t>525,772,023.89</w:t>
            </w:r>
          </w:p>
        </w:tc>
        <w:tc>
          <w:tcPr>
            <w:tcW w:w="1161" w:type="dxa"/>
            <w:vAlign w:val="center"/>
          </w:tcPr>
          <w:p w:rsidR="00B10A1C" w:rsidRDefault="00AA0A50">
            <w:pPr>
              <w:jc w:val="center"/>
            </w:pPr>
            <w:r>
              <w:rPr>
                <w:sz w:val="24"/>
                <w:szCs w:val="24"/>
              </w:rPr>
              <w:t>4.63</w:t>
            </w:r>
          </w:p>
        </w:tc>
        <w:tc>
          <w:tcPr>
            <w:tcW w:w="1301" w:type="dxa"/>
            <w:vAlign w:val="center"/>
          </w:tcPr>
          <w:p w:rsidR="00B10A1C" w:rsidRDefault="00AA0A50">
            <w:pPr>
              <w:jc w:val="center"/>
            </w:pPr>
            <w:r>
              <w:rPr>
                <w:sz w:val="24"/>
                <w:szCs w:val="24"/>
              </w:rPr>
              <w:t>否</w:t>
            </w:r>
          </w:p>
        </w:tc>
      </w:tr>
      <w:tr w:rsidR="00B10A1C">
        <w:tc>
          <w:tcPr>
            <w:tcW w:w="835" w:type="dxa"/>
            <w:vAlign w:val="center"/>
          </w:tcPr>
          <w:p w:rsidR="00B10A1C" w:rsidRDefault="00AA0A50">
            <w:pPr>
              <w:jc w:val="center"/>
            </w:pPr>
            <w:r>
              <w:rPr>
                <w:sz w:val="24"/>
                <w:szCs w:val="24"/>
              </w:rPr>
              <w:t>4</w:t>
            </w:r>
          </w:p>
        </w:tc>
        <w:tc>
          <w:tcPr>
            <w:tcW w:w="1159" w:type="dxa"/>
            <w:vAlign w:val="center"/>
          </w:tcPr>
          <w:p w:rsidR="00B10A1C" w:rsidRDefault="00AA0A50">
            <w:pPr>
              <w:jc w:val="center"/>
            </w:pPr>
            <w:r>
              <w:rPr>
                <w:sz w:val="24"/>
                <w:szCs w:val="24"/>
              </w:rPr>
              <w:t>519723</w:t>
            </w:r>
          </w:p>
        </w:tc>
        <w:tc>
          <w:tcPr>
            <w:tcW w:w="1161" w:type="dxa"/>
            <w:vAlign w:val="center"/>
          </w:tcPr>
          <w:p w:rsidR="00B10A1C" w:rsidRDefault="00AA0A50">
            <w:pPr>
              <w:jc w:val="center"/>
            </w:pPr>
            <w:r>
              <w:rPr>
                <w:sz w:val="24"/>
                <w:szCs w:val="24"/>
              </w:rPr>
              <w:t>交银双轮动债券</w:t>
            </w:r>
            <w:r>
              <w:rPr>
                <w:sz w:val="24"/>
                <w:szCs w:val="24"/>
              </w:rPr>
              <w:t>A</w:t>
            </w:r>
          </w:p>
        </w:tc>
        <w:tc>
          <w:tcPr>
            <w:tcW w:w="1161" w:type="dxa"/>
            <w:vAlign w:val="center"/>
          </w:tcPr>
          <w:p w:rsidR="00B10A1C" w:rsidRDefault="00AA0A50">
            <w:pPr>
              <w:jc w:val="center"/>
            </w:pPr>
            <w:r>
              <w:rPr>
                <w:sz w:val="24"/>
                <w:szCs w:val="24"/>
              </w:rPr>
              <w:t>契约型开放式</w:t>
            </w:r>
          </w:p>
        </w:tc>
        <w:tc>
          <w:tcPr>
            <w:tcW w:w="1159" w:type="dxa"/>
            <w:vAlign w:val="center"/>
          </w:tcPr>
          <w:p w:rsidR="00B10A1C" w:rsidRDefault="00AA0A50">
            <w:pPr>
              <w:jc w:val="center"/>
            </w:pPr>
            <w:r>
              <w:rPr>
                <w:sz w:val="24"/>
                <w:szCs w:val="24"/>
              </w:rPr>
              <w:t>424,622,639.41</w:t>
            </w:r>
          </w:p>
        </w:tc>
        <w:tc>
          <w:tcPr>
            <w:tcW w:w="1305" w:type="dxa"/>
            <w:vAlign w:val="center"/>
          </w:tcPr>
          <w:p w:rsidR="00B10A1C" w:rsidRDefault="00AA0A50">
            <w:pPr>
              <w:jc w:val="center"/>
            </w:pPr>
            <w:r>
              <w:rPr>
                <w:sz w:val="24"/>
                <w:szCs w:val="24"/>
              </w:rPr>
              <w:t>448,528,894.01</w:t>
            </w:r>
          </w:p>
        </w:tc>
        <w:tc>
          <w:tcPr>
            <w:tcW w:w="1161" w:type="dxa"/>
            <w:vAlign w:val="center"/>
          </w:tcPr>
          <w:p w:rsidR="00B10A1C" w:rsidRDefault="00AA0A50">
            <w:pPr>
              <w:jc w:val="center"/>
            </w:pPr>
            <w:r>
              <w:rPr>
                <w:sz w:val="24"/>
                <w:szCs w:val="24"/>
              </w:rPr>
              <w:t>3.95</w:t>
            </w:r>
          </w:p>
        </w:tc>
        <w:tc>
          <w:tcPr>
            <w:tcW w:w="1301" w:type="dxa"/>
            <w:vAlign w:val="center"/>
          </w:tcPr>
          <w:p w:rsidR="00B10A1C" w:rsidRDefault="00AA0A50">
            <w:pPr>
              <w:jc w:val="center"/>
            </w:pPr>
            <w:r>
              <w:rPr>
                <w:sz w:val="24"/>
                <w:szCs w:val="24"/>
              </w:rPr>
              <w:t>是</w:t>
            </w:r>
          </w:p>
        </w:tc>
      </w:tr>
      <w:tr w:rsidR="00B10A1C">
        <w:tc>
          <w:tcPr>
            <w:tcW w:w="835" w:type="dxa"/>
            <w:vAlign w:val="center"/>
          </w:tcPr>
          <w:p w:rsidR="00B10A1C" w:rsidRDefault="00AA0A50">
            <w:pPr>
              <w:jc w:val="center"/>
            </w:pPr>
            <w:r>
              <w:rPr>
                <w:sz w:val="24"/>
                <w:szCs w:val="24"/>
              </w:rPr>
              <w:t>5</w:t>
            </w:r>
          </w:p>
        </w:tc>
        <w:tc>
          <w:tcPr>
            <w:tcW w:w="1159" w:type="dxa"/>
            <w:vAlign w:val="center"/>
          </w:tcPr>
          <w:p w:rsidR="00B10A1C" w:rsidRDefault="00AA0A50">
            <w:pPr>
              <w:jc w:val="center"/>
            </w:pPr>
            <w:r>
              <w:rPr>
                <w:sz w:val="24"/>
                <w:szCs w:val="24"/>
              </w:rPr>
              <w:t>519783</w:t>
            </w:r>
          </w:p>
        </w:tc>
        <w:tc>
          <w:tcPr>
            <w:tcW w:w="1161" w:type="dxa"/>
            <w:vAlign w:val="center"/>
          </w:tcPr>
          <w:p w:rsidR="00B10A1C" w:rsidRDefault="00AA0A50">
            <w:pPr>
              <w:jc w:val="center"/>
            </w:pPr>
            <w:r>
              <w:rPr>
                <w:sz w:val="24"/>
                <w:szCs w:val="24"/>
              </w:rPr>
              <w:t>交银裕隆纯债债券</w:t>
            </w:r>
            <w:r>
              <w:rPr>
                <w:sz w:val="24"/>
                <w:szCs w:val="24"/>
              </w:rPr>
              <w:t>C</w:t>
            </w:r>
          </w:p>
        </w:tc>
        <w:tc>
          <w:tcPr>
            <w:tcW w:w="1161" w:type="dxa"/>
            <w:vAlign w:val="center"/>
          </w:tcPr>
          <w:p w:rsidR="00B10A1C" w:rsidRDefault="00AA0A50">
            <w:pPr>
              <w:jc w:val="center"/>
            </w:pPr>
            <w:r>
              <w:rPr>
                <w:sz w:val="24"/>
                <w:szCs w:val="24"/>
              </w:rPr>
              <w:t>契约型开放式</w:t>
            </w:r>
          </w:p>
        </w:tc>
        <w:tc>
          <w:tcPr>
            <w:tcW w:w="1159" w:type="dxa"/>
            <w:vAlign w:val="center"/>
          </w:tcPr>
          <w:p w:rsidR="00B10A1C" w:rsidRDefault="00AA0A50">
            <w:pPr>
              <w:jc w:val="center"/>
            </w:pPr>
            <w:r>
              <w:rPr>
                <w:sz w:val="24"/>
                <w:szCs w:val="24"/>
              </w:rPr>
              <w:t>335,856,096.07</w:t>
            </w:r>
          </w:p>
        </w:tc>
        <w:tc>
          <w:tcPr>
            <w:tcW w:w="1305" w:type="dxa"/>
            <w:vAlign w:val="center"/>
          </w:tcPr>
          <w:p w:rsidR="00B10A1C" w:rsidRDefault="00AA0A50">
            <w:pPr>
              <w:jc w:val="center"/>
            </w:pPr>
            <w:r>
              <w:rPr>
                <w:sz w:val="24"/>
                <w:szCs w:val="24"/>
              </w:rPr>
              <w:t>403,598,270.65</w:t>
            </w:r>
          </w:p>
        </w:tc>
        <w:tc>
          <w:tcPr>
            <w:tcW w:w="1161" w:type="dxa"/>
            <w:vAlign w:val="center"/>
          </w:tcPr>
          <w:p w:rsidR="00B10A1C" w:rsidRDefault="00AA0A50">
            <w:pPr>
              <w:jc w:val="center"/>
            </w:pPr>
            <w:r>
              <w:rPr>
                <w:sz w:val="24"/>
                <w:szCs w:val="24"/>
              </w:rPr>
              <w:t>3.56</w:t>
            </w:r>
          </w:p>
        </w:tc>
        <w:tc>
          <w:tcPr>
            <w:tcW w:w="1301" w:type="dxa"/>
            <w:vAlign w:val="center"/>
          </w:tcPr>
          <w:p w:rsidR="00B10A1C" w:rsidRDefault="00AA0A50">
            <w:pPr>
              <w:jc w:val="center"/>
            </w:pPr>
            <w:r>
              <w:rPr>
                <w:sz w:val="24"/>
                <w:szCs w:val="24"/>
              </w:rPr>
              <w:t>是</w:t>
            </w:r>
          </w:p>
        </w:tc>
      </w:tr>
      <w:tr w:rsidR="00B10A1C">
        <w:tc>
          <w:tcPr>
            <w:tcW w:w="835" w:type="dxa"/>
            <w:vAlign w:val="center"/>
          </w:tcPr>
          <w:p w:rsidR="00B10A1C" w:rsidRDefault="00AA0A50">
            <w:pPr>
              <w:jc w:val="center"/>
            </w:pPr>
            <w:r>
              <w:rPr>
                <w:sz w:val="24"/>
                <w:szCs w:val="24"/>
              </w:rPr>
              <w:t>6</w:t>
            </w:r>
          </w:p>
        </w:tc>
        <w:tc>
          <w:tcPr>
            <w:tcW w:w="1159" w:type="dxa"/>
            <w:vAlign w:val="center"/>
          </w:tcPr>
          <w:p w:rsidR="00B10A1C" w:rsidRDefault="00AA0A50">
            <w:pPr>
              <w:jc w:val="center"/>
            </w:pPr>
            <w:r>
              <w:rPr>
                <w:sz w:val="24"/>
                <w:szCs w:val="24"/>
              </w:rPr>
              <w:t>001963</w:t>
            </w:r>
          </w:p>
        </w:tc>
        <w:tc>
          <w:tcPr>
            <w:tcW w:w="1161" w:type="dxa"/>
            <w:vAlign w:val="center"/>
          </w:tcPr>
          <w:p w:rsidR="00B10A1C" w:rsidRDefault="00AA0A50">
            <w:pPr>
              <w:jc w:val="center"/>
            </w:pPr>
            <w:r>
              <w:rPr>
                <w:sz w:val="24"/>
                <w:szCs w:val="24"/>
              </w:rPr>
              <w:t>中欧天禧债券</w:t>
            </w:r>
          </w:p>
        </w:tc>
        <w:tc>
          <w:tcPr>
            <w:tcW w:w="1161" w:type="dxa"/>
            <w:vAlign w:val="center"/>
          </w:tcPr>
          <w:p w:rsidR="00B10A1C" w:rsidRDefault="00AA0A50">
            <w:pPr>
              <w:jc w:val="center"/>
            </w:pPr>
            <w:r>
              <w:rPr>
                <w:sz w:val="24"/>
                <w:szCs w:val="24"/>
              </w:rPr>
              <w:t>契约型开放式</w:t>
            </w:r>
          </w:p>
        </w:tc>
        <w:tc>
          <w:tcPr>
            <w:tcW w:w="1159" w:type="dxa"/>
            <w:vAlign w:val="center"/>
          </w:tcPr>
          <w:p w:rsidR="00B10A1C" w:rsidRDefault="00AA0A50">
            <w:pPr>
              <w:jc w:val="center"/>
            </w:pPr>
            <w:r>
              <w:rPr>
                <w:sz w:val="24"/>
                <w:szCs w:val="24"/>
              </w:rPr>
              <w:t>346,528,946.77</w:t>
            </w:r>
          </w:p>
        </w:tc>
        <w:tc>
          <w:tcPr>
            <w:tcW w:w="1305" w:type="dxa"/>
            <w:vAlign w:val="center"/>
          </w:tcPr>
          <w:p w:rsidR="00B10A1C" w:rsidRDefault="00AA0A50">
            <w:pPr>
              <w:jc w:val="center"/>
            </w:pPr>
            <w:r>
              <w:rPr>
                <w:sz w:val="24"/>
                <w:szCs w:val="24"/>
              </w:rPr>
              <w:t>402,389,412.99</w:t>
            </w:r>
          </w:p>
        </w:tc>
        <w:tc>
          <w:tcPr>
            <w:tcW w:w="1161" w:type="dxa"/>
            <w:vAlign w:val="center"/>
          </w:tcPr>
          <w:p w:rsidR="00B10A1C" w:rsidRDefault="00AA0A50">
            <w:pPr>
              <w:jc w:val="center"/>
            </w:pPr>
            <w:r>
              <w:rPr>
                <w:sz w:val="24"/>
                <w:szCs w:val="24"/>
              </w:rPr>
              <w:t>3.55</w:t>
            </w:r>
          </w:p>
        </w:tc>
        <w:tc>
          <w:tcPr>
            <w:tcW w:w="1301" w:type="dxa"/>
            <w:vAlign w:val="center"/>
          </w:tcPr>
          <w:p w:rsidR="00B10A1C" w:rsidRDefault="00AA0A50">
            <w:pPr>
              <w:jc w:val="center"/>
            </w:pPr>
            <w:r>
              <w:rPr>
                <w:sz w:val="24"/>
                <w:szCs w:val="24"/>
              </w:rPr>
              <w:t>否</w:t>
            </w:r>
          </w:p>
        </w:tc>
      </w:tr>
      <w:tr w:rsidR="00B10A1C">
        <w:tc>
          <w:tcPr>
            <w:tcW w:w="835" w:type="dxa"/>
            <w:vAlign w:val="center"/>
          </w:tcPr>
          <w:p w:rsidR="00B10A1C" w:rsidRDefault="00AA0A50">
            <w:pPr>
              <w:jc w:val="center"/>
            </w:pPr>
            <w:r>
              <w:rPr>
                <w:sz w:val="24"/>
                <w:szCs w:val="24"/>
              </w:rPr>
              <w:t>7</w:t>
            </w:r>
          </w:p>
        </w:tc>
        <w:tc>
          <w:tcPr>
            <w:tcW w:w="1159" w:type="dxa"/>
            <w:vAlign w:val="center"/>
          </w:tcPr>
          <w:p w:rsidR="00B10A1C" w:rsidRDefault="00AA0A50">
            <w:pPr>
              <w:jc w:val="center"/>
            </w:pPr>
            <w:r>
              <w:rPr>
                <w:sz w:val="24"/>
                <w:szCs w:val="24"/>
              </w:rPr>
              <w:t>006745</w:t>
            </w:r>
          </w:p>
        </w:tc>
        <w:tc>
          <w:tcPr>
            <w:tcW w:w="1161" w:type="dxa"/>
            <w:vAlign w:val="center"/>
          </w:tcPr>
          <w:p w:rsidR="00B10A1C" w:rsidRDefault="00AA0A50">
            <w:pPr>
              <w:jc w:val="center"/>
            </w:pPr>
            <w:r>
              <w:rPr>
                <w:sz w:val="24"/>
                <w:szCs w:val="24"/>
              </w:rPr>
              <w:t>交银中债</w:t>
            </w:r>
            <w:r>
              <w:rPr>
                <w:sz w:val="24"/>
                <w:szCs w:val="24"/>
              </w:rPr>
              <w:t>1-3</w:t>
            </w:r>
            <w:r>
              <w:rPr>
                <w:sz w:val="24"/>
                <w:szCs w:val="24"/>
              </w:rPr>
              <w:t>年农发债指数</w:t>
            </w:r>
            <w:r>
              <w:rPr>
                <w:sz w:val="24"/>
                <w:szCs w:val="24"/>
              </w:rPr>
              <w:t>A</w:t>
            </w:r>
          </w:p>
        </w:tc>
        <w:tc>
          <w:tcPr>
            <w:tcW w:w="1161" w:type="dxa"/>
            <w:vAlign w:val="center"/>
          </w:tcPr>
          <w:p w:rsidR="00B10A1C" w:rsidRDefault="00AA0A50">
            <w:pPr>
              <w:jc w:val="center"/>
            </w:pPr>
            <w:r>
              <w:rPr>
                <w:sz w:val="24"/>
                <w:szCs w:val="24"/>
              </w:rPr>
              <w:t>契约型开放式</w:t>
            </w:r>
          </w:p>
        </w:tc>
        <w:tc>
          <w:tcPr>
            <w:tcW w:w="1159" w:type="dxa"/>
            <w:vAlign w:val="center"/>
          </w:tcPr>
          <w:p w:rsidR="00B10A1C" w:rsidRDefault="00AA0A50">
            <w:pPr>
              <w:jc w:val="center"/>
            </w:pPr>
            <w:r>
              <w:rPr>
                <w:sz w:val="24"/>
                <w:szCs w:val="24"/>
              </w:rPr>
              <w:t>391,169,601.29</w:t>
            </w:r>
          </w:p>
        </w:tc>
        <w:tc>
          <w:tcPr>
            <w:tcW w:w="1305" w:type="dxa"/>
            <w:vAlign w:val="center"/>
          </w:tcPr>
          <w:p w:rsidR="00B10A1C" w:rsidRDefault="00AA0A50">
            <w:pPr>
              <w:jc w:val="center"/>
            </w:pPr>
            <w:r>
              <w:rPr>
                <w:sz w:val="24"/>
                <w:szCs w:val="24"/>
              </w:rPr>
              <w:t>400,635,905.64</w:t>
            </w:r>
          </w:p>
        </w:tc>
        <w:tc>
          <w:tcPr>
            <w:tcW w:w="1161" w:type="dxa"/>
            <w:vAlign w:val="center"/>
          </w:tcPr>
          <w:p w:rsidR="00B10A1C" w:rsidRDefault="00AA0A50">
            <w:pPr>
              <w:jc w:val="center"/>
            </w:pPr>
            <w:r>
              <w:rPr>
                <w:sz w:val="24"/>
                <w:szCs w:val="24"/>
              </w:rPr>
              <w:t>3.53</w:t>
            </w:r>
          </w:p>
        </w:tc>
        <w:tc>
          <w:tcPr>
            <w:tcW w:w="1301" w:type="dxa"/>
            <w:vAlign w:val="center"/>
          </w:tcPr>
          <w:p w:rsidR="00B10A1C" w:rsidRDefault="00AA0A50">
            <w:pPr>
              <w:jc w:val="center"/>
            </w:pPr>
            <w:r>
              <w:rPr>
                <w:sz w:val="24"/>
                <w:szCs w:val="24"/>
              </w:rPr>
              <w:t>是</w:t>
            </w:r>
          </w:p>
        </w:tc>
      </w:tr>
      <w:tr w:rsidR="00B10A1C">
        <w:tc>
          <w:tcPr>
            <w:tcW w:w="835" w:type="dxa"/>
            <w:vAlign w:val="center"/>
          </w:tcPr>
          <w:p w:rsidR="00B10A1C" w:rsidRDefault="00AA0A50">
            <w:pPr>
              <w:jc w:val="center"/>
            </w:pPr>
            <w:r>
              <w:rPr>
                <w:sz w:val="24"/>
                <w:szCs w:val="24"/>
              </w:rPr>
              <w:t>8</w:t>
            </w:r>
          </w:p>
        </w:tc>
        <w:tc>
          <w:tcPr>
            <w:tcW w:w="1159" w:type="dxa"/>
            <w:vAlign w:val="center"/>
          </w:tcPr>
          <w:p w:rsidR="00B10A1C" w:rsidRDefault="00AA0A50">
            <w:pPr>
              <w:jc w:val="center"/>
            </w:pPr>
            <w:r>
              <w:rPr>
                <w:sz w:val="24"/>
                <w:szCs w:val="24"/>
              </w:rPr>
              <w:t>002736</w:t>
            </w:r>
          </w:p>
        </w:tc>
        <w:tc>
          <w:tcPr>
            <w:tcW w:w="1161" w:type="dxa"/>
            <w:vAlign w:val="center"/>
          </w:tcPr>
          <w:p w:rsidR="00B10A1C" w:rsidRDefault="00AA0A50">
            <w:pPr>
              <w:jc w:val="center"/>
            </w:pPr>
            <w:r>
              <w:rPr>
                <w:sz w:val="24"/>
                <w:szCs w:val="24"/>
              </w:rPr>
              <w:t>泓德裕和纯债债券</w:t>
            </w:r>
            <w:r>
              <w:rPr>
                <w:sz w:val="24"/>
                <w:szCs w:val="24"/>
              </w:rPr>
              <w:t>A</w:t>
            </w:r>
          </w:p>
        </w:tc>
        <w:tc>
          <w:tcPr>
            <w:tcW w:w="1161" w:type="dxa"/>
            <w:vAlign w:val="center"/>
          </w:tcPr>
          <w:p w:rsidR="00B10A1C" w:rsidRDefault="00AA0A50">
            <w:pPr>
              <w:jc w:val="center"/>
            </w:pPr>
            <w:r>
              <w:rPr>
                <w:sz w:val="24"/>
                <w:szCs w:val="24"/>
              </w:rPr>
              <w:t>契约型开放式</w:t>
            </w:r>
          </w:p>
        </w:tc>
        <w:tc>
          <w:tcPr>
            <w:tcW w:w="1159" w:type="dxa"/>
            <w:vAlign w:val="center"/>
          </w:tcPr>
          <w:p w:rsidR="00B10A1C" w:rsidRDefault="00AA0A50">
            <w:pPr>
              <w:jc w:val="center"/>
            </w:pPr>
            <w:r>
              <w:rPr>
                <w:sz w:val="24"/>
                <w:szCs w:val="24"/>
              </w:rPr>
              <w:t>263,833,222.09</w:t>
            </w:r>
          </w:p>
        </w:tc>
        <w:tc>
          <w:tcPr>
            <w:tcW w:w="1305" w:type="dxa"/>
            <w:vAlign w:val="center"/>
          </w:tcPr>
          <w:p w:rsidR="00B10A1C" w:rsidRDefault="00AA0A50">
            <w:pPr>
              <w:jc w:val="center"/>
            </w:pPr>
            <w:r>
              <w:rPr>
                <w:sz w:val="24"/>
                <w:szCs w:val="24"/>
              </w:rPr>
              <w:t>319,924,165.11</w:t>
            </w:r>
          </w:p>
        </w:tc>
        <w:tc>
          <w:tcPr>
            <w:tcW w:w="1161" w:type="dxa"/>
            <w:vAlign w:val="center"/>
          </w:tcPr>
          <w:p w:rsidR="00B10A1C" w:rsidRDefault="00AA0A50">
            <w:pPr>
              <w:jc w:val="center"/>
            </w:pPr>
            <w:r>
              <w:rPr>
                <w:sz w:val="24"/>
                <w:szCs w:val="24"/>
              </w:rPr>
              <w:t>2.82</w:t>
            </w:r>
          </w:p>
        </w:tc>
        <w:tc>
          <w:tcPr>
            <w:tcW w:w="1301" w:type="dxa"/>
            <w:vAlign w:val="center"/>
          </w:tcPr>
          <w:p w:rsidR="00B10A1C" w:rsidRDefault="00AA0A50">
            <w:pPr>
              <w:jc w:val="center"/>
            </w:pPr>
            <w:r>
              <w:rPr>
                <w:sz w:val="24"/>
                <w:szCs w:val="24"/>
              </w:rPr>
              <w:t>否</w:t>
            </w:r>
          </w:p>
        </w:tc>
      </w:tr>
      <w:tr w:rsidR="00B10A1C">
        <w:tc>
          <w:tcPr>
            <w:tcW w:w="835" w:type="dxa"/>
            <w:vAlign w:val="center"/>
          </w:tcPr>
          <w:p w:rsidR="00B10A1C" w:rsidRDefault="00AA0A50">
            <w:pPr>
              <w:jc w:val="center"/>
            </w:pPr>
            <w:r>
              <w:rPr>
                <w:sz w:val="24"/>
                <w:szCs w:val="24"/>
              </w:rPr>
              <w:t>9</w:t>
            </w:r>
          </w:p>
        </w:tc>
        <w:tc>
          <w:tcPr>
            <w:tcW w:w="1159" w:type="dxa"/>
            <w:vAlign w:val="center"/>
          </w:tcPr>
          <w:p w:rsidR="00B10A1C" w:rsidRDefault="00AA0A50">
            <w:pPr>
              <w:jc w:val="center"/>
            </w:pPr>
            <w:r>
              <w:rPr>
                <w:sz w:val="24"/>
                <w:szCs w:val="24"/>
              </w:rPr>
              <w:t>000305</w:t>
            </w:r>
          </w:p>
        </w:tc>
        <w:tc>
          <w:tcPr>
            <w:tcW w:w="1161" w:type="dxa"/>
            <w:vAlign w:val="center"/>
          </w:tcPr>
          <w:p w:rsidR="00B10A1C" w:rsidRDefault="00AA0A50">
            <w:pPr>
              <w:jc w:val="center"/>
            </w:pPr>
            <w:r>
              <w:rPr>
                <w:sz w:val="24"/>
                <w:szCs w:val="24"/>
              </w:rPr>
              <w:t>中银中高等级债券</w:t>
            </w:r>
            <w:r>
              <w:rPr>
                <w:sz w:val="24"/>
                <w:szCs w:val="24"/>
              </w:rPr>
              <w:t>A</w:t>
            </w:r>
          </w:p>
        </w:tc>
        <w:tc>
          <w:tcPr>
            <w:tcW w:w="1161" w:type="dxa"/>
            <w:vAlign w:val="center"/>
          </w:tcPr>
          <w:p w:rsidR="00B10A1C" w:rsidRDefault="00AA0A50">
            <w:pPr>
              <w:jc w:val="center"/>
            </w:pPr>
            <w:r>
              <w:rPr>
                <w:sz w:val="24"/>
                <w:szCs w:val="24"/>
              </w:rPr>
              <w:t>契约型开放式</w:t>
            </w:r>
          </w:p>
        </w:tc>
        <w:tc>
          <w:tcPr>
            <w:tcW w:w="1159" w:type="dxa"/>
            <w:vAlign w:val="center"/>
          </w:tcPr>
          <w:p w:rsidR="00B10A1C" w:rsidRDefault="00AA0A50">
            <w:pPr>
              <w:jc w:val="center"/>
            </w:pPr>
            <w:r>
              <w:rPr>
                <w:sz w:val="24"/>
                <w:szCs w:val="24"/>
              </w:rPr>
              <w:t>287,538,175.47</w:t>
            </w:r>
          </w:p>
        </w:tc>
        <w:tc>
          <w:tcPr>
            <w:tcW w:w="1305" w:type="dxa"/>
            <w:vAlign w:val="center"/>
          </w:tcPr>
          <w:p w:rsidR="00B10A1C" w:rsidRDefault="00AA0A50">
            <w:pPr>
              <w:jc w:val="center"/>
            </w:pPr>
            <w:r>
              <w:rPr>
                <w:sz w:val="24"/>
                <w:szCs w:val="24"/>
              </w:rPr>
              <w:t>301,340,007.89</w:t>
            </w:r>
          </w:p>
        </w:tc>
        <w:tc>
          <w:tcPr>
            <w:tcW w:w="1161" w:type="dxa"/>
            <w:vAlign w:val="center"/>
          </w:tcPr>
          <w:p w:rsidR="00B10A1C" w:rsidRDefault="00AA0A50">
            <w:pPr>
              <w:jc w:val="center"/>
            </w:pPr>
            <w:r>
              <w:rPr>
                <w:sz w:val="24"/>
                <w:szCs w:val="24"/>
              </w:rPr>
              <w:t>2.66</w:t>
            </w:r>
          </w:p>
        </w:tc>
        <w:tc>
          <w:tcPr>
            <w:tcW w:w="1301" w:type="dxa"/>
            <w:vAlign w:val="center"/>
          </w:tcPr>
          <w:p w:rsidR="00B10A1C" w:rsidRDefault="00AA0A50">
            <w:pPr>
              <w:jc w:val="center"/>
            </w:pPr>
            <w:r>
              <w:rPr>
                <w:sz w:val="24"/>
                <w:szCs w:val="24"/>
              </w:rPr>
              <w:t>否</w:t>
            </w:r>
          </w:p>
        </w:tc>
      </w:tr>
      <w:tr w:rsidR="00B10A1C">
        <w:tc>
          <w:tcPr>
            <w:tcW w:w="835" w:type="dxa"/>
            <w:vAlign w:val="center"/>
          </w:tcPr>
          <w:p w:rsidR="00B10A1C" w:rsidRDefault="00AA0A50">
            <w:pPr>
              <w:jc w:val="center"/>
            </w:pPr>
            <w:r>
              <w:rPr>
                <w:sz w:val="24"/>
                <w:szCs w:val="24"/>
              </w:rPr>
              <w:t>10</w:t>
            </w:r>
          </w:p>
        </w:tc>
        <w:tc>
          <w:tcPr>
            <w:tcW w:w="1159" w:type="dxa"/>
            <w:vAlign w:val="center"/>
          </w:tcPr>
          <w:p w:rsidR="00B10A1C" w:rsidRDefault="00AA0A50">
            <w:pPr>
              <w:jc w:val="center"/>
            </w:pPr>
            <w:r>
              <w:rPr>
                <w:sz w:val="24"/>
                <w:szCs w:val="24"/>
              </w:rPr>
              <w:t>007507</w:t>
            </w:r>
          </w:p>
        </w:tc>
        <w:tc>
          <w:tcPr>
            <w:tcW w:w="1161" w:type="dxa"/>
            <w:vAlign w:val="center"/>
          </w:tcPr>
          <w:p w:rsidR="00B10A1C" w:rsidRDefault="00AA0A50">
            <w:pPr>
              <w:jc w:val="center"/>
            </w:pPr>
            <w:r>
              <w:rPr>
                <w:sz w:val="24"/>
                <w:szCs w:val="24"/>
              </w:rPr>
              <w:t>大成中债</w:t>
            </w:r>
            <w:r>
              <w:rPr>
                <w:sz w:val="24"/>
                <w:szCs w:val="24"/>
              </w:rPr>
              <w:t>3-5</w:t>
            </w:r>
            <w:r>
              <w:rPr>
                <w:sz w:val="24"/>
                <w:szCs w:val="24"/>
              </w:rPr>
              <w:t>年国开债指数</w:t>
            </w:r>
            <w:r>
              <w:rPr>
                <w:sz w:val="24"/>
                <w:szCs w:val="24"/>
              </w:rPr>
              <w:t>A</w:t>
            </w:r>
          </w:p>
        </w:tc>
        <w:tc>
          <w:tcPr>
            <w:tcW w:w="1161" w:type="dxa"/>
            <w:vAlign w:val="center"/>
          </w:tcPr>
          <w:p w:rsidR="00B10A1C" w:rsidRDefault="00AA0A50">
            <w:pPr>
              <w:jc w:val="center"/>
            </w:pPr>
            <w:r>
              <w:rPr>
                <w:sz w:val="24"/>
                <w:szCs w:val="24"/>
              </w:rPr>
              <w:t>契约型开放式</w:t>
            </w:r>
          </w:p>
        </w:tc>
        <w:tc>
          <w:tcPr>
            <w:tcW w:w="1159" w:type="dxa"/>
            <w:vAlign w:val="center"/>
          </w:tcPr>
          <w:p w:rsidR="00B10A1C" w:rsidRDefault="00AA0A50">
            <w:pPr>
              <w:jc w:val="center"/>
            </w:pPr>
            <w:r>
              <w:rPr>
                <w:sz w:val="24"/>
                <w:szCs w:val="24"/>
              </w:rPr>
              <w:t>297,617,209.53</w:t>
            </w:r>
          </w:p>
        </w:tc>
        <w:tc>
          <w:tcPr>
            <w:tcW w:w="1305" w:type="dxa"/>
            <w:vAlign w:val="center"/>
          </w:tcPr>
          <w:p w:rsidR="00B10A1C" w:rsidRDefault="00AA0A50">
            <w:pPr>
              <w:jc w:val="center"/>
            </w:pPr>
            <w:r>
              <w:rPr>
                <w:sz w:val="24"/>
                <w:szCs w:val="24"/>
              </w:rPr>
              <w:t>300,593,381.63</w:t>
            </w:r>
          </w:p>
        </w:tc>
        <w:tc>
          <w:tcPr>
            <w:tcW w:w="1161" w:type="dxa"/>
            <w:vAlign w:val="center"/>
          </w:tcPr>
          <w:p w:rsidR="00B10A1C" w:rsidRDefault="00AA0A50">
            <w:pPr>
              <w:jc w:val="center"/>
            </w:pPr>
            <w:r>
              <w:rPr>
                <w:sz w:val="24"/>
                <w:szCs w:val="24"/>
              </w:rPr>
              <w:t>2.65</w:t>
            </w:r>
          </w:p>
        </w:tc>
        <w:tc>
          <w:tcPr>
            <w:tcW w:w="1301" w:type="dxa"/>
            <w:vAlign w:val="center"/>
          </w:tcPr>
          <w:p w:rsidR="00B10A1C" w:rsidRDefault="00AA0A50">
            <w:pPr>
              <w:jc w:val="center"/>
            </w:pPr>
            <w:r>
              <w:rPr>
                <w:sz w:val="24"/>
                <w:szCs w:val="24"/>
              </w:rPr>
              <w:t>否</w:t>
            </w:r>
          </w:p>
        </w:tc>
      </w:tr>
    </w:tbl>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4046D7" w:rsidRPr="00575270" w:rsidTr="00B32CA0">
        <w:tc>
          <w:tcPr>
            <w:tcW w:w="3012" w:type="dxa"/>
            <w:vAlign w:val="center"/>
          </w:tcPr>
          <w:p w:rsidR="004046D7" w:rsidRPr="00575270" w:rsidRDefault="004046D7" w:rsidP="00374293">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本期费用</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其中：交易及持有基金管理人以及管理人关联方所管理基金产生的费用</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r w:rsidR="004C4960" w:rsidRPr="00575270">
              <w:rPr>
                <w:sz w:val="24"/>
                <w:szCs w:val="24"/>
              </w:rPr>
              <w:t>（元）</w:t>
            </w:r>
          </w:p>
        </w:tc>
        <w:tc>
          <w:tcPr>
            <w:tcW w:w="3012" w:type="dxa"/>
            <w:vAlign w:val="center"/>
          </w:tcPr>
          <w:p w:rsidR="004046D7" w:rsidRPr="00575270" w:rsidRDefault="00BD47CB" w:rsidP="00B32CA0">
            <w:pPr>
              <w:adjustRightInd w:val="0"/>
              <w:snapToGrid w:val="0"/>
              <w:spacing w:beforeLines="50" w:before="156" w:line="276" w:lineRule="auto"/>
              <w:jc w:val="right"/>
              <w:rPr>
                <w:rFonts w:eastAsiaTheme="minorEastAsia"/>
                <w:color w:val="000000" w:themeColor="text1"/>
                <w:sz w:val="24"/>
                <w:szCs w:val="24"/>
              </w:rPr>
            </w:pPr>
            <w:r>
              <w:rPr>
                <w:rFonts w:eastAsiaTheme="minorEastAsia" w:hint="eastAsia"/>
                <w:color w:val="000000" w:themeColor="text1"/>
                <w:sz w:val="24"/>
                <w:szCs w:val="24"/>
              </w:rPr>
              <w:t>22,984.93</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959,035.81</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547,567.26</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1,215,870.09</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367,481.25</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14,576,298.16</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4,817,731.42</w:t>
            </w:r>
          </w:p>
        </w:tc>
      </w:tr>
      <w:tr w:rsidR="004046D7" w:rsidRPr="00245A0A" w:rsidTr="00B32CA0">
        <w:tc>
          <w:tcPr>
            <w:tcW w:w="3012" w:type="dxa"/>
            <w:vAlign w:val="center"/>
          </w:tcPr>
          <w:p w:rsidR="004046D7" w:rsidRPr="00AA0A50" w:rsidRDefault="004046D7" w:rsidP="00AA0A50">
            <w:pPr>
              <w:adjustRightInd w:val="0"/>
              <w:snapToGrid w:val="0"/>
              <w:spacing w:beforeLines="50" w:before="156" w:line="276" w:lineRule="auto"/>
              <w:rPr>
                <w:sz w:val="24"/>
                <w:szCs w:val="24"/>
              </w:rPr>
            </w:pPr>
            <w:r w:rsidRPr="00AA0A50">
              <w:rPr>
                <w:sz w:val="24"/>
                <w:szCs w:val="24"/>
              </w:rPr>
              <w:t>当期持有基金产生的应支付托管费（元）</w:t>
            </w:r>
          </w:p>
        </w:tc>
        <w:tc>
          <w:tcPr>
            <w:tcW w:w="3012" w:type="dxa"/>
            <w:vAlign w:val="center"/>
          </w:tcPr>
          <w:p w:rsidR="004046D7" w:rsidRPr="00575270" w:rsidRDefault="00245A0A" w:rsidP="00245A0A">
            <w:pPr>
              <w:adjustRightInd w:val="0"/>
              <w:snapToGrid w:val="0"/>
              <w:spacing w:beforeLines="50" w:before="156" w:line="276" w:lineRule="auto"/>
              <w:jc w:val="right"/>
              <w:rPr>
                <w:rFonts w:eastAsiaTheme="minorEastAsia" w:hint="eastAsia"/>
                <w:color w:val="000000" w:themeColor="text1"/>
                <w:sz w:val="24"/>
                <w:szCs w:val="24"/>
              </w:rPr>
            </w:pPr>
            <w:r w:rsidRPr="00245A0A">
              <w:rPr>
                <w:rFonts w:eastAsiaTheme="minorEastAsia" w:hint="eastAsia"/>
                <w:color w:val="000000" w:themeColor="text1"/>
                <w:sz w:val="24"/>
                <w:szCs w:val="24"/>
              </w:rPr>
              <w:t xml:space="preserve">  3,510,638.47 </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1,316,598.86</w:t>
            </w:r>
          </w:p>
        </w:tc>
      </w:tr>
    </w:tbl>
    <w:p w:rsidR="00B10A1C" w:rsidRDefault="00AA0A50">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注：上述当期持有基金</w:t>
      </w:r>
      <w:bookmarkStart w:id="0" w:name="_GoBack"/>
      <w:bookmarkEnd w:id="0"/>
      <w:r>
        <w:rPr>
          <w:rFonts w:eastAsiaTheme="minorEastAsia"/>
          <w:color w:val="000000" w:themeColor="text1"/>
          <w:sz w:val="24"/>
          <w:szCs w:val="24"/>
        </w:rPr>
        <w:t>产生的应支付销售服务费、当期持有基金产生的应支付管理费、当期持有基金产生的应支付托管费，是根据被投资基金的实际持仓情况和被投资基金的基金合同约定费率估算得出。该三项费用根据被投资基金的基金合同约定已经作为费用计入被投资基金的基金份额净值，已在本基金所持有基金的净值中体现，不构成本基金的费用。</w:t>
      </w:r>
    </w:p>
    <w:p w:rsidR="004046D7" w:rsidRDefault="004046D7" w:rsidP="004046D7">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w:t>
      </w:r>
      <w:r w:rsidRPr="00575270">
        <w:rPr>
          <w:rFonts w:eastAsiaTheme="minorEastAsia"/>
          <w:color w:val="000000" w:themeColor="text1"/>
          <w:sz w:val="24"/>
          <w:szCs w:val="24"/>
        </w:rPr>
        <w:t>ETF</w:t>
      </w:r>
      <w:r w:rsidRPr="00575270">
        <w:rPr>
          <w:rFonts w:eastAsiaTheme="minorEastAsia"/>
          <w:color w:val="000000" w:themeColor="text1"/>
          <w:sz w:val="24"/>
          <w:szCs w:val="24"/>
        </w:rPr>
        <w:t>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4046D7" w:rsidRPr="00575270" w:rsidTr="00B32CA0">
        <w:tc>
          <w:tcPr>
            <w:tcW w:w="9036" w:type="dxa"/>
          </w:tcPr>
          <w:p w:rsidR="004046D7" w:rsidRPr="00575270" w:rsidRDefault="004046D7" w:rsidP="00B32CA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8,479,878,439.60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1,675,613,821.49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200,210,894.15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9,955,281,366.94</w:t>
            </w:r>
          </w:p>
        </w:tc>
      </w:tr>
    </w:tbl>
    <w:p w:rsidR="00B10A1C" w:rsidRDefault="00AA0A5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10A1C" w:rsidRDefault="00AA0A5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、中国证监会准予交银施罗德安享稳健养老目标一年持有期混合型基金中基金（</w:t>
      </w:r>
      <w:r>
        <w:rPr>
          <w:color w:val="000000"/>
          <w:sz w:val="24"/>
          <w:szCs w:val="24"/>
        </w:rPr>
        <w:t>FOF</w:t>
      </w:r>
      <w:r>
        <w:rPr>
          <w:color w:val="000000"/>
          <w:sz w:val="24"/>
          <w:szCs w:val="24"/>
        </w:rPr>
        <w:t>）募集注册的文件；</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、《交银施罗德安享稳健养老目标一年持有期混合型基金中基金（</w:t>
      </w:r>
      <w:r>
        <w:rPr>
          <w:color w:val="000000"/>
          <w:sz w:val="24"/>
          <w:szCs w:val="24"/>
        </w:rPr>
        <w:t>FOF</w:t>
      </w:r>
      <w:r>
        <w:rPr>
          <w:color w:val="000000"/>
          <w:sz w:val="24"/>
          <w:szCs w:val="24"/>
        </w:rPr>
        <w:t>）基金合同》；</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、《交银施罗德安享稳健养老目标一年持有期混合型基金中基金（</w:t>
      </w:r>
      <w:r>
        <w:rPr>
          <w:color w:val="000000"/>
          <w:sz w:val="24"/>
          <w:szCs w:val="24"/>
        </w:rPr>
        <w:t>FOF</w:t>
      </w:r>
      <w:r>
        <w:rPr>
          <w:color w:val="000000"/>
          <w:sz w:val="24"/>
          <w:szCs w:val="24"/>
        </w:rPr>
        <w:t>）招募说明书》；</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、《交银施罗德安享稳健养老目标一年持有期混合型基金中基金（</w:t>
      </w:r>
      <w:r>
        <w:rPr>
          <w:color w:val="000000"/>
          <w:sz w:val="24"/>
          <w:szCs w:val="24"/>
        </w:rPr>
        <w:t>FOF</w:t>
      </w:r>
      <w:r>
        <w:rPr>
          <w:color w:val="000000"/>
          <w:sz w:val="24"/>
          <w:szCs w:val="24"/>
        </w:rPr>
        <w:t>）托管协议》；</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、关于申请募集注册交银施罗德安享稳健养老目标一年持有期混合型基金中基金（</w:t>
      </w:r>
      <w:r>
        <w:rPr>
          <w:color w:val="000000"/>
          <w:sz w:val="24"/>
          <w:szCs w:val="24"/>
        </w:rPr>
        <w:t>FOF</w:t>
      </w:r>
      <w:r>
        <w:rPr>
          <w:color w:val="000000"/>
          <w:sz w:val="24"/>
          <w:szCs w:val="24"/>
        </w:rPr>
        <w:t>）的法律意见书；</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10A1C" w:rsidRDefault="00AA0A5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、报告期内交银施罗德安享稳健养老目标一年持有期混合型基金中基金（</w:t>
      </w:r>
      <w:r w:rsidRPr="00414345">
        <w:rPr>
          <w:color w:val="000000"/>
          <w:sz w:val="24"/>
          <w:szCs w:val="24"/>
        </w:rPr>
        <w:t>FOF</w:t>
      </w:r>
      <w:r w:rsidRPr="00414345">
        <w:rPr>
          <w:color w:val="000000"/>
          <w:sz w:val="24"/>
          <w:szCs w:val="24"/>
        </w:rPr>
        <w:t>）在指定报刊上各项公告的原稿。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10A1C" w:rsidRDefault="00AA0A5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3F" w:rsidRDefault="009A4C3F" w:rsidP="00876D65">
      <w:r>
        <w:separator/>
      </w:r>
    </w:p>
  </w:endnote>
  <w:endnote w:type="continuationSeparator" w:id="0">
    <w:p w:rsidR="009A4C3F" w:rsidRDefault="009A4C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0A50">
      <w:rPr>
        <w:noProof/>
        <w:kern w:val="0"/>
        <w:szCs w:val="21"/>
      </w:rPr>
      <w:t>14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0A50">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3F" w:rsidRDefault="009A4C3F" w:rsidP="00876D65">
      <w:r>
        <w:separator/>
      </w:r>
    </w:p>
  </w:footnote>
  <w:footnote w:type="continuationSeparator" w:id="0">
    <w:p w:rsidR="009A4C3F" w:rsidRDefault="009A4C3F"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交银施罗德安享稳健养老目标一年持有期混合型基金中基金（</w:t>
    </w:r>
    <w:r w:rsidRPr="003E676C">
      <w:rPr>
        <w:sz w:val="24"/>
        <w:szCs w:val="24"/>
      </w:rPr>
      <w:t>FOF</w:t>
    </w:r>
    <w:r w:rsidRPr="003E676C">
      <w:rPr>
        <w:sz w:val="24"/>
        <w:szCs w:val="24"/>
      </w:rPr>
      <w:t>）</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0CC"/>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4D97"/>
    <w:rsid w:val="001F5DC5"/>
    <w:rsid w:val="00200FAB"/>
    <w:rsid w:val="00213821"/>
    <w:rsid w:val="00213DFB"/>
    <w:rsid w:val="00217B92"/>
    <w:rsid w:val="0022309F"/>
    <w:rsid w:val="00224294"/>
    <w:rsid w:val="002279D3"/>
    <w:rsid w:val="00240248"/>
    <w:rsid w:val="0024363B"/>
    <w:rsid w:val="00245A0A"/>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4293"/>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46D7"/>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4942"/>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4960"/>
    <w:rsid w:val="004C702F"/>
    <w:rsid w:val="004D340C"/>
    <w:rsid w:val="004D495A"/>
    <w:rsid w:val="004E5975"/>
    <w:rsid w:val="004E5CD0"/>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02EC"/>
    <w:rsid w:val="00604E50"/>
    <w:rsid w:val="006054CF"/>
    <w:rsid w:val="006066D2"/>
    <w:rsid w:val="006075E6"/>
    <w:rsid w:val="006076AE"/>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C3F"/>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0A50"/>
    <w:rsid w:val="00AA3A38"/>
    <w:rsid w:val="00AA4F94"/>
    <w:rsid w:val="00AA6513"/>
    <w:rsid w:val="00AB047E"/>
    <w:rsid w:val="00AB0A87"/>
    <w:rsid w:val="00AB4DB6"/>
    <w:rsid w:val="00AB6E79"/>
    <w:rsid w:val="00AC063D"/>
    <w:rsid w:val="00AC592E"/>
    <w:rsid w:val="00AC6C10"/>
    <w:rsid w:val="00AC7BC6"/>
    <w:rsid w:val="00AD24AA"/>
    <w:rsid w:val="00AE7962"/>
    <w:rsid w:val="00AF0A7F"/>
    <w:rsid w:val="00AF1BA1"/>
    <w:rsid w:val="00AF3AB2"/>
    <w:rsid w:val="00AF6FFB"/>
    <w:rsid w:val="00B10A1C"/>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47CB"/>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0E54"/>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289A"/>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A0BCF"/>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7095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D24FF-868B-4D3C-9C92-4CCA34C8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14</Pages>
  <Words>1367</Words>
  <Characters>7796</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608</cp:revision>
  <dcterms:created xsi:type="dcterms:W3CDTF">2012-10-16T06:07:00Z</dcterms:created>
  <dcterms:modified xsi:type="dcterms:W3CDTF">2021-01-14T08:44:00Z</dcterms:modified>
</cp:coreProperties>
</file>