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1,620,222,508.10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127,972,447.12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204,976,129.35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0.1267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3,168,656,219.27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6.83%</w:t>
            </w:r>
          </w:p>
        </w:tc>
        <w:tc>
          <w:tcPr>
            <w:vAlign w:val="center"/>
          </w:tcPr>
          <w:p>
            <w:pPr>
              <w:jc w:val="center"/>
            </w:pPr>
            <w:r>
              <w:rPr>
                <w:color w:val="000000"/>
                <w:sz w:val="24"/>
                <w:szCs w:val="24"/>
              </w:rPr>
              <w:t>0.85%</w:t>
            </w:r>
          </w:p>
        </w:tc>
        <w:tc>
          <w:tcPr>
            <w:vAlign w:val="center"/>
          </w:tcPr>
          <w:p>
            <w:pPr>
              <w:jc w:val="center"/>
            </w:pPr>
            <w:r>
              <w:rPr>
                <w:color w:val="000000"/>
                <w:sz w:val="24"/>
                <w:szCs w:val="24"/>
              </w:rPr>
              <w:t>8.55%</w:t>
            </w:r>
          </w:p>
        </w:tc>
        <w:tc>
          <w:tcPr>
            <w:vAlign w:val="center"/>
          </w:tcPr>
          <w:p>
            <w:pPr>
              <w:jc w:val="center"/>
            </w:pPr>
            <w:r>
              <w:rPr>
                <w:color w:val="000000"/>
                <w:sz w:val="24"/>
                <w:szCs w:val="24"/>
              </w:rPr>
              <w:t>0.59%</w:t>
            </w:r>
          </w:p>
        </w:tc>
        <w:tc>
          <w:tcPr>
            <w:vAlign w:val="center"/>
          </w:tcPr>
          <w:p>
            <w:pPr>
              <w:jc w:val="center"/>
            </w:pPr>
            <w:r>
              <w:rPr>
                <w:color w:val="000000"/>
                <w:sz w:val="24"/>
                <w:szCs w:val="24"/>
              </w:rPr>
              <w:t>-1.72%</w:t>
            </w:r>
          </w:p>
        </w:tc>
        <w:tc>
          <w:tcPr>
            <w:vAlign w:val="center"/>
          </w:tcPr>
          <w:p>
            <w:pPr>
              <w:jc w:val="center"/>
            </w:pPr>
            <w:r>
              <w:rPr>
                <w:color w:val="000000"/>
                <w:sz w:val="24"/>
                <w:szCs w:val="24"/>
              </w:rPr>
              <w:t>0.26%</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24.15%</w:t>
            </w:r>
          </w:p>
        </w:tc>
        <w:tc>
          <w:tcPr>
            <w:vAlign w:val="center"/>
          </w:tcPr>
          <w:p>
            <w:pPr>
              <w:jc w:val="center"/>
            </w:pPr>
            <w:r>
              <w:rPr>
                <w:color w:val="000000"/>
                <w:sz w:val="24"/>
                <w:szCs w:val="24"/>
              </w:rPr>
              <w:t>1.09%</w:t>
            </w:r>
          </w:p>
        </w:tc>
        <w:tc>
          <w:tcPr>
            <w:vAlign w:val="center"/>
          </w:tcPr>
          <w:p>
            <w:pPr>
              <w:jc w:val="center"/>
            </w:pPr>
            <w:r>
              <w:rPr>
                <w:color w:val="000000"/>
                <w:sz w:val="24"/>
                <w:szCs w:val="24"/>
              </w:rPr>
              <w:t>15.02%</w:t>
            </w:r>
          </w:p>
        </w:tc>
        <w:tc>
          <w:tcPr>
            <w:vAlign w:val="center"/>
          </w:tcPr>
          <w:p>
            <w:pPr>
              <w:jc w:val="center"/>
            </w:pPr>
            <w:r>
              <w:rPr>
                <w:color w:val="000000"/>
                <w:sz w:val="24"/>
                <w:szCs w:val="24"/>
              </w:rPr>
              <w:t>0.80%</w:t>
            </w:r>
          </w:p>
        </w:tc>
        <w:tc>
          <w:tcPr>
            <w:vAlign w:val="center"/>
          </w:tcPr>
          <w:p>
            <w:pPr>
              <w:jc w:val="center"/>
            </w:pPr>
            <w:r>
              <w:rPr>
                <w:color w:val="000000"/>
                <w:sz w:val="24"/>
                <w:szCs w:val="24"/>
              </w:rPr>
              <w:t>9.13%</w:t>
            </w:r>
          </w:p>
        </w:tc>
        <w:tc>
          <w:tcPr>
            <w:vAlign w:val="center"/>
          </w:tcPr>
          <w:p>
            <w:pPr>
              <w:jc w:val="center"/>
            </w:pPr>
            <w:r>
              <w:rPr>
                <w:color w:val="000000"/>
                <w:sz w:val="24"/>
                <w:szCs w:val="24"/>
              </w:rPr>
              <w:t>0.29%</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40.26%</w:t>
            </w:r>
          </w:p>
        </w:tc>
        <w:tc>
          <w:tcPr>
            <w:vAlign w:val="center"/>
          </w:tcPr>
          <w:p>
            <w:pPr>
              <w:jc w:val="center"/>
            </w:pPr>
            <w:r>
              <w:rPr>
                <w:color w:val="000000"/>
                <w:sz w:val="24"/>
                <w:szCs w:val="24"/>
              </w:rPr>
              <w:t>1.19%</w:t>
            </w:r>
          </w:p>
        </w:tc>
        <w:tc>
          <w:tcPr>
            <w:vAlign w:val="center"/>
          </w:tcPr>
          <w:p>
            <w:pPr>
              <w:jc w:val="center"/>
            </w:pPr>
            <w:r>
              <w:rPr>
                <w:color w:val="000000"/>
                <w:sz w:val="24"/>
                <w:szCs w:val="24"/>
              </w:rPr>
              <w:t>17.63%</w:t>
            </w:r>
          </w:p>
        </w:tc>
        <w:tc>
          <w:tcPr>
            <w:vAlign w:val="center"/>
          </w:tcPr>
          <w:p>
            <w:pPr>
              <w:jc w:val="center"/>
            </w:pPr>
            <w:r>
              <w:rPr>
                <w:color w:val="000000"/>
                <w:sz w:val="24"/>
                <w:szCs w:val="24"/>
              </w:rPr>
              <w:t>0.85%</w:t>
            </w:r>
          </w:p>
        </w:tc>
        <w:tc>
          <w:tcPr>
            <w:vAlign w:val="center"/>
          </w:tcPr>
          <w:p>
            <w:pPr>
              <w:jc w:val="center"/>
            </w:pPr>
            <w:r>
              <w:rPr>
                <w:color w:val="000000"/>
                <w:sz w:val="24"/>
                <w:szCs w:val="24"/>
              </w:rPr>
              <w:t>22.63%</w:t>
            </w:r>
          </w:p>
        </w:tc>
        <w:tc>
          <w:tcPr>
            <w:vAlign w:val="center"/>
          </w:tcPr>
          <w:p>
            <w:pPr>
              <w:jc w:val="center"/>
            </w:pPr>
            <w:r>
              <w:rPr>
                <w:color w:val="000000"/>
                <w:sz w:val="24"/>
                <w:szCs w:val="24"/>
              </w:rPr>
              <w:t>0.34%</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98.06%</w:t>
            </w:r>
          </w:p>
        </w:tc>
        <w:tc>
          <w:tcPr>
            <w:vAlign w:val="center"/>
          </w:tcPr>
          <w:p>
            <w:pPr>
              <w:jc w:val="center"/>
            </w:pPr>
            <w:r>
              <w:rPr>
                <w:color w:val="000000"/>
                <w:sz w:val="24"/>
                <w:szCs w:val="24"/>
              </w:rPr>
              <w:t>1.16%</w:t>
            </w:r>
          </w:p>
        </w:tc>
        <w:tc>
          <w:tcPr>
            <w:vAlign w:val="center"/>
          </w:tcPr>
          <w:p>
            <w:pPr>
              <w:jc w:val="center"/>
            </w:pPr>
            <w:r>
              <w:rPr>
                <w:color w:val="000000"/>
                <w:sz w:val="24"/>
                <w:szCs w:val="24"/>
              </w:rPr>
              <w:t>26.08%</w:t>
            </w:r>
          </w:p>
        </w:tc>
        <w:tc>
          <w:tcPr>
            <w:vAlign w:val="center"/>
          </w:tcPr>
          <w:p>
            <w:pPr>
              <w:jc w:val="center"/>
            </w:pPr>
            <w:r>
              <w:rPr>
                <w:color w:val="000000"/>
                <w:sz w:val="24"/>
                <w:szCs w:val="24"/>
              </w:rPr>
              <w:t>0.80%</w:t>
            </w:r>
          </w:p>
        </w:tc>
        <w:tc>
          <w:tcPr>
            <w:vAlign w:val="center"/>
          </w:tcPr>
          <w:p>
            <w:pPr>
              <w:jc w:val="center"/>
            </w:pPr>
            <w:r>
              <w:rPr>
                <w:color w:val="000000"/>
                <w:sz w:val="24"/>
                <w:szCs w:val="24"/>
              </w:rPr>
              <w:t>71.98%</w:t>
            </w:r>
          </w:p>
        </w:tc>
        <w:tc>
          <w:tcPr>
            <w:vAlign w:val="center"/>
          </w:tcPr>
          <w:p>
            <w:pPr>
              <w:jc w:val="center"/>
            </w:pPr>
            <w:r>
              <w:rPr>
                <w:color w:val="000000"/>
                <w:sz w:val="24"/>
                <w:szCs w:val="24"/>
              </w:rPr>
              <w:t>0.36%</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121.53%</w:t>
            </w:r>
          </w:p>
        </w:tc>
        <w:tc>
          <w:tcPr>
            <w:vAlign w:val="center"/>
          </w:tcPr>
          <w:p>
            <w:pPr>
              <w:jc w:val="center"/>
            </w:pPr>
            <w:r>
              <w:rPr>
                <w:color w:val="000000"/>
                <w:sz w:val="24"/>
                <w:szCs w:val="24"/>
              </w:rPr>
              <w:t>1.16%</w:t>
            </w:r>
          </w:p>
        </w:tc>
        <w:tc>
          <w:tcPr>
            <w:vAlign w:val="center"/>
          </w:tcPr>
          <w:p>
            <w:pPr>
              <w:jc w:val="center"/>
            </w:pPr>
            <w:r>
              <w:rPr>
                <w:color w:val="000000"/>
                <w:sz w:val="24"/>
                <w:szCs w:val="24"/>
              </w:rPr>
              <w:t>34.27%</w:t>
            </w:r>
          </w:p>
        </w:tc>
        <w:tc>
          <w:tcPr>
            <w:vAlign w:val="center"/>
          </w:tcPr>
          <w:p>
            <w:pPr>
              <w:jc w:val="center"/>
            </w:pPr>
            <w:r>
              <w:rPr>
                <w:color w:val="000000"/>
                <w:sz w:val="24"/>
                <w:szCs w:val="24"/>
              </w:rPr>
              <w:t>0.75%</w:t>
            </w:r>
          </w:p>
        </w:tc>
        <w:tc>
          <w:tcPr>
            <w:vAlign w:val="center"/>
          </w:tcPr>
          <w:p>
            <w:pPr>
              <w:jc w:val="center"/>
            </w:pPr>
            <w:r>
              <w:rPr>
                <w:color w:val="000000"/>
                <w:sz w:val="24"/>
                <w:szCs w:val="24"/>
              </w:rPr>
              <w:t>87.26%</w:t>
            </w:r>
          </w:p>
        </w:tc>
        <w:tc>
          <w:tcPr>
            <w:vAlign w:val="center"/>
          </w:tcPr>
          <w:p>
            <w:pPr>
              <w:jc w:val="center"/>
            </w:pPr>
            <w:r>
              <w:rPr>
                <w:color w:val="000000"/>
                <w:sz w:val="24"/>
                <w:szCs w:val="24"/>
              </w:rPr>
              <w:t>0.41%</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335.30%</w:t>
            </w:r>
          </w:p>
        </w:tc>
        <w:tc>
          <w:tcPr>
            <w:vAlign w:val="center"/>
          </w:tcPr>
          <w:p>
            <w:pPr>
              <w:jc w:val="center"/>
            </w:pPr>
            <w:r>
              <w:rPr>
                <w:color w:val="000000"/>
                <w:sz w:val="24"/>
                <w:szCs w:val="24"/>
              </w:rPr>
              <w:t>1.36%</w:t>
            </w:r>
          </w:p>
        </w:tc>
        <w:tc>
          <w:tcPr>
            <w:vAlign w:val="center"/>
          </w:tcPr>
          <w:p>
            <w:pPr>
              <w:jc w:val="center"/>
            </w:pPr>
            <w:r>
              <w:rPr>
                <w:color w:val="000000"/>
                <w:sz w:val="24"/>
                <w:szCs w:val="24"/>
              </w:rPr>
              <w:t>91.23%</w:t>
            </w:r>
          </w:p>
        </w:tc>
        <w:tc>
          <w:tcPr>
            <w:vAlign w:val="center"/>
          </w:tcPr>
          <w:p>
            <w:pPr>
              <w:jc w:val="center"/>
            </w:pPr>
            <w:r>
              <w:rPr>
                <w:color w:val="000000"/>
                <w:sz w:val="24"/>
                <w:szCs w:val="24"/>
              </w:rPr>
              <w:t>0.87%</w:t>
            </w:r>
          </w:p>
        </w:tc>
        <w:tc>
          <w:tcPr>
            <w:vAlign w:val="center"/>
          </w:tcPr>
          <w:p>
            <w:pPr>
              <w:jc w:val="center"/>
            </w:pPr>
            <w:r>
              <w:rPr>
                <w:color w:val="000000"/>
                <w:sz w:val="24"/>
                <w:szCs w:val="24"/>
              </w:rPr>
              <w:t>244.07%</w:t>
            </w:r>
          </w:p>
        </w:tc>
        <w:tc>
          <w:tcPr>
            <w:vAlign w:val="center"/>
          </w:tcPr>
          <w:p>
            <w:pPr>
              <w:jc w:val="center"/>
            </w:pPr>
            <w:r>
              <w:rPr>
                <w:color w:val="000000"/>
                <w:sz w:val="24"/>
                <w:szCs w:val="24"/>
              </w:rPr>
              <w:t>0.49%</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交银主题优选混合、交银国企改革灵活配置混合、交银瑞思混合的基金经理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2020年四季度，全球新冠疫情继续反复，欧美实体经济在供给和需求层面均受到一定影响。国内疫情控制较好，带动外需持续强劲复苏。我们认为国内政策在未来一段时间将逐渐回归常态，但伴随实体经济的复苏，市场有望继续呈现较强的结构性行情。 </w:t>
      </w:r>
    </w:p>
    <w:p>
      <w:pPr>
        <w:spacing w:before="29" w:line="288" w:lineRule="auto"/>
        <w:ind w:firstLine="480" w:firstLineChars="200"/>
        <w:rPr>
          <w:color w:val="000000"/>
          <w:sz w:val="24"/>
          <w:szCs w:val="24"/>
        </w:rPr>
      </w:pPr>
      <w:r>
        <w:rPr>
          <w:color w:val="000000"/>
          <w:sz w:val="24"/>
          <w:szCs w:val="24"/>
        </w:rPr>
        <w:t>报告期内，本基金整体维持中性偏高仓位，行业配置主要集中在金融地产、高端先进制造及国产替代产业链、食品农业、计算机电子等行业。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认为随着疫苗的接种，海外自身需求迎来回暖，这对国内市场也将带来积极意义。伴随科创板及创业板中更多优质资产登陆资本市场，上市企业的分化会加大，拥有较好现金流以及商业壁垒的平台型企业是我们看好的主要方向，同时积极关注受益外需回暖的领域和上市企业。中长期来看，我们仍将聚焦拥有核心技术壁垒的高端制造业，受益于技术升级的计算机、电子等行业，以及受益内循环的食品、医药等必须消费品，同时关注低估值蓝筹的修复性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2,398,111,825.73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2,398,111,825.73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261,400,812.85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261,400,812.85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540,616,984.05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16.86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6,505,737.40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3,206,635,360.03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62,372,775.50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162,813,596.49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5.14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891,225,955.62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28,053,448.90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297,494,110.46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147,561,372.32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604,821,044.75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143,672,766.96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15,649.20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15,081.10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37,364,548.00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22,685,153.71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2,398,111,825.73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75.68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2,067,511</w:t>
            </w:r>
          </w:p>
        </w:tc>
        <w:tc>
          <w:tcPr>
            <w:vAlign w:val="center"/>
          </w:tcPr>
          <w:p>
            <w:pPr>
              <w:jc w:val="right"/>
            </w:pPr>
            <w:r>
              <w:rPr>
                <w:color w:val="000000"/>
                <w:sz w:val="24"/>
                <w:szCs w:val="24"/>
              </w:rPr>
              <w:t>182,416,495.53</w:t>
            </w:r>
          </w:p>
        </w:tc>
        <w:tc>
          <w:tcPr>
            <w:vAlign w:val="center"/>
          </w:tcPr>
          <w:p>
            <w:pPr>
              <w:jc w:val="right"/>
            </w:pPr>
            <w:r>
              <w:rPr>
                <w:color w:val="000000"/>
                <w:sz w:val="24"/>
                <w:szCs w:val="24"/>
              </w:rPr>
              <w:t>5.76</w:t>
            </w:r>
          </w:p>
        </w:tc>
      </w:tr>
      <w:tr>
        <w:tc>
          <w:tcPr>
            <w:vAlign w:val="center"/>
          </w:tcPr>
          <w:p>
            <w:pPr>
              <w:jc w:val="center"/>
            </w:pPr>
            <w:r>
              <w:rPr>
                <w:color w:val="000000"/>
                <w:sz w:val="24"/>
                <w:szCs w:val="24"/>
              </w:rPr>
              <w:t>2</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5,156,900</w:t>
            </w:r>
          </w:p>
        </w:tc>
        <w:tc>
          <w:tcPr>
            <w:vAlign w:val="center"/>
          </w:tcPr>
          <w:p>
            <w:pPr>
              <w:jc w:val="right"/>
            </w:pPr>
            <w:r>
              <w:rPr>
                <w:color w:val="000000"/>
                <w:sz w:val="24"/>
                <w:szCs w:val="24"/>
              </w:rPr>
              <w:t>151,612,860.00</w:t>
            </w:r>
          </w:p>
        </w:tc>
        <w:tc>
          <w:tcPr>
            <w:vAlign w:val="center"/>
          </w:tcPr>
          <w:p>
            <w:pPr>
              <w:jc w:val="right"/>
            </w:pPr>
            <w:r>
              <w:rPr>
                <w:color w:val="000000"/>
                <w:sz w:val="24"/>
                <w:szCs w:val="24"/>
              </w:rPr>
              <w:t>4.78</w:t>
            </w:r>
          </w:p>
        </w:tc>
      </w:tr>
      <w:tr>
        <w:tc>
          <w:tcPr>
            <w:vAlign w:val="center"/>
          </w:tcPr>
          <w:p>
            <w:pPr>
              <w:jc w:val="center"/>
            </w:pPr>
            <w:r>
              <w:rPr>
                <w:color w:val="000000"/>
                <w:sz w:val="24"/>
                <w:szCs w:val="24"/>
              </w:rPr>
              <w:t>3</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4,609,282</w:t>
            </w:r>
          </w:p>
        </w:tc>
        <w:tc>
          <w:tcPr>
            <w:vAlign w:val="center"/>
          </w:tcPr>
          <w:p>
            <w:pPr>
              <w:jc w:val="right"/>
            </w:pPr>
            <w:r>
              <w:rPr>
                <w:color w:val="000000"/>
                <w:sz w:val="24"/>
                <w:szCs w:val="24"/>
              </w:rPr>
              <w:t>134,637,127.22</w:t>
            </w:r>
          </w:p>
        </w:tc>
        <w:tc>
          <w:tcPr>
            <w:vAlign w:val="center"/>
          </w:tcPr>
          <w:p>
            <w:pPr>
              <w:jc w:val="right"/>
            </w:pPr>
            <w:r>
              <w:rPr>
                <w:color w:val="000000"/>
                <w:sz w:val="24"/>
                <w:szCs w:val="24"/>
              </w:rPr>
              <w:t>4.25</w:t>
            </w:r>
          </w:p>
        </w:tc>
      </w:tr>
      <w:tr>
        <w:tc>
          <w:tcPr>
            <w:vAlign w:val="center"/>
          </w:tcPr>
          <w:p>
            <w:pPr>
              <w:jc w:val="center"/>
            </w:pPr>
            <w:r>
              <w:rPr>
                <w:color w:val="000000"/>
                <w:sz w:val="24"/>
                <w:szCs w:val="24"/>
              </w:rPr>
              <w:t>4</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3,262,300</w:t>
            </w:r>
          </w:p>
        </w:tc>
        <w:tc>
          <w:tcPr>
            <w:vAlign w:val="center"/>
          </w:tcPr>
          <w:p>
            <w:pPr>
              <w:jc w:val="right"/>
            </w:pPr>
            <w:r>
              <w:rPr>
                <w:color w:val="000000"/>
                <w:sz w:val="24"/>
                <w:szCs w:val="24"/>
              </w:rPr>
              <w:t>125,272,320.00</w:t>
            </w:r>
          </w:p>
        </w:tc>
        <w:tc>
          <w:tcPr>
            <w:vAlign w:val="center"/>
          </w:tcPr>
          <w:p>
            <w:pPr>
              <w:jc w:val="right"/>
            </w:pPr>
            <w:r>
              <w:rPr>
                <w:color w:val="000000"/>
                <w:sz w:val="24"/>
                <w:szCs w:val="24"/>
              </w:rPr>
              <w:t>3.95</w:t>
            </w:r>
          </w:p>
        </w:tc>
      </w:tr>
      <w:tr>
        <w:tc>
          <w:tcPr>
            <w:vAlign w:val="center"/>
          </w:tcPr>
          <w:p>
            <w:pPr>
              <w:jc w:val="center"/>
            </w:pPr>
            <w:r>
              <w:rPr>
                <w:color w:val="000000"/>
                <w:sz w:val="24"/>
                <w:szCs w:val="24"/>
              </w:rPr>
              <w:t>5</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3,551,496</w:t>
            </w:r>
          </w:p>
        </w:tc>
        <w:tc>
          <w:tcPr>
            <w:vAlign w:val="center"/>
          </w:tcPr>
          <w:p>
            <w:pPr>
              <w:jc w:val="right"/>
            </w:pPr>
            <w:r>
              <w:rPr>
                <w:color w:val="000000"/>
                <w:sz w:val="24"/>
                <w:szCs w:val="24"/>
              </w:rPr>
              <w:t>110,913,220.08</w:t>
            </w:r>
          </w:p>
        </w:tc>
        <w:tc>
          <w:tcPr>
            <w:vAlign w:val="center"/>
          </w:tcPr>
          <w:p>
            <w:pPr>
              <w:jc w:val="right"/>
            </w:pPr>
            <w:r>
              <w:rPr>
                <w:color w:val="000000"/>
                <w:sz w:val="24"/>
                <w:szCs w:val="24"/>
              </w:rPr>
              <w:t>3.50</w:t>
            </w:r>
          </w:p>
        </w:tc>
      </w:tr>
      <w:tr>
        <w:tc>
          <w:tcPr>
            <w:vAlign w:val="center"/>
          </w:tcPr>
          <w:p>
            <w:pPr>
              <w:jc w:val="center"/>
            </w:pPr>
            <w:r>
              <w:rPr>
                <w:color w:val="000000"/>
                <w:sz w:val="24"/>
                <w:szCs w:val="24"/>
              </w:rPr>
              <w:t>6</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1,224,733</w:t>
            </w:r>
          </w:p>
        </w:tc>
        <w:tc>
          <w:tcPr>
            <w:vAlign w:val="center"/>
          </w:tcPr>
          <w:p>
            <w:pPr>
              <w:jc w:val="right"/>
            </w:pPr>
            <w:r>
              <w:rPr>
                <w:color w:val="000000"/>
                <w:sz w:val="24"/>
                <w:szCs w:val="24"/>
              </w:rPr>
              <w:t>106,527,276.34</w:t>
            </w:r>
          </w:p>
        </w:tc>
        <w:tc>
          <w:tcPr>
            <w:vAlign w:val="center"/>
          </w:tcPr>
          <w:p>
            <w:pPr>
              <w:jc w:val="right"/>
            </w:pPr>
            <w:r>
              <w:rPr>
                <w:color w:val="000000"/>
                <w:sz w:val="24"/>
                <w:szCs w:val="24"/>
              </w:rPr>
              <w:t>3.36</w:t>
            </w:r>
          </w:p>
        </w:tc>
      </w:tr>
      <w:tr>
        <w:tc>
          <w:tcPr>
            <w:vAlign w:val="center"/>
          </w:tcPr>
          <w:p>
            <w:pPr>
              <w:jc w:val="center"/>
            </w:pPr>
            <w:r>
              <w:rPr>
                <w:color w:val="000000"/>
                <w:sz w:val="24"/>
                <w:szCs w:val="24"/>
              </w:rPr>
              <w:t>7</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4,831,739</w:t>
            </w:r>
          </w:p>
        </w:tc>
        <w:tc>
          <w:tcPr>
            <w:vAlign w:val="center"/>
          </w:tcPr>
          <w:p>
            <w:pPr>
              <w:jc w:val="right"/>
            </w:pPr>
            <w:r>
              <w:rPr>
                <w:color w:val="000000"/>
                <w:sz w:val="24"/>
                <w:szCs w:val="24"/>
              </w:rPr>
              <w:t>100,838,392.93</w:t>
            </w:r>
          </w:p>
        </w:tc>
        <w:tc>
          <w:tcPr>
            <w:vAlign w:val="center"/>
          </w:tcPr>
          <w:p>
            <w:pPr>
              <w:jc w:val="right"/>
            </w:pPr>
            <w:r>
              <w:rPr>
                <w:color w:val="000000"/>
                <w:sz w:val="24"/>
                <w:szCs w:val="24"/>
              </w:rPr>
              <w:t>3.18</w:t>
            </w:r>
          </w:p>
        </w:tc>
      </w:tr>
      <w:tr>
        <w:tc>
          <w:tcPr>
            <w:vAlign w:val="center"/>
          </w:tcPr>
          <w:p>
            <w:pPr>
              <w:jc w:val="center"/>
            </w:pPr>
            <w:r>
              <w:rPr>
                <w:color w:val="000000"/>
                <w:sz w:val="24"/>
                <w:szCs w:val="24"/>
              </w:rPr>
              <w:t>8</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672,000</w:t>
            </w:r>
          </w:p>
        </w:tc>
        <w:tc>
          <w:tcPr>
            <w:vAlign w:val="center"/>
          </w:tcPr>
          <w:p>
            <w:pPr>
              <w:jc w:val="right"/>
            </w:pPr>
            <w:r>
              <w:rPr>
                <w:color w:val="000000"/>
                <w:sz w:val="24"/>
                <w:szCs w:val="24"/>
              </w:rPr>
              <w:t>89,920,320.00</w:t>
            </w:r>
          </w:p>
        </w:tc>
        <w:tc>
          <w:tcPr>
            <w:vAlign w:val="center"/>
          </w:tcPr>
          <w:p>
            <w:pPr>
              <w:jc w:val="right"/>
            </w:pPr>
            <w:r>
              <w:rPr>
                <w:color w:val="000000"/>
                <w:sz w:val="24"/>
                <w:szCs w:val="24"/>
              </w:rPr>
              <w:t>2.84</w:t>
            </w:r>
          </w:p>
        </w:tc>
      </w:tr>
      <w:tr>
        <w:tc>
          <w:tcPr>
            <w:vAlign w:val="center"/>
          </w:tcPr>
          <w:p>
            <w:pPr>
              <w:jc w:val="center"/>
            </w:pPr>
            <w:r>
              <w:rPr>
                <w:color w:val="000000"/>
                <w:sz w:val="24"/>
                <w:szCs w:val="24"/>
              </w:rPr>
              <w:t>9</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724,786</w:t>
            </w:r>
          </w:p>
        </w:tc>
        <w:tc>
          <w:tcPr>
            <w:vAlign w:val="center"/>
          </w:tcPr>
          <w:p>
            <w:pPr>
              <w:jc w:val="right"/>
            </w:pPr>
            <w:r>
              <w:rPr>
                <w:color w:val="000000"/>
                <w:sz w:val="24"/>
                <w:szCs w:val="24"/>
              </w:rPr>
              <w:t>83,372,133.58</w:t>
            </w:r>
          </w:p>
        </w:tc>
        <w:tc>
          <w:tcPr>
            <w:vAlign w:val="center"/>
          </w:tcPr>
          <w:p>
            <w:pPr>
              <w:jc w:val="right"/>
            </w:pPr>
            <w:r>
              <w:rPr>
                <w:color w:val="000000"/>
                <w:sz w:val="24"/>
                <w:szCs w:val="24"/>
              </w:rPr>
              <w:t>2.63</w:t>
            </w:r>
          </w:p>
        </w:tc>
      </w:tr>
      <w:tr>
        <w:tc>
          <w:tcPr>
            <w:vAlign w:val="center"/>
          </w:tcPr>
          <w:p>
            <w:pPr>
              <w:jc w:val="center"/>
            </w:pPr>
            <w:r>
              <w:rPr>
                <w:color w:val="000000"/>
                <w:sz w:val="24"/>
                <w:szCs w:val="24"/>
              </w:rPr>
              <w:t>10</w:t>
            </w:r>
          </w:p>
        </w:tc>
        <w:tc>
          <w:tcPr>
            <w:vAlign w:val="center"/>
          </w:tcPr>
          <w:p>
            <w:pPr>
              <w:jc w:val="center"/>
            </w:pPr>
            <w:r>
              <w:rPr>
                <w:color w:val="000000"/>
                <w:sz w:val="24"/>
                <w:szCs w:val="24"/>
              </w:rPr>
              <w:t>601688</w:t>
            </w:r>
          </w:p>
        </w:tc>
        <w:tc>
          <w:tcPr>
            <w:vAlign w:val="center"/>
          </w:tcPr>
          <w:p>
            <w:pPr>
              <w:jc w:val="center"/>
            </w:pPr>
            <w:r>
              <w:rPr>
                <w:color w:val="000000"/>
                <w:sz w:val="24"/>
                <w:szCs w:val="24"/>
              </w:rPr>
              <w:t>华泰证券</w:t>
            </w:r>
          </w:p>
        </w:tc>
        <w:tc>
          <w:tcPr>
            <w:vAlign w:val="center"/>
          </w:tcPr>
          <w:p>
            <w:pPr>
              <w:jc w:val="right"/>
            </w:pPr>
            <w:r>
              <w:rPr>
                <w:color w:val="000000"/>
                <w:sz w:val="24"/>
                <w:szCs w:val="24"/>
              </w:rPr>
              <w:t>3,886,105</w:t>
            </w:r>
          </w:p>
        </w:tc>
        <w:tc>
          <w:tcPr>
            <w:vAlign w:val="center"/>
          </w:tcPr>
          <w:p>
            <w:pPr>
              <w:jc w:val="right"/>
            </w:pPr>
            <w:r>
              <w:rPr>
                <w:color w:val="000000"/>
                <w:sz w:val="24"/>
                <w:szCs w:val="24"/>
              </w:rPr>
              <w:t>69,988,751.05</w:t>
            </w:r>
          </w:p>
        </w:tc>
        <w:tc>
          <w:tcPr>
            <w:vAlign w:val="center"/>
          </w:tcPr>
          <w:p>
            <w:pPr>
              <w:jc w:val="right"/>
            </w:pPr>
            <w:r>
              <w:rPr>
                <w:color w:val="000000"/>
                <w:sz w:val="24"/>
                <w:szCs w:val="24"/>
              </w:rPr>
              <w:t>2.21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169,858,000.00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169,858,000.00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91,542,812.85</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261,400,812.85</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8.25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200216</w:t>
            </w:r>
          </w:p>
        </w:tc>
        <w:tc>
          <w:tcPr>
            <w:vAlign w:val="center"/>
          </w:tcPr>
          <w:p>
            <w:pPr>
              <w:jc w:val="center"/>
            </w:pPr>
            <w:r>
              <w:rPr>
                <w:color w:val="000000"/>
                <w:sz w:val="24"/>
                <w:szCs w:val="24"/>
              </w:rPr>
              <w:t>20国开16</w:t>
            </w:r>
          </w:p>
        </w:tc>
        <w:tc>
          <w:tcPr>
            <w:vAlign w:val="center"/>
          </w:tcPr>
          <w:p>
            <w:pPr>
              <w:jc w:val="right"/>
            </w:pPr>
            <w:r>
              <w:rPr>
                <w:color w:val="000000"/>
                <w:sz w:val="24"/>
                <w:szCs w:val="24"/>
              </w:rPr>
              <w:t>600,000</w:t>
            </w:r>
          </w:p>
        </w:tc>
        <w:tc>
          <w:tcPr>
            <w:vAlign w:val="center"/>
          </w:tcPr>
          <w:p>
            <w:pPr>
              <w:jc w:val="right"/>
            </w:pPr>
            <w:r>
              <w:rPr>
                <w:color w:val="000000"/>
                <w:sz w:val="24"/>
                <w:szCs w:val="24"/>
              </w:rPr>
              <w:t>60,102,000.00</w:t>
            </w:r>
          </w:p>
        </w:tc>
        <w:tc>
          <w:tcPr>
            <w:vAlign w:val="center"/>
          </w:tcPr>
          <w:p>
            <w:pPr>
              <w:jc w:val="right"/>
            </w:pPr>
            <w:r>
              <w:rPr>
                <w:color w:val="000000"/>
                <w:sz w:val="24"/>
                <w:szCs w:val="24"/>
              </w:rPr>
              <w:t>1.90</w:t>
            </w:r>
          </w:p>
        </w:tc>
      </w:tr>
      <w:tr>
        <w:tc>
          <w:tcPr>
            <w:vAlign w:val="center"/>
          </w:tcPr>
          <w:p>
            <w:pPr>
              <w:jc w:val="center"/>
            </w:pPr>
            <w:r>
              <w:rPr>
                <w:color w:val="000000"/>
                <w:sz w:val="24"/>
                <w:szCs w:val="24"/>
              </w:rPr>
              <w:t>2</w:t>
            </w:r>
          </w:p>
        </w:tc>
        <w:tc>
          <w:tcPr>
            <w:vAlign w:val="center"/>
          </w:tcPr>
          <w:p>
            <w:pPr>
              <w:jc w:val="center"/>
            </w:pPr>
            <w:r>
              <w:rPr>
                <w:color w:val="000000"/>
                <w:sz w:val="24"/>
                <w:szCs w:val="24"/>
              </w:rPr>
              <w:t>200406</w:t>
            </w:r>
          </w:p>
        </w:tc>
        <w:tc>
          <w:tcPr>
            <w:vAlign w:val="center"/>
          </w:tcPr>
          <w:p>
            <w:pPr>
              <w:jc w:val="center"/>
            </w:pPr>
            <w:r>
              <w:rPr>
                <w:color w:val="000000"/>
                <w:sz w:val="24"/>
                <w:szCs w:val="24"/>
              </w:rPr>
              <w:t>20农发06</w:t>
            </w:r>
          </w:p>
        </w:tc>
        <w:tc>
          <w:tcPr>
            <w:vAlign w:val="center"/>
          </w:tcPr>
          <w:p>
            <w:pPr>
              <w:jc w:val="right"/>
            </w:pPr>
            <w:r>
              <w:rPr>
                <w:color w:val="000000"/>
                <w:sz w:val="24"/>
                <w:szCs w:val="24"/>
              </w:rPr>
              <w:t>400,000</w:t>
            </w:r>
          </w:p>
        </w:tc>
        <w:tc>
          <w:tcPr>
            <w:vAlign w:val="center"/>
          </w:tcPr>
          <w:p>
            <w:pPr>
              <w:jc w:val="right"/>
            </w:pPr>
            <w:r>
              <w:rPr>
                <w:color w:val="000000"/>
                <w:sz w:val="24"/>
                <w:szCs w:val="24"/>
              </w:rPr>
              <w:t>39,904,000.00</w:t>
            </w:r>
          </w:p>
        </w:tc>
        <w:tc>
          <w:tcPr>
            <w:vAlign w:val="center"/>
          </w:tcPr>
          <w:p>
            <w:pPr>
              <w:jc w:val="right"/>
            </w:pPr>
            <w:r>
              <w:rPr>
                <w:color w:val="000000"/>
                <w:sz w:val="24"/>
                <w:szCs w:val="24"/>
              </w:rPr>
              <w:t>1.26</w:t>
            </w:r>
          </w:p>
        </w:tc>
      </w:tr>
      <w:tr>
        <w:tc>
          <w:tcPr>
            <w:vAlign w:val="center"/>
          </w:tcPr>
          <w:p>
            <w:pPr>
              <w:jc w:val="center"/>
            </w:pPr>
            <w:r>
              <w:rPr>
                <w:color w:val="000000"/>
                <w:sz w:val="24"/>
                <w:szCs w:val="24"/>
              </w:rPr>
              <w:t>3</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400,000</w:t>
            </w:r>
          </w:p>
        </w:tc>
        <w:tc>
          <w:tcPr>
            <w:vAlign w:val="center"/>
          </w:tcPr>
          <w:p>
            <w:pPr>
              <w:jc w:val="right"/>
            </w:pPr>
            <w:r>
              <w:rPr>
                <w:color w:val="000000"/>
                <w:sz w:val="24"/>
                <w:szCs w:val="24"/>
              </w:rPr>
              <w:t>39,840,000.00</w:t>
            </w:r>
          </w:p>
        </w:tc>
        <w:tc>
          <w:tcPr>
            <w:vAlign w:val="center"/>
          </w:tcPr>
          <w:p>
            <w:pPr>
              <w:jc w:val="right"/>
            </w:pPr>
            <w:r>
              <w:rPr>
                <w:color w:val="000000"/>
                <w:sz w:val="24"/>
                <w:szCs w:val="24"/>
              </w:rPr>
              <w:t>1.26</w:t>
            </w:r>
          </w:p>
        </w:tc>
      </w:tr>
      <w:tr>
        <w:tc>
          <w:tcPr>
            <w:vAlign w:val="center"/>
          </w:tcPr>
          <w:p>
            <w:pPr>
              <w:jc w:val="center"/>
            </w:pPr>
            <w:r>
              <w:rPr>
                <w:color w:val="000000"/>
                <w:sz w:val="24"/>
                <w:szCs w:val="24"/>
              </w:rPr>
              <w:t>4</w:t>
            </w:r>
          </w:p>
        </w:tc>
        <w:tc>
          <w:tcPr>
            <w:vAlign w:val="center"/>
          </w:tcPr>
          <w:p>
            <w:pPr>
              <w:jc w:val="center"/>
            </w:pPr>
            <w:r>
              <w:rPr>
                <w:color w:val="000000"/>
                <w:sz w:val="24"/>
                <w:szCs w:val="24"/>
              </w:rPr>
              <w:t>113013</w:t>
            </w:r>
          </w:p>
        </w:tc>
        <w:tc>
          <w:tcPr>
            <w:vAlign w:val="center"/>
          </w:tcPr>
          <w:p>
            <w:pPr>
              <w:jc w:val="center"/>
            </w:pPr>
            <w:r>
              <w:rPr>
                <w:color w:val="000000"/>
                <w:sz w:val="24"/>
                <w:szCs w:val="24"/>
              </w:rPr>
              <w:t>国君转债</w:t>
            </w:r>
          </w:p>
        </w:tc>
        <w:tc>
          <w:tcPr>
            <w:vAlign w:val="center"/>
          </w:tcPr>
          <w:p>
            <w:pPr>
              <w:jc w:val="right"/>
            </w:pPr>
            <w:r>
              <w:rPr>
                <w:color w:val="000000"/>
                <w:sz w:val="24"/>
                <w:szCs w:val="24"/>
              </w:rPr>
              <w:t>278,200</w:t>
            </w:r>
          </w:p>
        </w:tc>
        <w:tc>
          <w:tcPr>
            <w:vAlign w:val="center"/>
          </w:tcPr>
          <w:p>
            <w:pPr>
              <w:jc w:val="right"/>
            </w:pPr>
            <w:r>
              <w:rPr>
                <w:color w:val="000000"/>
                <w:sz w:val="24"/>
                <w:szCs w:val="24"/>
              </w:rPr>
              <w:t>33,239,336.00</w:t>
            </w:r>
          </w:p>
        </w:tc>
        <w:tc>
          <w:tcPr>
            <w:vAlign w:val="center"/>
          </w:tcPr>
          <w:p>
            <w:pPr>
              <w:jc w:val="right"/>
            </w:pPr>
            <w:r>
              <w:rPr>
                <w:color w:val="000000"/>
                <w:sz w:val="24"/>
                <w:szCs w:val="24"/>
              </w:rPr>
              <w:t>1.05</w:t>
            </w:r>
          </w:p>
        </w:tc>
      </w:tr>
      <w:tr>
        <w:tc>
          <w:tcPr>
            <w:vAlign w:val="center"/>
          </w:tcPr>
          <w:p>
            <w:pPr>
              <w:jc w:val="center"/>
            </w:pPr>
            <w:r>
              <w:rPr>
                <w:color w:val="000000"/>
                <w:sz w:val="24"/>
                <w:szCs w:val="24"/>
              </w:rPr>
              <w:t>5</w:t>
            </w:r>
          </w:p>
        </w:tc>
        <w:tc>
          <w:tcPr>
            <w:vAlign w:val="center"/>
          </w:tcPr>
          <w:p>
            <w:pPr>
              <w:jc w:val="center"/>
            </w:pPr>
            <w:r>
              <w:rPr>
                <w:color w:val="000000"/>
                <w:sz w:val="24"/>
                <w:szCs w:val="24"/>
              </w:rPr>
              <w:t>200409</w:t>
            </w:r>
          </w:p>
        </w:tc>
        <w:tc>
          <w:tcPr>
            <w:vAlign w:val="center"/>
          </w:tcPr>
          <w:p>
            <w:pPr>
              <w:jc w:val="center"/>
            </w:pPr>
            <w:r>
              <w:rPr>
                <w:color w:val="000000"/>
                <w:sz w:val="24"/>
                <w:szCs w:val="24"/>
              </w:rPr>
              <w:t>20农发09</w:t>
            </w:r>
          </w:p>
        </w:tc>
        <w:tc>
          <w:tcPr>
            <w:vAlign w:val="center"/>
          </w:tcPr>
          <w:p>
            <w:pPr>
              <w:jc w:val="right"/>
            </w:pPr>
            <w:r>
              <w:rPr>
                <w:color w:val="000000"/>
                <w:sz w:val="24"/>
                <w:szCs w:val="24"/>
              </w:rPr>
              <w:t>300,000</w:t>
            </w:r>
          </w:p>
        </w:tc>
        <w:tc>
          <w:tcPr>
            <w:vAlign w:val="center"/>
          </w:tcPr>
          <w:p>
            <w:pPr>
              <w:jc w:val="right"/>
            </w:pPr>
            <w:r>
              <w:rPr>
                <w:color w:val="000000"/>
                <w:sz w:val="24"/>
                <w:szCs w:val="24"/>
              </w:rPr>
              <w:t>30,012,000.00</w:t>
            </w:r>
          </w:p>
        </w:tc>
        <w:tc>
          <w:tcPr>
            <w:vAlign w:val="center"/>
          </w:tcPr>
          <w:p>
            <w:pPr>
              <w:jc w:val="right"/>
            </w:pPr>
            <w:r>
              <w:rPr>
                <w:color w:val="000000"/>
                <w:sz w:val="24"/>
                <w:szCs w:val="24"/>
              </w:rPr>
              <w:t>0.95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1,121,499.39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1,675,861.50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3,708,376.51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6,505,737.40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113013</w:t>
            </w:r>
          </w:p>
        </w:tc>
        <w:tc>
          <w:tcPr>
            <w:vAlign w:val="center"/>
          </w:tcPr>
          <w:p>
            <w:pPr>
              <w:jc w:val="center"/>
            </w:pPr>
            <w:r>
              <w:rPr>
                <w:color w:val="000000"/>
                <w:sz w:val="24"/>
                <w:szCs w:val="24"/>
              </w:rPr>
              <w:t>国君转债</w:t>
            </w:r>
          </w:p>
        </w:tc>
        <w:tc>
          <w:tcPr>
            <w:vAlign w:val="center"/>
          </w:tcPr>
          <w:p>
            <w:pPr>
              <w:jc w:val="right"/>
            </w:pPr>
            <w:r>
              <w:rPr>
                <w:color w:val="000000"/>
                <w:sz w:val="24"/>
                <w:szCs w:val="24"/>
              </w:rPr>
              <w:t>33,239,336.00</w:t>
            </w:r>
          </w:p>
        </w:tc>
        <w:tc>
          <w:tcPr>
            <w:vAlign w:val="center"/>
          </w:tcPr>
          <w:p>
            <w:pPr>
              <w:jc w:val="right"/>
            </w:pPr>
            <w:r>
              <w:rPr>
                <w:color w:val="000000"/>
                <w:sz w:val="24"/>
                <w:szCs w:val="24"/>
              </w:rPr>
              <w:t>1.05</w:t>
            </w:r>
          </w:p>
        </w:tc>
      </w:tr>
      <w:tr>
        <w:tc>
          <w:tcPr>
            <w:vAlign w:val="center"/>
          </w:tcPr>
          <w:p>
            <w:pPr>
              <w:jc w:val="center"/>
            </w:pPr>
            <w:r>
              <w:rPr>
                <w:color w:val="000000"/>
                <w:sz w:val="24"/>
                <w:szCs w:val="24"/>
              </w:rPr>
              <w:t>2</w:t>
            </w:r>
          </w:p>
        </w:tc>
        <w:tc>
          <w:tcPr>
            <w:vAlign w:val="center"/>
          </w:tcPr>
          <w:p>
            <w:pPr>
              <w:jc w:val="center"/>
            </w:pPr>
            <w:r>
              <w:rPr>
                <w:color w:val="000000"/>
                <w:sz w:val="24"/>
                <w:szCs w:val="24"/>
              </w:rPr>
              <w:t>110051</w:t>
            </w:r>
          </w:p>
        </w:tc>
        <w:tc>
          <w:tcPr>
            <w:vAlign w:val="center"/>
          </w:tcPr>
          <w:p>
            <w:pPr>
              <w:jc w:val="center"/>
            </w:pPr>
            <w:r>
              <w:rPr>
                <w:color w:val="000000"/>
                <w:sz w:val="24"/>
                <w:szCs w:val="24"/>
              </w:rPr>
              <w:t>中天转债</w:t>
            </w:r>
          </w:p>
        </w:tc>
        <w:tc>
          <w:tcPr>
            <w:vAlign w:val="center"/>
          </w:tcPr>
          <w:p>
            <w:pPr>
              <w:jc w:val="right"/>
            </w:pPr>
            <w:r>
              <w:rPr>
                <w:color w:val="000000"/>
                <w:sz w:val="24"/>
                <w:szCs w:val="24"/>
              </w:rPr>
              <w:t>27,971,319.20</w:t>
            </w:r>
          </w:p>
        </w:tc>
        <w:tc>
          <w:tcPr>
            <w:vAlign w:val="center"/>
          </w:tcPr>
          <w:p>
            <w:pPr>
              <w:jc w:val="right"/>
            </w:pPr>
            <w:r>
              <w:rPr>
                <w:color w:val="000000"/>
                <w:sz w:val="24"/>
                <w:szCs w:val="24"/>
              </w:rPr>
              <w:t>0.88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1,599,553,005.13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276,917,915.76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256,248,412.79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1,620,222,508.10</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交银施罗德主题优选灵活配置混合型证券投资基金2020年第4季度报告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