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2279D3" w:rsidRDefault="002279D3" w:rsidRPr="0081286B">
      <w:pPr>
        <w:spacing w:before="29" w:line="288" w:lineRule="auto"/>
        <w:jc w:val="center"/>
        <w:rPr>
          <w:b/>
          <w:sz w:val="36"/>
          <w:szCs w:val="36"/>
        </w:rPr>
      </w:pPr>
      <w:r w:rsidRPr="0081286B">
        <w:rPr>
          <w:b/>
          <w:sz w:val="36"/>
          <w:szCs w:val="36"/>
        </w:rPr>
        <w:t>交银施罗德策略回报灵活配置混合型证券投资基金</w:t>
      </w:r>
    </w:p>
    <w:p w:rsidP="00C15CAC" w:rsidR="002279D3" w:rsidRDefault="002279D3" w:rsidRPr="0081286B">
      <w:pPr>
        <w:spacing w:before="29" w:line="288" w:lineRule="auto"/>
        <w:jc w:val="center"/>
        <w:rPr>
          <w:b/>
          <w:sz w:val="36"/>
          <w:szCs w:val="36"/>
        </w:rPr>
      </w:pPr>
      <w:r w:rsidRPr="0081286B">
        <w:rPr>
          <w:b/>
          <w:sz w:val="36"/>
          <w:szCs w:val="36"/>
        </w:rPr>
        <w:t>2020年第4季度报告</w:t>
      </w:r>
    </w:p>
    <w:p w:rsidP="00C15CAC" w:rsidR="004061AC" w:rsidRDefault="00655CD8" w:rsidRPr="0081286B">
      <w:pPr>
        <w:spacing w:before="29" w:line="288" w:lineRule="auto"/>
        <w:jc w:val="center"/>
        <w:rPr>
          <w:b/>
          <w:sz w:val="36"/>
          <w:szCs w:val="36"/>
        </w:rPr>
      </w:pPr>
      <w:r w:rsidRPr="0081286B">
        <w:rPr>
          <w:b/>
          <w:sz w:val="36"/>
          <w:szCs w:val="36"/>
        </w:rPr>
        <w:t>2020年12月31日</w:t>
      </w: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基金管理人：</w:t>
      </w:r>
      <w:r w:rsidRPr="0081286B">
        <w:rPr>
          <w:b/>
          <w:color w:val="000000"/>
          <w:sz w:val="24"/>
          <w:szCs w:val="24"/>
        </w:rPr>
        <w:t>交银施罗德基金管理有限公司</w:t>
      </w: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基金托管人：</w:t>
      </w:r>
      <w:r w:rsidRPr="0081286B">
        <w:rPr>
          <w:b/>
          <w:color w:val="000000"/>
          <w:sz w:val="24"/>
          <w:szCs w:val="24"/>
        </w:rPr>
        <w:t>中信银行股份有限公司</w:t>
      </w:r>
    </w:p>
    <w:p w:rsidP="00C15CAC" w:rsidR="004061AC" w:rsidRDefault="004061AC" w:rsidRPr="0081286B">
      <w:pPr>
        <w:spacing w:before="29" w:line="288" w:lineRule="auto"/>
        <w:ind w:firstLine="2168" w:firstLineChars="900"/>
        <w:rPr>
          <w:b/>
          <w:color w:val="000000"/>
          <w:sz w:val="24"/>
          <w:szCs w:val="24"/>
        </w:rPr>
        <w:sectPr w:rsidR="004061AC" w:rsidRPr="0081286B" w:rsidSect="00DC456F">
          <w:headerReference r:id="rId8" w:type="even"/>
          <w:headerReference r:id="rId9" w:type="default"/>
          <w:footerReference r:id="rId10" w:type="even"/>
          <w:footerReference r:id="rId11" w:type="default"/>
          <w:headerReference r:id="rId12" w:type="first"/>
          <w:footerReference r:id="rId13" w:type="first"/>
          <w:pgSz w:h="15840" w:w="11926"/>
          <w:pgMar w:bottom="851" w:footer="992" w:gutter="0" w:header="851" w:left="1440" w:right="1440" w:top="1418"/>
          <w:cols w:space="720"/>
          <w:noEndnote/>
          <w:titlePg/>
          <w:docGrid w:linePitch="286"/>
        </w:sectPr>
      </w:pPr>
      <w:r w:rsidRPr="0081286B">
        <w:rPr>
          <w:b/>
          <w:color w:val="000000"/>
          <w:sz w:val="24"/>
          <w:szCs w:val="24"/>
        </w:rPr>
        <w:t>报告送出日期：</w:t>
      </w:r>
      <w:r w:rsidR="00F16E3F" w:rsidRPr="0081286B">
        <w:rPr>
          <w:b/>
          <w:color w:val="000000"/>
          <w:sz w:val="24"/>
          <w:szCs w:val="24"/>
        </w:rPr>
        <w:t/>
      </w:r>
      <w:r w:rsidR="0042009D" w:rsidRPr="0081286B">
        <w:rPr>
          <w:b/>
          <w:color w:val="000000"/>
          <w:sz w:val="24"/>
          <w:szCs w:val="24"/>
        </w:rPr>
        <w:t/>
      </w:r>
      <w:r w:rsidR="00F16E3F" w:rsidRPr="0081286B">
        <w:rPr>
          <w:b/>
          <w:color w:val="000000"/>
          <w:sz w:val="24"/>
          <w:szCs w:val="24"/>
        </w:rPr>
        <w:t>二〇二一年一月二十一日</w:t>
      </w:r>
    </w:p>
    <w:p w:rsidP="0011537B" w:rsidR="004061AC" w:rsidRDefault="004061AC" w:rsidRPr="00414345">
      <w:pPr>
        <w:pStyle w:val="1"/>
        <w:spacing w:after="312" w:afterLines="100" w:before="312" w:beforeLines="100"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pPr>
        <w:spacing w:before="29" w:line="288" w:lineRule="auto"/>
        <w:ind w:firstLine="480" w:firstLineChars="200"/>
        <w:rPr>
          <w:color w:val="000000"/>
          <w:sz w:val="24"/>
          <w:szCs w:val="24"/>
        </w:rPr>
      </w:pPr>
      <w:r>
        <w:rPr>
          <w:color w:val="000000"/>
          <w:sz w:val="24"/>
          <w:szCs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480" w:firstLineChars="200"/>
        <w:rPr>
          <w:color w:val="000000"/>
          <w:sz w:val="24"/>
          <w:szCs w:val="24"/>
        </w:rPr>
      </w:pPr>
      <w:r>
        <w:rPr>
          <w:color w:val="000000"/>
          <w:sz w:val="24"/>
          <w:szCs w:val="24"/>
        </w:rPr>
        <w:t xml:space="preserve">基金托管人中信银行股份有限公司根据本基金合同规定，于2021年1月20日复核了本报告中的财务指标、净值表现和投资组合报告等内容，保证复核内容不存在虚假记载、误导性陈述或者重大遗漏。 </w:t>
      </w:r>
    </w:p>
    <w:p>
      <w:pPr>
        <w:spacing w:before="29" w:line="288" w:lineRule="auto"/>
        <w:ind w:firstLine="480" w:firstLineChars="200"/>
        <w:rPr>
          <w:color w:val="000000"/>
          <w:sz w:val="24"/>
          <w:szCs w:val="24"/>
        </w:rPr>
      </w:pPr>
      <w:r>
        <w:rPr>
          <w:color w:val="000000"/>
          <w:sz w:val="24"/>
          <w:szCs w:val="24"/>
        </w:rPr>
        <w:t xml:space="preserve">基金管理人承诺以诚实信用、勤勉尽责的原则管理和运用基金资产，但不保证基金一定盈利。 </w:t>
      </w:r>
    </w:p>
    <w:p>
      <w:pPr>
        <w:spacing w:before="29" w:line="288" w:lineRule="auto"/>
        <w:ind w:firstLine="480" w:firstLineChars="200"/>
        <w:rPr>
          <w:color w:val="000000"/>
          <w:sz w:val="24"/>
          <w:szCs w:val="24"/>
        </w:rPr>
      </w:pPr>
      <w:r>
        <w:rPr>
          <w:color w:val="000000"/>
          <w:sz w:val="24"/>
          <w:szCs w:val="24"/>
        </w:rPr>
        <w:t xml:space="preserve">基金的过往业绩并不代表其未来表现。投资有风险，投资者在作出投资决策前应仔细阅读本基金的招募说明书。 </w:t>
      </w:r>
    </w:p>
    <w:p>
      <w:pPr>
        <w:spacing w:before="29" w:line="288" w:lineRule="auto"/>
        <w:ind w:firstLine="480" w:firstLineChars="200"/>
        <w:rPr>
          <w:color w:val="000000"/>
          <w:sz w:val="24"/>
          <w:szCs w:val="24"/>
        </w:rPr>
      </w:pPr>
      <w:r>
        <w:rPr>
          <w:color w:val="000000"/>
          <w:sz w:val="24"/>
          <w:szCs w:val="24"/>
        </w:rPr>
        <w:t>本报告中财务资料未经审计。</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本报告期自2020年10月1日起至12月31日止。</w:t>
      </w:r>
    </w:p>
    <w:p w:rsidP="00C15CAC" w:rsidR="00627E2D" w:rsidRDefault="00627E2D" w:rsidRPr="00414345">
      <w:pPr>
        <w:spacing w:before="29" w:line="288" w:lineRule="auto"/>
        <w:ind w:firstLine="480" w:firstLineChars="200"/>
        <w:rPr>
          <w:color w:val="00000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3023"/>
        <w:gridCol w:w="2922"/>
        <w:gridCol w:w="2923"/>
      </w:tblGrid>
      <w:tr w:rsidR="004061AC" w:rsidRPr="00414345" w:rsidTr="006E6726">
        <w:trPr>
          <w:jc w:val="center"/>
        </w:trPr>
        <w:tc>
          <w:tcPr>
            <w:tcW w:type="dxa" w:w="3023"/>
            <w:vAlign w:val="center"/>
          </w:tcPr>
          <w:p w:rsidP="00C15CAC" w:rsidR="004061AC" w:rsidRDefault="004061AC" w:rsidRPr="00414345">
            <w:pPr>
              <w:adjustRightInd w:val="0"/>
              <w:spacing w:before="29" w:line="288" w:lineRule="auto"/>
              <w:ind w:left="17"/>
              <w:jc w:val="left"/>
              <w:rPr>
                <w:kern w:val="0"/>
                <w:sz w:val="24"/>
                <w:szCs w:val="24"/>
              </w:rPr>
            </w:pPr>
            <w:r w:rsidRPr="00414345">
              <w:rPr>
                <w:kern w:val="0"/>
                <w:sz w:val="24"/>
                <w:szCs w:val="24"/>
              </w:rPr>
              <w:t>基金简称</w:t>
            </w:r>
          </w:p>
        </w:tc>
        <w:tc>
          <w:tcPr>
            <w:tcW w:type="dxa" w:w="5845"/>
            <w:gridSpan w:val="2"/>
            <w:vAlign w:val="center"/>
          </w:tcPr>
          <w:p w:rsidP="00C15CAC" w:rsidR="004061AC" w:rsidRDefault="004061AC" w:rsidRPr="00414345">
            <w:pPr>
              <w:adjustRightInd w:val="0"/>
              <w:spacing w:before="29" w:line="288" w:lineRule="auto"/>
              <w:ind w:left="17"/>
              <w:jc w:val="left"/>
              <w:rPr>
                <w:color w:val="000000"/>
                <w:kern w:val="0"/>
                <w:sz w:val="24"/>
                <w:szCs w:val="24"/>
              </w:rPr>
            </w:pPr>
            <w:r w:rsidRPr="00414345">
              <w:rPr>
                <w:color w:val="000000"/>
                <w:kern w:val="0"/>
                <w:sz w:val="24"/>
                <w:szCs w:val="24"/>
              </w:rPr>
              <w:t>交银策略回报灵活配置混合</w:t>
            </w:r>
          </w:p>
        </w:tc>
      </w:tr>
      <w:tr w:rsidR="00D94B8D"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kern w:val="0"/>
                <w:sz w:val="24"/>
                <w:szCs w:val="24"/>
              </w:rPr>
            </w:pPr>
            <w:r w:rsidRPr="00414345">
              <w:rPr>
                <w:kern w:val="0"/>
                <w:sz w:val="24"/>
                <w:szCs w:val="24"/>
              </w:rPr>
              <w:t>基金主代码</w:t>
            </w:r>
          </w:p>
        </w:tc>
        <w:tc>
          <w:tcPr>
            <w:tcW w:type="dxa" w:w="5845"/>
            <w:gridSpan w:val="2"/>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color w:val="000000"/>
                <w:kern w:val="0"/>
                <w:sz w:val="24"/>
                <w:szCs w:val="24"/>
              </w:rPr>
            </w:pPr>
            <w:r w:rsidRPr="00414345">
              <w:rPr>
                <w:color w:val="000000"/>
                <w:kern w:val="0"/>
                <w:sz w:val="24"/>
                <w:szCs w:val="24"/>
              </w:rPr>
              <w:t>519710</w:t>
            </w:r>
          </w:p>
        </w:tc>
      </w:tr>
      <w:tr w:rsidR="001B2F35"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tcPr>
          <w:p w:rsidP="00C15CAC" w:rsidR="001B2F35" w:rsidRDefault="001B2F35" w:rsidRPr="00414345">
            <w:pPr>
              <w:adjustRightInd w:val="0"/>
              <w:spacing w:before="29" w:line="288" w:lineRule="auto"/>
              <w:ind w:left="17"/>
              <w:jc w:val="left"/>
              <w:rPr>
                <w:kern w:val="0"/>
                <w:sz w:val="24"/>
                <w:szCs w:val="24"/>
              </w:rPr>
            </w:pPr>
            <w:r w:rsidRPr="00414345">
              <w:rPr>
                <w:kern w:val="0"/>
                <w:sz w:val="24"/>
                <w:szCs w:val="24"/>
              </w:rPr>
              <w:t>交易代码</w:t>
            </w:r>
          </w:p>
        </w:tc>
        <w:tc>
          <w:tcPr>
            <w:tcW w:type="dxa" w:w="5845"/>
            <w:gridSpan w:val="2"/>
            <w:tcBorders>
              <w:top w:color="auto" w:space="0" w:sz="4" w:val="single"/>
              <w:left w:color="auto" w:space="0" w:sz="4" w:val="single"/>
              <w:bottom w:color="auto" w:space="0" w:sz="4" w:val="single"/>
              <w:right w:color="auto" w:space="0" w:sz="4" w:val="single"/>
            </w:tcBorders>
            <w:vAlign w:val="center"/>
          </w:tcPr>
          <w:p w:rsidP="00C15CAC" w:rsidR="001B2F35" w:rsidRDefault="00C5218C" w:rsidRPr="00414345">
            <w:pPr>
              <w:adjustRightInd w:val="0"/>
              <w:spacing w:before="29" w:line="288" w:lineRule="auto"/>
              <w:ind w:left="17"/>
              <w:jc w:val="left"/>
              <w:rPr>
                <w:color w:val="000000"/>
                <w:kern w:val="0"/>
                <w:sz w:val="24"/>
                <w:szCs w:val="24"/>
              </w:rPr>
            </w:pPr>
            <w:r w:rsidRPr="00414345">
              <w:rPr>
                <w:kern w:val="0"/>
                <w:sz w:val="24"/>
              </w:rPr>
              <w:t>519710</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基金运作方式</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基金合同生效日</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2015年6月27日</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报告期末基金份额总额</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254,715,667.34</w:t>
            </w:r>
            <w:r w:rsidRPr="00414345">
              <w:rPr>
                <w:color w:val="000000"/>
                <w:kern w:val="0"/>
                <w:sz w:val="24"/>
                <w:szCs w:val="24"/>
              </w:rPr>
              <w:t>份</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投资目标</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本基金根据对宏观经济周期和市场环境的分析研究，自上而下配置资产，并通过对类属资产灵活运用多种投资策略，力争实现基金资产的长期稳定增值。</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投资策略</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将通过“自上而下”的定性分析和定量分析相结合以实现大类资产的灵活配置。本基金首先利用经济周期理论，对宏观经济的经济周期进行预测，在此基础上形成对不同资产市场表现的预测和判断，确定基金资产在各类别资产间的分配比例，并随着各类证券风险收益特征的相对变化，动态调整组合中各类资产的比例，以规避或分散市场风险，提高基金收益率。</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业绩比较基准</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60%×沪深300指数收益率+40%×中证综合债券指数收益率</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风险收益特征</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本基金为混合型证券投资基金，其预期收益和风险高于货币市场基金、债券型基金，而低于股票型基金，属于证券投资基金中的中高风险品种。</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基金管理人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基金托管人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中信银行股份有限公司</w:t>
            </w:r>
          </w:p>
        </w:tc>
      </w:tr>
    </w:tbl>
    <w:p w:rsidP="00C15CAC" w:rsidR="005910BF" w:rsidRDefault="005910BF" w:rsidRPr="00414345">
      <w:pPr>
        <w:autoSpaceDE w:val="0"/>
        <w:autoSpaceDN w:val="0"/>
        <w:adjustRightInd w:val="0"/>
        <w:spacing w:before="29" w:line="288" w:lineRule="auto"/>
        <w:jc w:val="left"/>
        <w:rPr>
          <w:color w:val="000000"/>
          <w:kern w:val="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607"/>
        <w:gridCol w:w="2706"/>
        <w:gridCol w:w="2555"/>
      </w:tblGrid>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jc w:val="center"/>
              <w:rPr>
                <w:kern w:val="0"/>
                <w:sz w:val="24"/>
                <w:szCs w:val="24"/>
              </w:rPr>
            </w:pPr>
            <w:r w:rsidRPr="00414345">
              <w:rPr>
                <w:kern w:val="0"/>
                <w:sz w:val="24"/>
                <w:szCs w:val="24"/>
              </w:rPr>
              <w:t>主要财务指标</w:t>
            </w:r>
            <w:r w:rsidR="00D96C8D" w:rsidRPr="00414345">
              <w:rPr>
                <w:kern w:val="0"/>
                <w:sz w:val="24"/>
                <w:szCs w:val="24"/>
              </w:rPr>
              <w:t/>
            </w:r>
          </w:p>
        </w:tc>
        <w:tc>
          <w:tcPr>
            <w:tcW w:type="dxa" w:w="4962"/>
            <w:hMerge w:val="restart"/>
            <w:vAlign w:val="center"/>
          </w:tcPr>
          <w:p w:rsidP="00C15CAC" w:rsidR="009C60F7" w:rsidRDefault="009C60F7" w:rsidRPr="00414345">
            <w:pPr>
              <w:adjustRightInd w:val="0"/>
              <w:spacing w:before="29" w:line="288" w:lineRule="auto"/>
              <w:ind w:left="17"/>
              <w:jc w:val="center"/>
              <w:rPr>
                <w:color w:val="000000"/>
                <w:sz w:val="24"/>
                <w:szCs w:val="24"/>
              </w:rPr>
            </w:pPr>
            <w:r w:rsidRPr="00414345">
              <w:rPr>
                <w:color w:val="000000"/>
                <w:sz w:val="24"/>
                <w:szCs w:val="24"/>
              </w:rPr>
              <w:t>报告期</w:t>
            </w:r>
          </w:p>
          <w:p w:rsidP="00C15CAC" w:rsidR="00C21520" w:rsidRDefault="009C60F7" w:rsidRPr="00414345">
            <w:pPr>
              <w:adjustRightInd w:val="0"/>
              <w:spacing w:before="29" w:line="288" w:lineRule="auto"/>
              <w:ind w:left="17"/>
              <w:jc w:val="center"/>
              <w:rPr>
                <w:color w:val="000000"/>
                <w:sz w:val="24"/>
                <w:szCs w:val="24"/>
              </w:rPr>
            </w:pPr>
            <w:r w:rsidRPr="00414345">
              <w:rPr>
                <w:color w:val="000000"/>
                <w:sz w:val="24"/>
                <w:szCs w:val="24"/>
              </w:rPr>
              <w:t>(2020年10月1日-2020年12月31日)</w:t>
            </w:r>
          </w:p>
        </w:tc>
        <w:tc>
          <w:tcPr>
            <w:tcW w:type="dxa" w:w="2410"/>
            <w:hMerge/>
            <w:vAlign w:val="center"/>
          </w:tcPr>
          <w:p w:rsidP="00C15CAC" w:rsidR="00C21520" w:rsidRDefault="00C21520" w:rsidRPr="00414345">
            <w:pPr>
              <w:adjustRightInd w:val="0"/>
              <w:spacing w:before="29" w:line="288" w:lineRule="auto"/>
              <w:ind w:left="17"/>
              <w:jc w:val="center"/>
              <w:rPr>
                <w:color w:val="000000"/>
                <w:sz w:val="24"/>
                <w:szCs w:val="24"/>
              </w:rPr>
            </w:pPr>
            <w:r w:rsidRPr="00414345">
              <w:rPr>
                <w:color w:val="000000"/>
                <w:sz w:val="24"/>
                <w:szCs w:val="24"/>
              </w:rPr>
              <w:t>上期金额</w:t>
            </w:r>
            <w:r w:rsidR="006A7AF1" w:rsidRPr="00414345">
              <w:rPr>
                <w:color w:val="000000"/>
                <w:sz w:val="24"/>
                <w:szCs w:val="24"/>
              </w:rPr>
              <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lastRenderedPageBreak/>
              <w:t>1.</w:t>
            </w:r>
            <w:r w:rsidRPr="00414345">
              <w:rPr>
                <w:kern w:val="0"/>
                <w:sz w:val="24"/>
                <w:szCs w:val="24"/>
              </w:rPr>
              <w:t>本期已实现收益</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40,823,326.98</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110,149,932.10</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0.4478</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535,711,434.99</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trHeight w:val="158"/>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2.103</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bl>
    <w:p>
      <w:pPr>
        <w:autoSpaceDE w:val="0"/>
        <w:autoSpaceDN w:val="0"/>
        <w:adjustRightInd w:val="0"/>
        <w:spacing w:before="29" w:line="288" w:lineRule="auto"/>
        <w:jc w:val="left"/>
        <w:rPr>
          <w:color w:val="000000"/>
          <w:sz w:val="24"/>
          <w:szCs w:val="24"/>
        </w:rPr>
      </w:pPr>
      <w:r>
        <w:rPr>
          <w:color w:val="000000"/>
          <w:sz w:val="24"/>
          <w:szCs w:val="24"/>
        </w:rPr>
        <w:t xml:space="preserve">注：1、上述基金业绩指标不包括持有人认购或交易基金的各项费用，计入费用后的实际收益水平要低于所列数字； </w:t>
      </w:r>
    </w:p>
    <w:p w:rsidP="00C15CAC" w:rsidR="004061AC" w:rsidRDefault="00A5612C"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xml:space="preserve">    2、本期已实现收益指基金本期利息收入、投资收益、其他收入（不含公允价值变动收益）扣除相关费用后的余额，本期利润为本期已实现收益加上本期公允价值变动收益。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P="00C15CAC" w:rsidR="00CF6572"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type="dxa" w:w="8868"/>
        <w:jc w:val="center"/>
        <w:tblLayout w:type="fixed"/>
        <w:tblCellMar>
          <w:top w:type="dxa" w:w="57"/>
          <w:bottom w:type="dxa" w:w="57"/>
        </w:tblCellMar>
        <w:tblLook w:firstColumn="1" w:firstRow="1" w:lastColumn="0" w:lastRow="0" w:noHBand="0" w:noVBand="1" w:val="04A0"/>
      </w:tblPr>
      <w:tblGrid>
        <w:gridCol w:w="1701"/>
        <w:gridCol w:w="1045"/>
        <w:gridCol w:w="1344"/>
        <w:gridCol w:w="1194"/>
        <w:gridCol w:w="1492"/>
        <w:gridCol w:w="1194"/>
        <w:gridCol w:w="898"/>
      </w:tblGrid>
      <w:tr w:rsidR="00EF6FA5" w:rsidRPr="00414345" w:rsidTr="00A324F4">
        <w:trPr>
          <w:jc w:val="center"/>
        </w:trPr>
        <w:tc>
          <w:tcPr>
            <w:tcW w:type="dxa" w:w="161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r w:rsidR="00200FAB" w:rsidRPr="00414345">
              <w:rPr>
                <w:color w:val="000000"/>
                <w:sz w:val="24"/>
                <w:szCs w:val="24"/>
              </w:rPr>
              <w:t/>
            </w:r>
          </w:p>
        </w:tc>
        <w:tc>
          <w:tcPr>
            <w:tcW w:type="dxa" w:w="992"/>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type="dxa" w:w="1276"/>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type="dxa" w:w="1417"/>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type="dxa" w:w="853"/>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tc>
          <w:tcPr>
            <w:vAlign w:val="center"/>
          </w:tcPr>
          <w:p>
            <w:pPr>
              <w:jc w:val="left"/>
            </w:pPr>
            <w:r>
              <w:rPr>
                <w:color w:val="000000"/>
                <w:sz w:val="24"/>
                <w:szCs w:val="24"/>
              </w:rPr>
              <w:t>过去三个月</w:t>
            </w:r>
          </w:p>
        </w:tc>
        <w:tc>
          <w:tcPr>
            <w:vAlign w:val="center"/>
          </w:tcPr>
          <w:p>
            <w:pPr>
              <w:jc w:val="center"/>
            </w:pPr>
            <w:r>
              <w:rPr>
                <w:color w:val="000000"/>
                <w:sz w:val="24"/>
                <w:szCs w:val="24"/>
              </w:rPr>
              <w:t>26.99%</w:t>
            </w:r>
          </w:p>
        </w:tc>
        <w:tc>
          <w:tcPr>
            <w:vAlign w:val="center"/>
          </w:tcPr>
          <w:p>
            <w:pPr>
              <w:jc w:val="center"/>
            </w:pPr>
            <w:r>
              <w:rPr>
                <w:color w:val="000000"/>
                <w:sz w:val="24"/>
                <w:szCs w:val="24"/>
              </w:rPr>
              <w:t>1.06%</w:t>
            </w:r>
          </w:p>
        </w:tc>
        <w:tc>
          <w:tcPr>
            <w:vAlign w:val="center"/>
          </w:tcPr>
          <w:p>
            <w:pPr>
              <w:jc w:val="center"/>
            </w:pPr>
            <w:r>
              <w:rPr>
                <w:color w:val="000000"/>
                <w:sz w:val="24"/>
                <w:szCs w:val="24"/>
              </w:rPr>
              <w:t>8.55%</w:t>
            </w:r>
          </w:p>
        </w:tc>
        <w:tc>
          <w:tcPr>
            <w:vAlign w:val="center"/>
          </w:tcPr>
          <w:p>
            <w:pPr>
              <w:jc w:val="center"/>
            </w:pPr>
            <w:r>
              <w:rPr>
                <w:color w:val="000000"/>
                <w:sz w:val="24"/>
                <w:szCs w:val="24"/>
              </w:rPr>
              <w:t>0.59%</w:t>
            </w:r>
          </w:p>
        </w:tc>
        <w:tc>
          <w:tcPr>
            <w:vAlign w:val="center"/>
          </w:tcPr>
          <w:p>
            <w:pPr>
              <w:jc w:val="center"/>
            </w:pPr>
            <w:r>
              <w:rPr>
                <w:color w:val="000000"/>
                <w:sz w:val="24"/>
                <w:szCs w:val="24"/>
              </w:rPr>
              <w:t>18.44%</w:t>
            </w:r>
          </w:p>
        </w:tc>
        <w:tc>
          <w:tcPr>
            <w:vAlign w:val="center"/>
          </w:tcPr>
          <w:p>
            <w:pPr>
              <w:jc w:val="center"/>
            </w:pPr>
            <w:r>
              <w:rPr>
                <w:color w:val="000000"/>
                <w:sz w:val="24"/>
                <w:szCs w:val="24"/>
              </w:rPr>
              <w:t>0.47%</w:t>
            </w:r>
          </w:p>
        </w:tc>
      </w:tr>
      <w:tr>
        <w:tc>
          <w:tcPr>
            <w:vAlign w:val="center"/>
          </w:tcPr>
          <w:p>
            <w:pPr>
              <w:jc w:val="left"/>
            </w:pPr>
            <w:r>
              <w:rPr>
                <w:color w:val="000000"/>
                <w:sz w:val="24"/>
                <w:szCs w:val="24"/>
              </w:rPr>
              <w:t>过去六个月</w:t>
            </w:r>
          </w:p>
        </w:tc>
        <w:tc>
          <w:tcPr>
            <w:vAlign w:val="center"/>
          </w:tcPr>
          <w:p>
            <w:pPr>
              <w:jc w:val="center"/>
            </w:pPr>
            <w:r>
              <w:rPr>
                <w:color w:val="000000"/>
                <w:sz w:val="24"/>
                <w:szCs w:val="24"/>
              </w:rPr>
              <w:t>49.04%</w:t>
            </w:r>
          </w:p>
        </w:tc>
        <w:tc>
          <w:tcPr>
            <w:vAlign w:val="center"/>
          </w:tcPr>
          <w:p>
            <w:pPr>
              <w:jc w:val="center"/>
            </w:pPr>
            <w:r>
              <w:rPr>
                <w:color w:val="000000"/>
                <w:sz w:val="24"/>
                <w:szCs w:val="24"/>
              </w:rPr>
              <w:t>1.26%</w:t>
            </w:r>
          </w:p>
        </w:tc>
        <w:tc>
          <w:tcPr>
            <w:vAlign w:val="center"/>
          </w:tcPr>
          <w:p>
            <w:pPr>
              <w:jc w:val="center"/>
            </w:pPr>
            <w:r>
              <w:rPr>
                <w:color w:val="000000"/>
                <w:sz w:val="24"/>
                <w:szCs w:val="24"/>
              </w:rPr>
              <w:t>15.02%</w:t>
            </w:r>
          </w:p>
        </w:tc>
        <w:tc>
          <w:tcPr>
            <w:vAlign w:val="center"/>
          </w:tcPr>
          <w:p>
            <w:pPr>
              <w:jc w:val="center"/>
            </w:pPr>
            <w:r>
              <w:rPr>
                <w:color w:val="000000"/>
                <w:sz w:val="24"/>
                <w:szCs w:val="24"/>
              </w:rPr>
              <w:t>0.80%</w:t>
            </w:r>
          </w:p>
        </w:tc>
        <w:tc>
          <w:tcPr>
            <w:vAlign w:val="center"/>
          </w:tcPr>
          <w:p>
            <w:pPr>
              <w:jc w:val="center"/>
            </w:pPr>
            <w:r>
              <w:rPr>
                <w:color w:val="000000"/>
                <w:sz w:val="24"/>
                <w:szCs w:val="24"/>
              </w:rPr>
              <w:t>34.02%</w:t>
            </w:r>
          </w:p>
        </w:tc>
        <w:tc>
          <w:tcPr>
            <w:vAlign w:val="center"/>
          </w:tcPr>
          <w:p>
            <w:pPr>
              <w:jc w:val="center"/>
            </w:pPr>
            <w:r>
              <w:rPr>
                <w:color w:val="000000"/>
                <w:sz w:val="24"/>
                <w:szCs w:val="24"/>
              </w:rPr>
              <w:t>0.46%</w:t>
            </w:r>
          </w:p>
        </w:tc>
      </w:tr>
      <w:tr>
        <w:tc>
          <w:tcPr>
            <w:vAlign w:val="center"/>
          </w:tcPr>
          <w:p>
            <w:pPr>
              <w:jc w:val="left"/>
            </w:pPr>
            <w:r>
              <w:rPr>
                <w:color w:val="000000"/>
                <w:sz w:val="24"/>
                <w:szCs w:val="24"/>
              </w:rPr>
              <w:t>过去一年</w:t>
            </w:r>
          </w:p>
        </w:tc>
        <w:tc>
          <w:tcPr>
            <w:vAlign w:val="center"/>
          </w:tcPr>
          <w:p>
            <w:pPr>
              <w:jc w:val="center"/>
            </w:pPr>
            <w:r>
              <w:rPr>
                <w:color w:val="000000"/>
                <w:sz w:val="24"/>
                <w:szCs w:val="24"/>
              </w:rPr>
              <w:t>91.01%</w:t>
            </w:r>
          </w:p>
        </w:tc>
        <w:tc>
          <w:tcPr>
            <w:vAlign w:val="center"/>
          </w:tcPr>
          <w:p>
            <w:pPr>
              <w:jc w:val="center"/>
            </w:pPr>
            <w:r>
              <w:rPr>
                <w:color w:val="000000"/>
                <w:sz w:val="24"/>
                <w:szCs w:val="24"/>
              </w:rPr>
              <w:t>1.37%</w:t>
            </w:r>
          </w:p>
        </w:tc>
        <w:tc>
          <w:tcPr>
            <w:vAlign w:val="center"/>
          </w:tcPr>
          <w:p>
            <w:pPr>
              <w:jc w:val="center"/>
            </w:pPr>
            <w:r>
              <w:rPr>
                <w:color w:val="000000"/>
                <w:sz w:val="24"/>
                <w:szCs w:val="24"/>
              </w:rPr>
              <w:t>17.63%</w:t>
            </w:r>
          </w:p>
        </w:tc>
        <w:tc>
          <w:tcPr>
            <w:vAlign w:val="center"/>
          </w:tcPr>
          <w:p>
            <w:pPr>
              <w:jc w:val="center"/>
            </w:pPr>
            <w:r>
              <w:rPr>
                <w:color w:val="000000"/>
                <w:sz w:val="24"/>
                <w:szCs w:val="24"/>
              </w:rPr>
              <w:t>0.85%</w:t>
            </w:r>
          </w:p>
        </w:tc>
        <w:tc>
          <w:tcPr>
            <w:vAlign w:val="center"/>
          </w:tcPr>
          <w:p>
            <w:pPr>
              <w:jc w:val="center"/>
            </w:pPr>
            <w:r>
              <w:rPr>
                <w:color w:val="000000"/>
                <w:sz w:val="24"/>
                <w:szCs w:val="24"/>
              </w:rPr>
              <w:t>73.38%</w:t>
            </w:r>
          </w:p>
        </w:tc>
        <w:tc>
          <w:tcPr>
            <w:vAlign w:val="center"/>
          </w:tcPr>
          <w:p>
            <w:pPr>
              <w:jc w:val="center"/>
            </w:pPr>
            <w:r>
              <w:rPr>
                <w:color w:val="000000"/>
                <w:sz w:val="24"/>
                <w:szCs w:val="24"/>
              </w:rPr>
              <w:t>0.52%</w:t>
            </w:r>
          </w:p>
        </w:tc>
      </w:tr>
      <w:tr>
        <w:tc>
          <w:tcPr>
            <w:vAlign w:val="center"/>
          </w:tcPr>
          <w:p>
            <w:pPr>
              <w:jc w:val="left"/>
            </w:pPr>
            <w:r>
              <w:rPr>
                <w:color w:val="000000"/>
                <w:sz w:val="24"/>
                <w:szCs w:val="24"/>
              </w:rPr>
              <w:t>过去三年</w:t>
            </w:r>
          </w:p>
        </w:tc>
        <w:tc>
          <w:tcPr>
            <w:vAlign w:val="center"/>
          </w:tcPr>
          <w:p>
            <w:pPr>
              <w:jc w:val="center"/>
            </w:pPr>
            <w:r>
              <w:rPr>
                <w:color w:val="000000"/>
                <w:sz w:val="24"/>
                <w:szCs w:val="24"/>
              </w:rPr>
              <w:t>93.94%</w:t>
            </w:r>
          </w:p>
        </w:tc>
        <w:tc>
          <w:tcPr>
            <w:vAlign w:val="center"/>
          </w:tcPr>
          <w:p>
            <w:pPr>
              <w:jc w:val="center"/>
            </w:pPr>
            <w:r>
              <w:rPr>
                <w:color w:val="000000"/>
                <w:sz w:val="24"/>
                <w:szCs w:val="24"/>
              </w:rPr>
              <w:t>1.33%</w:t>
            </w:r>
          </w:p>
        </w:tc>
        <w:tc>
          <w:tcPr>
            <w:vAlign w:val="center"/>
          </w:tcPr>
          <w:p>
            <w:pPr>
              <w:jc w:val="center"/>
            </w:pPr>
            <w:r>
              <w:rPr>
                <w:color w:val="000000"/>
                <w:sz w:val="24"/>
                <w:szCs w:val="24"/>
              </w:rPr>
              <w:t>26.08%</w:t>
            </w:r>
          </w:p>
        </w:tc>
        <w:tc>
          <w:tcPr>
            <w:vAlign w:val="center"/>
          </w:tcPr>
          <w:p>
            <w:pPr>
              <w:jc w:val="center"/>
            </w:pPr>
            <w:r>
              <w:rPr>
                <w:color w:val="000000"/>
                <w:sz w:val="24"/>
                <w:szCs w:val="24"/>
              </w:rPr>
              <w:t>0.80%</w:t>
            </w:r>
          </w:p>
        </w:tc>
        <w:tc>
          <w:tcPr>
            <w:vAlign w:val="center"/>
          </w:tcPr>
          <w:p>
            <w:pPr>
              <w:jc w:val="center"/>
            </w:pPr>
            <w:r>
              <w:rPr>
                <w:color w:val="000000"/>
                <w:sz w:val="24"/>
                <w:szCs w:val="24"/>
              </w:rPr>
              <w:t>67.86%</w:t>
            </w:r>
          </w:p>
        </w:tc>
        <w:tc>
          <w:tcPr>
            <w:vAlign w:val="center"/>
          </w:tcPr>
          <w:p>
            <w:pPr>
              <w:jc w:val="center"/>
            </w:pPr>
            <w:r>
              <w:rPr>
                <w:color w:val="000000"/>
                <w:sz w:val="24"/>
                <w:szCs w:val="24"/>
              </w:rPr>
              <w:t>0.53%</w:t>
            </w:r>
          </w:p>
        </w:tc>
      </w:tr>
      <w:tr>
        <w:tc>
          <w:tcPr>
            <w:vAlign w:val="center"/>
          </w:tcPr>
          <w:p>
            <w:pPr>
              <w:jc w:val="left"/>
            </w:pPr>
            <w:r>
              <w:rPr>
                <w:color w:val="000000"/>
                <w:sz w:val="24"/>
                <w:szCs w:val="24"/>
              </w:rPr>
              <w:t>过去五年</w:t>
            </w:r>
          </w:p>
        </w:tc>
        <w:tc>
          <w:tcPr>
            <w:vAlign w:val="center"/>
          </w:tcPr>
          <w:p>
            <w:pPr>
              <w:jc w:val="center"/>
            </w:pPr>
            <w:r>
              <w:rPr>
                <w:color w:val="000000"/>
                <w:sz w:val="24"/>
                <w:szCs w:val="24"/>
              </w:rPr>
              <w:t>181.37%</w:t>
            </w:r>
          </w:p>
        </w:tc>
        <w:tc>
          <w:tcPr>
            <w:vAlign w:val="center"/>
          </w:tcPr>
          <w:p>
            <w:pPr>
              <w:jc w:val="center"/>
            </w:pPr>
            <w:r>
              <w:rPr>
                <w:color w:val="000000"/>
                <w:sz w:val="24"/>
                <w:szCs w:val="24"/>
              </w:rPr>
              <w:t>1.26%</w:t>
            </w:r>
          </w:p>
        </w:tc>
        <w:tc>
          <w:tcPr>
            <w:vAlign w:val="center"/>
          </w:tcPr>
          <w:p>
            <w:pPr>
              <w:jc w:val="center"/>
            </w:pPr>
            <w:r>
              <w:rPr>
                <w:color w:val="000000"/>
                <w:sz w:val="24"/>
                <w:szCs w:val="24"/>
              </w:rPr>
              <w:t>34.27%</w:t>
            </w:r>
          </w:p>
        </w:tc>
        <w:tc>
          <w:tcPr>
            <w:vAlign w:val="center"/>
          </w:tcPr>
          <w:p>
            <w:pPr>
              <w:jc w:val="center"/>
            </w:pPr>
            <w:r>
              <w:rPr>
                <w:color w:val="000000"/>
                <w:sz w:val="24"/>
                <w:szCs w:val="24"/>
              </w:rPr>
              <w:t>0.75%</w:t>
            </w:r>
          </w:p>
        </w:tc>
        <w:tc>
          <w:tcPr>
            <w:vAlign w:val="center"/>
          </w:tcPr>
          <w:p>
            <w:pPr>
              <w:jc w:val="center"/>
            </w:pPr>
            <w:r>
              <w:rPr>
                <w:color w:val="000000"/>
                <w:sz w:val="24"/>
                <w:szCs w:val="24"/>
              </w:rPr>
              <w:t>147.10%</w:t>
            </w:r>
          </w:p>
        </w:tc>
        <w:tc>
          <w:tcPr>
            <w:vAlign w:val="center"/>
          </w:tcPr>
          <w:p>
            <w:pPr>
              <w:jc w:val="center"/>
            </w:pPr>
            <w:r>
              <w:rPr>
                <w:color w:val="000000"/>
                <w:sz w:val="24"/>
                <w:szCs w:val="24"/>
              </w:rPr>
              <w:t>0.51%</w:t>
            </w:r>
          </w:p>
        </w:tc>
      </w:tr>
      <w:tr>
        <w:tc>
          <w:tcPr>
            <w:vAlign w:val="center"/>
          </w:tcPr>
          <w:p>
            <w:pPr>
              <w:jc w:val="left"/>
            </w:pPr>
            <w:r>
              <w:rPr>
                <w:color w:val="000000"/>
                <w:sz w:val="24"/>
                <w:szCs w:val="24"/>
              </w:rPr>
              <w:t>自基金合同生效起至今</w:t>
            </w:r>
          </w:p>
        </w:tc>
        <w:tc>
          <w:tcPr>
            <w:vAlign w:val="center"/>
          </w:tcPr>
          <w:p>
            <w:pPr>
              <w:jc w:val="center"/>
            </w:pPr>
            <w:r>
              <w:rPr>
                <w:color w:val="000000"/>
                <w:sz w:val="24"/>
                <w:szCs w:val="24"/>
              </w:rPr>
              <w:t>151.04%</w:t>
            </w:r>
          </w:p>
        </w:tc>
        <w:tc>
          <w:tcPr>
            <w:vAlign w:val="center"/>
          </w:tcPr>
          <w:p>
            <w:pPr>
              <w:jc w:val="center"/>
            </w:pPr>
            <w:r>
              <w:rPr>
                <w:color w:val="000000"/>
                <w:sz w:val="24"/>
                <w:szCs w:val="24"/>
              </w:rPr>
              <w:t>1.44%</w:t>
            </w:r>
          </w:p>
        </w:tc>
        <w:tc>
          <w:tcPr>
            <w:vAlign w:val="center"/>
          </w:tcPr>
          <w:p>
            <w:pPr>
              <w:jc w:val="center"/>
            </w:pPr>
            <w:r>
              <w:rPr>
                <w:color w:val="000000"/>
                <w:sz w:val="24"/>
                <w:szCs w:val="24"/>
              </w:rPr>
              <w:t>26.24%</w:t>
            </w:r>
          </w:p>
        </w:tc>
        <w:tc>
          <w:tcPr>
            <w:vAlign w:val="center"/>
          </w:tcPr>
          <w:p>
            <w:pPr>
              <w:jc w:val="center"/>
            </w:pPr>
            <w:r>
              <w:rPr>
                <w:color w:val="000000"/>
                <w:sz w:val="24"/>
                <w:szCs w:val="24"/>
              </w:rPr>
              <w:t>0.87%</w:t>
            </w:r>
          </w:p>
        </w:tc>
        <w:tc>
          <w:tcPr>
            <w:vAlign w:val="center"/>
          </w:tcPr>
          <w:p>
            <w:pPr>
              <w:jc w:val="center"/>
            </w:pPr>
            <w:r>
              <w:rPr>
                <w:color w:val="000000"/>
                <w:sz w:val="24"/>
                <w:szCs w:val="24"/>
              </w:rPr>
              <w:t>124.80%</w:t>
            </w:r>
          </w:p>
        </w:tc>
        <w:tc>
          <w:tcPr>
            <w:vAlign w:val="center"/>
          </w:tcPr>
          <w:p>
            <w:pPr>
              <w:jc w:val="center"/>
            </w:pPr>
            <w:r>
              <w:rPr>
                <w:color w:val="000000"/>
                <w:sz w:val="24"/>
                <w:szCs w:val="24"/>
              </w:rPr>
              <w:t>0.57%</w:t>
            </w:r>
          </w:p>
        </w:tc>
      </w:tr>
    </w:tbl>
    <w:p w:rsidP="00C15CAC" w:rsidR="004061AC" w:rsidRDefault="003F39DF"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注：本基金业绩比较基准自2015年10月1日起，由“60%×沪深300指数收益率+40%×中信标普全债指数收益率”变更为“60%×沪深300指数收益率+40%×中证综合债券指数收益率”，3.2.2同。详情见本基金管理人于2015年9月28日发布的《交银施罗德基金管理有限公司关于旗下部分基金业绩比较基准变更并修改基金合同相关内容的公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自基金转型以来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P="00C15CAC" w:rsidR="008606B6" w:rsidRDefault="008606B6" w:rsidRPr="00414345">
      <w:pPr>
        <w:spacing w:before="29" w:line="288" w:lineRule="auto"/>
        <w:jc w:val="center"/>
        <w:rPr>
          <w:color w:val="000000"/>
          <w:sz w:val="24"/>
          <w:szCs w:val="24"/>
        </w:rPr>
      </w:pPr>
      <w:r w:rsidRPr="00414345">
        <w:rPr>
          <w:color w:val="000000"/>
          <w:sz w:val="24"/>
          <w:szCs w:val="24"/>
        </w:rPr>
        <w:t>交银施罗德策略回报灵活配置混合型证券投资基金</w:t>
      </w:r>
    </w:p>
    <w:p w:rsidP="00C15CAC" w:rsidR="004061AC" w:rsidRDefault="00B56F53"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color w:val="000000"/>
          <w:sz w:val="24"/>
          <w:szCs w:val="24"/>
        </w:rPr>
        <w:t>份额累计净值增长率与业绩比较基准收益率历史走势对比图</w:t>
      </w:r>
    </w:p>
    <w:p w:rsidP="00C15CAC" w:rsidR="00AE7962" w:rsidRDefault="00DE4B43" w:rsidRPr="00414345">
      <w:pPr>
        <w:pStyle w:val="a5"/>
        <w:snapToGrid w:val="0"/>
        <w:spacing w:before="29" w:line="288" w:lineRule="auto"/>
        <w:ind w:firstLine="480"/>
        <w:jc w:val="center"/>
        <w:rPr>
          <w:rFonts w:ascii="Times New Roman" w:cs="Times New Roman" w:hAnsi="Times New Roman"/>
          <w:sz w:val="24"/>
          <w:szCs w:val="24"/>
        </w:rPr>
      </w:pPr>
      <w:r w:rsidRPr="00414345">
        <w:rPr>
          <w:rFonts w:ascii="Times New Roman" w:cs="Times New Roman" w:hAnsi="Times New Roman"/>
          <w:color w:val="000000"/>
          <w:sz w:val="24"/>
          <w:szCs w:val="24"/>
        </w:rPr>
        <w:lastRenderedPageBreak/>
        <w:t>（</w:t>
      </w:r>
      <w:r w:rsidR="0042009D" w:rsidRPr="00414345">
        <w:rPr>
          <w:rFonts w:ascii="Times New Roman" w:cs="Times New Roman" w:hAnsi="Times New Roman"/>
          <w:sz w:val="24"/>
          <w:szCs w:val="24"/>
        </w:rPr>
        <w:t>2015年6月27日</w:t>
      </w:r>
      <w:r w:rsidR="00AE7962" w:rsidRPr="00414345">
        <w:rPr>
          <w:rFonts w:ascii="Times New Roman" w:cs="Times New Roman" w:hAnsi="Times New Roman"/>
          <w:sz w:val="24"/>
          <w:szCs w:val="24"/>
        </w:rPr>
        <w:t>至</w:t>
      </w:r>
      <w:r w:rsidR="00AE7962" w:rsidRPr="00414345">
        <w:rPr>
          <w:rFonts w:ascii="Times New Roman" w:cs="Times New Roman" w:hAnsi="Times New Roman"/>
          <w:sz w:val="24"/>
          <w:szCs w:val="24"/>
        </w:rPr>
        <w:t>2020年12月31日</w:t>
      </w:r>
      <w:r w:rsidRPr="00414345">
        <w:rPr>
          <w:rFonts w:ascii="Times New Roman" w:cs="Times New Roman" w:hAnsi="Times New Roman"/>
          <w:color w:val="000000"/>
          <w:sz w:val="24"/>
          <w:szCs w:val="24"/>
        </w:rPr>
        <w:t>）</w:t>
      </w:r>
    </w:p>
    <w:p w:rsidP="00C15CAC" w:rsidR="004061AC" w:rsidRDefault="00B816A7"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noProof/>
          <w:color w:val="000000"/>
          <w:sz w:val="24"/>
          <w:szCs w:val="24"/>
        </w:rPr>
        <w:drawing>
          <wp:inline distB="0" distL="0" distR="0" distT="0">
            <wp:extent cx="5731510" cy="3356610"/>
            <wp:effectExtent b="0" l="19050" r="2540" t="0"/>
            <wp:docPr descr="走势图1.jpg"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cstate="print" r:embed="rId14"/>
                    <a:stretch>
                      <a:fillRect/>
                    </a:stretch>
                  </pic:blipFill>
                  <pic:spPr>
                    <a:xfrm>
                      <a:off x="0" y="0"/>
                      <a:ext cx="5731510" cy="3356610"/>
                    </a:xfrm>
                    <a:prstGeom prst="rect">
                      <a:avLst/>
                    </a:prstGeom>
                  </pic:spPr>
                </pic:pic>
              </a:graphicData>
            </a:graphic>
          </wp:inline>
        </w:drawing>
      </w:r>
    </w:p>
    <w:p w:rsidP="00C15CAC" w:rsidR="004061AC" w:rsidRDefault="001C79F2"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8700EC" w:rsidRPr="00414345">
        <w:rPr>
          <w:color w:val="000000"/>
          <w:sz w:val="24"/>
          <w:szCs w:val="24"/>
        </w:rPr>
        <w:t/>
      </w:r>
      <w:r w:rsidRPr="00414345">
        <w:rPr>
          <w:color w:val="000000"/>
          <w:sz w:val="24"/>
          <w:szCs w:val="24"/>
        </w:rPr>
        <w:t/>
      </w:r>
      <w:r w:rsidR="004061AC" w:rsidRPr="00414345">
        <w:rPr>
          <w:color w:val="000000"/>
          <w:sz w:val="24"/>
          <w:szCs w:val="24"/>
        </w:rPr>
        <w:t>注：本基金由交银施罗德荣安保本混合型证券投资基金转型而来。基金转型日为2015年6月27日。本基金的投资转型期为交银施罗德荣安保本混合型证券投资基金保本周期到期选择期截止日次日（即2015年6月27日）起的3个月。截至投资转型期结束，本基金各项资产配置比例符合基金合同及招募说明书有关投资比例的约定。</w:t>
      </w:r>
    </w:p>
    <w:p w:rsidP="00C15CAC" w:rsidR="00957594" w:rsidRDefault="00957594" w:rsidRPr="00414345">
      <w:pPr>
        <w:tabs>
          <w:tab w:pos="1800" w:val="left"/>
        </w:tabs>
        <w:spacing w:before="29" w:line="288" w:lineRule="auto"/>
        <w:rPr>
          <w:color w:val="000000"/>
          <w:sz w:val="24"/>
          <w:szCs w:val="24"/>
        </w:rPr>
      </w:pPr>
    </w:p>
    <w:p w:rsidP="00C15CAC" w:rsidR="00693843" w:rsidRDefault="00693843" w:rsidRPr="00414345">
      <w:pPr>
        <w:tabs>
          <w:tab w:pos="1800" w:val="left"/>
        </w:tabs>
        <w:spacing w:before="29" w:line="288" w:lineRule="auto"/>
        <w:rPr>
          <w:color w:val="00000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P="00C15CAC" w:rsidR="00B12B7D"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846"/>
        <w:gridCol w:w="845"/>
        <w:gridCol w:w="1549"/>
        <w:gridCol w:w="1548"/>
        <w:gridCol w:w="1407"/>
        <w:gridCol w:w="2673"/>
      </w:tblGrid>
      <w:tr w:rsidR="00286BEF" w:rsidRPr="00414345" w:rsidTr="006A10AB">
        <w:trPr>
          <w:trHeight w:val="292"/>
          <w:jc w:val="center"/>
        </w:trPr>
        <w:tc>
          <w:tcPr>
            <w:tcW w:type="dxa" w:w="851"/>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type="dxa" w:w="850"/>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type="dxa" w:w="3119"/>
            <w:gridSpan w:val="2"/>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type="dxa" w:w="1417"/>
            <w:vMerge w:val="restart"/>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w:t>
            </w:r>
            <w:r w:rsidRPr="00414345">
              <w:rPr>
                <w:color w:val="000000"/>
                <w:kern w:val="0"/>
                <w:sz w:val="24"/>
                <w:szCs w:val="24"/>
              </w:rPr>
              <w:lastRenderedPageBreak/>
              <w:t>年限</w:t>
            </w:r>
          </w:p>
        </w:tc>
        <w:tc>
          <w:tcPr>
            <w:tcW w:type="dxa" w:w="2694"/>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lastRenderedPageBreak/>
              <w:t>说明</w:t>
            </w:r>
          </w:p>
        </w:tc>
      </w:tr>
      <w:tr w:rsidR="00D13737" w:rsidRPr="00414345" w:rsidTr="006A10AB">
        <w:trPr>
          <w:jc w:val="center"/>
        </w:trPr>
        <w:tc>
          <w:tcPr>
            <w:tcW w:type="dxa" w:w="851"/>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850"/>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1560"/>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type="dxa" w:w="1559"/>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type="dxa" w:w="1417"/>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2694"/>
            <w:vMerge/>
            <w:vAlign w:val="center"/>
          </w:tcPr>
          <w:p w:rsidP="00C15CAC" w:rsidR="004061AC" w:rsidRDefault="004061AC" w:rsidRPr="00414345">
            <w:pPr>
              <w:widowControl/>
              <w:spacing w:before="29" w:line="288" w:lineRule="auto"/>
              <w:jc w:val="left"/>
              <w:rPr>
                <w:color w:val="000000"/>
                <w:kern w:val="0"/>
                <w:sz w:val="24"/>
                <w:szCs w:val="24"/>
              </w:rPr>
            </w:pPr>
          </w:p>
        </w:tc>
      </w:tr>
      <w:tr>
        <w:tc>
          <w:tcPr>
            <w:vAlign w:val="center"/>
          </w:tcPr>
          <w:p>
            <w:pPr>
              <w:jc w:val="center"/>
            </w:pPr>
            <w:r>
              <w:rPr>
                <w:color w:val="000000"/>
                <w:sz w:val="24"/>
                <w:szCs w:val="24"/>
              </w:rPr>
              <w:t>韩威俊</w:t>
            </w:r>
          </w:p>
        </w:tc>
        <w:tc>
          <w:tcPr>
            <w:vAlign w:val="center"/>
          </w:tcPr>
          <w:p>
            <w:pPr>
              <w:jc w:val="center"/>
            </w:pPr>
            <w:r>
              <w:rPr>
                <w:color w:val="000000"/>
                <w:sz w:val="24"/>
                <w:szCs w:val="24"/>
              </w:rPr>
              <w:t>交银策略回报灵活配置混合、交银消费新驱动股票、交银股息优化混合、交银品质升级混合、交银内需增长混合的基金经理</w:t>
            </w:r>
          </w:p>
        </w:tc>
        <w:tc>
          <w:tcPr>
            <w:vAlign w:val="center"/>
          </w:tcPr>
          <w:p>
            <w:pPr>
              <w:jc w:val="center"/>
            </w:pPr>
            <w:r>
              <w:rPr>
                <w:color w:val="000000"/>
                <w:sz w:val="24"/>
                <w:szCs w:val="24"/>
              </w:rPr>
              <w:t>2016-01-20</w:t>
            </w:r>
          </w:p>
        </w:tc>
        <w:tc>
          <w:tcPr>
            <w:vAlign w:val="center"/>
          </w:tcPr>
          <w:p>
            <w:pPr>
              <w:jc w:val="center"/>
            </w:pPr>
            <w:r>
              <w:rPr>
                <w:color w:val="000000"/>
                <w:sz w:val="24"/>
                <w:szCs w:val="24"/>
              </w:rPr>
              <w:t>-</w:t>
            </w:r>
          </w:p>
        </w:tc>
        <w:tc>
          <w:tcPr>
            <w:vAlign w:val="center"/>
          </w:tcPr>
          <w:p>
            <w:pPr>
              <w:jc w:val="center"/>
            </w:pPr>
            <w:r>
              <w:rPr>
                <w:color w:val="000000"/>
                <w:sz w:val="24"/>
                <w:szCs w:val="24"/>
              </w:rPr>
              <w:t>14年</w:t>
            </w:r>
          </w:p>
        </w:tc>
        <w:tc>
          <w:tcPr>
            <w:vAlign w:val="center"/>
          </w:tcPr>
          <w:p>
            <w:pPr>
              <w:jc w:val="both"/>
            </w:pPr>
            <w:r>
              <w:rPr>
                <w:color w:val="000000"/>
                <w:sz w:val="24"/>
                <w:szCs w:val="24"/>
              </w:rPr>
              <w:t>韩威俊先生，上海财经大学金融学硕士。历任申银万国证券研究所助理分析师、北京鼎天资产管理有限公司董事助理、申银万国证券研究所行业分析师、信诚基金管理有限公司投资分析师。2013年加入交银施罗德基金管理有限公司，历任行业分析师。2017年6月3日至2020年5月26日担任交银施罗德趋势优先混合型证券投资基金的基金经理。</w:t>
            </w:r>
          </w:p>
        </w:tc>
      </w:tr>
    </w:tbl>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注：基金经理（或基金经理小组）期后变动（如有）敬请关注基金管理人发布的相关公告。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P="00C15CAC" w:rsidR="004061AC" w:rsidRDefault="004061AC" w:rsidRPr="00414345">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pPr>
        <w:spacing w:before="29" w:line="288" w:lineRule="auto"/>
        <w:ind w:firstLine="480" w:firstLineChars="20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本公司制定了严格的投资控制制度和公平交易监控制度来保证旗下基金运作的公平，旗下所管理的所有资产组合，包括证券投资基金和私募资产管理计划均严格遵循制度进行公平交易。</w:t>
      </w:r>
    </w:p>
    <w:p>
      <w:pPr>
        <w:spacing w:before="29" w:line="288" w:lineRule="auto"/>
        <w:ind w:firstLine="480" w:firstLineChars="20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价格优先、时间优先”的原则，全部通过交易系统进行比例分配；对于非集中竞价交易、以公司名义进行的场外交易，遵循公平交易分配原则对交易结果进行分配。</w:t>
      </w:r>
    </w:p>
    <w:p>
      <w:pPr>
        <w:spacing w:before="29" w:line="288" w:lineRule="auto"/>
        <w:ind w:firstLine="480" w:firstLineChars="20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
      </w:r>
      <w:r w:rsidR="00957594" w:rsidRPr="00414345">
        <w:rPr>
          <w:color w:val="000000"/>
          <w:sz w:val="24"/>
          <w:szCs w:val="24"/>
        </w:rPr>
        <w:t/>
      </w:r>
      <w:r w:rsidRPr="00414345">
        <w:rPr>
          <w:color w:val="000000"/>
          <w:sz w:val="24"/>
          <w:szCs w:val="24"/>
        </w:rPr>
        <w:t>报告期内本公司严格执行公平交易制度，公平对待旗下各投资组合，未发现任何违反公平交易的行为。</w:t>
      </w:r>
    </w:p>
    <w:p w:rsidP="00C15CAC" w:rsidR="004061AC" w:rsidRDefault="004061AC" w:rsidRPr="00414345">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P="00C15CAC" w:rsidR="004061AC" w:rsidRDefault="00957594" w:rsidRPr="00414345">
      <w:pPr>
        <w:spacing w:before="29" w:line="288" w:lineRule="auto"/>
        <w:ind w:firstLine="480" w:firstLineChars="20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P="00C15CAC" w:rsidR="004061AC" w:rsidRDefault="004061AC"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pPr>
        <w:spacing w:before="29" w:line="288" w:lineRule="auto"/>
        <w:ind w:firstLine="480" w:firstLineChars="200"/>
        <w:rPr>
          <w:color w:val="000000"/>
          <w:sz w:val="24"/>
          <w:szCs w:val="24"/>
        </w:rPr>
      </w:pPr>
      <w:r>
        <w:rPr>
          <w:color w:val="000000"/>
          <w:sz w:val="24"/>
          <w:szCs w:val="24"/>
        </w:rPr>
        <w:t>回顾2020年四季度，全球疫情出现反复，国内疫情也出现零星爆发，全球流动性依然维持在较高水平，各类资产出现比较明显的上涨。接近年底，国内流动性出现了一定的收缩，使得整个国内资本市场出现了进一步的大分化，以消费、医药以及新能源等长期赛道为首的资产出现了比较明显的上涨，流动性较差的股票则出现比较明显的回落。</w:t>
      </w:r>
    </w:p>
    <w:p>
      <w:pPr>
        <w:spacing w:before="29" w:line="288" w:lineRule="auto"/>
        <w:ind w:firstLine="480" w:firstLineChars="200"/>
        <w:rPr>
          <w:color w:val="000000"/>
          <w:sz w:val="24"/>
          <w:szCs w:val="24"/>
        </w:rPr>
      </w:pPr>
      <w:r>
        <w:rPr>
          <w:color w:val="000000"/>
          <w:sz w:val="24"/>
          <w:szCs w:val="24"/>
        </w:rPr>
        <w:t>本基金四季度依然维持以消费医药白马为基础底仓的思路，适度增持了一些低估值的金融地产，增加了整个组合的均衡度和平衡感，降低了整个组合的估值水平。</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展望2021年一季度，我们保持谨慎乐观，整体预期收益率较前两年可能要出现明显下降：（1）如果海外疫情得不到控制，整个全球流动性将依然保持高水位。考虑到人民币汇率升值压力，国内流动性也将维持在较为宽松的水平，但是整个国内信用收缩或将成为必然。（2）外资流入加快。我们认为，2021年一季度的资本市场将出现进一步分化，特别是热门赛道里也将出现比较明显的分化。我们在组合上将进一步均衡，希望寻找各个行业的阿尔法来抵消未来可能出现的整体估值下行。（1）寻找消费、医药行业中，未来还有可能提升一致预期的公司；（2）均衡组合配置，以部分低估值高分红公司（剔除价值陷阱）替代现金。</w:t>
      </w:r>
    </w:p>
    <w:p w:rsidP="00C15CAC" w:rsidR="00627E2D" w:rsidRDefault="00627E2D"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本基金（各类）份额净值及业绩表现请见“3.1主要财务指标” 及“3.2.1 本报告期基金份额净值增长率及其与同期业绩比较基准收益率的比较”部分披露。</w:t>
      </w:r>
    </w:p>
    <w:p w:rsidP="00C15CAC" w:rsidR="009C5186" w:rsidRDefault="009C5186" w:rsidRPr="00414345">
      <w:pPr>
        <w:spacing w:before="29" w:line="288" w:lineRule="auto"/>
        <w:ind w:firstLine="480" w:firstLineChars="200"/>
        <w:rPr>
          <w:color w:val="000000"/>
          <w:sz w:val="24"/>
          <w:szCs w:val="24"/>
        </w:rPr>
      </w:pPr>
    </w:p>
    <w:p w:rsidP="00421CD2" w:rsidR="00421CD2" w:rsidRDefault="00421CD2" w:rsidRPr="002070B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P="00421CD2" w:rsidR="00421CD2" w:rsidRDefault="00421CD2">
      <w:pPr>
        <w:spacing w:before="29" w:line="288" w:lineRule="auto"/>
        <w:ind w:firstLine="480" w:firstLineChars="200"/>
        <w:rPr>
          <w:color w:val="000000"/>
          <w:sz w:val="24"/>
        </w:rPr>
      </w:pPr>
      <w:r w:rsidRPr="002070B4">
        <w:rPr>
          <w:color w:val="000000"/>
          <w:sz w:val="24"/>
        </w:rPr>
        <w:t>本基金本报告期内无需预警说明。</w:t>
      </w: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P="00BF0019" w:rsidR="00BF0019" w:rsidRDefault="00BF0019">
      <w:pPr>
        <w:autoSpaceDE w:val="0"/>
        <w:autoSpaceDN w:val="0"/>
        <w:adjustRightInd w:val="0"/>
        <w:spacing w:line="360" w:lineRule="auto"/>
        <w:jc w:val="left"/>
        <w:rPr>
          <w:rFonts w:eastAsiaTheme="minorEastAsia"/>
          <w:b/>
          <w:color w:themeColor="text1" w:val="000000"/>
          <w:kern w:val="0"/>
          <w:sz w:val="24"/>
          <w:szCs w:val="24"/>
        </w:rPr>
      </w:pPr>
      <w:r w:rsidRPr="007B5F21">
        <w:rPr>
          <w:rFonts w:eastAsiaTheme="minorEastAsia"/>
          <w:b/>
          <w:color w:themeColor="text1" w:val="000000"/>
          <w:kern w:val="0"/>
          <w:sz w:val="24"/>
          <w:szCs w:val="24"/>
        </w:rPr>
        <w:t xml:space="preserve">5.1 </w:t>
      </w:r>
      <w:r w:rsidRPr="007B5F21">
        <w:rPr>
          <w:rFonts w:eastAsiaTheme="minorEastAsia"/>
          <w:b/>
          <w:color w:themeColor="text1" w:val="000000"/>
          <w:kern w:val="0"/>
          <w:sz w:val="24"/>
          <w:szCs w:val="24"/>
        </w:rPr>
        <w:t>报告期末基金资产组合情况</w:t>
      </w:r>
    </w:p>
    <w:p w:rsidP="009C1009" w:rsidR="006B5F69" w:rsidRDefault="009C1009" w:rsidRPr="007B5F21">
      <w:pPr>
        <w:autoSpaceDE w:val="0"/>
        <w:autoSpaceDN w:val="0"/>
        <w:adjustRightInd w:val="0"/>
        <w:spacing w:line="360" w:lineRule="auto"/>
        <w:jc w:val="right"/>
        <w:rPr>
          <w:rFonts w:eastAsiaTheme="minorEastAsia"/>
          <w:b/>
          <w:color w:themeColor="text1" w:val="000000"/>
          <w:kern w:val="0"/>
          <w:sz w:val="24"/>
          <w:szCs w:val="24"/>
        </w:rPr>
      </w:pPr>
      <w:r w:rsidRPr="009C1009">
        <w:rPr>
          <w:rFonts w:hint="eastAsia"/>
          <w:color w:val="000000"/>
          <w:kern w:val="0"/>
        </w:rPr>
        <w:t/>
      </w:r>
      <w:r w:rsidRPr="009C1009">
        <w:rPr>
          <w:rFonts w:hint="eastAsia"/>
          <w:color w:val="000000"/>
          <w:kern w:val="0"/>
        </w:rPr>
        <w:t>金额单位：人民币元</w:t>
      </w:r>
    </w:p>
    <w:tbl>
      <w:tblPr>
        <w:tblStyle w:val="af7"/>
        <w:tblW w:type="dxa" w:w="8897"/>
        <w:tblInd w:type="dxa" w:w="108"/>
        <w:tblLayout w:type="fixed"/>
        <w:tblLook w:firstColumn="1" w:firstRow="1" w:lastColumn="0" w:lastRow="0" w:noHBand="0" w:noVBand="1" w:val="04A0"/>
      </w:tblPr>
      <w:tblGrid>
        <w:gridCol w:w="720"/>
        <w:gridCol w:w="2682"/>
        <w:gridCol w:w="2552"/>
        <w:gridCol w:w="2943"/>
      </w:tblGrid>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序号</w:t>
            </w:r>
          </w:p>
        </w:tc>
        <w:tc>
          <w:tcPr>
            <w:tcW w:type="dxa" w:w="2682"/>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项目</w:t>
            </w:r>
          </w:p>
        </w:tc>
        <w:tc>
          <w:tcPr>
            <w:tcW w:type="dxa" w:w="2552"/>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金额</w:t>
            </w:r>
          </w:p>
        </w:tc>
        <w:tc>
          <w:tcPr>
            <w:tcW w:type="dxa" w:w="2943"/>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占基金总资产的比例</w:t>
            </w:r>
            <w:r w:rsidR="0018138B">
              <w:rPr>
                <w:rFonts w:eastAsiaTheme="minorEastAsia" w:hint="eastAsia"/>
                <w:color w:themeColor="text1" w:val="000000"/>
                <w:sz w:val="24"/>
                <w:szCs w:val="24"/>
              </w:rPr>
              <w:t>(</w:t>
            </w:r>
            <w:r w:rsidR="0018138B">
              <w:rPr>
                <w:rFonts w:eastAsiaTheme="minorEastAsia"/>
                <w:color w:themeColor="text1" w:val="000000"/>
                <w:sz w:val="24"/>
                <w:szCs w:val="24"/>
              </w:rPr>
              <w:t>%</w:t>
            </w:r>
            <w:r w:rsidR="0018138B">
              <w:rPr>
                <w:rFonts w:eastAsiaTheme="minorEastAsia" w:hint="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lastRenderedPageBreak/>
              <w:t>1</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权益投资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415,441,499.36</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76.84</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其中：股票</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415,441,499.36</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76.84</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2</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ascii="宋体" w:hAnsi="宋体" w:hint="eastAsia"/>
                <w:sz w:val="24"/>
                <w:szCs w:val="24"/>
              </w:rPr>
              <w:t>基金投资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r w:rsidRPr="007B5F21">
              <w:rPr>
                <w:rFonts w:eastAsiaTheme="minorEastAsia"/>
                <w:color w:themeColor="text1" w:val="000000"/>
                <w:sz w:val="24"/>
                <w:szCs w:val="24"/>
              </w:rPr>
              <w:t/>
            </w:r>
            <w:r w:rsidRPr="007B5F21">
              <w:rPr>
                <w:rFonts w:eastAsiaTheme="minorEastAsia" w:hint="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r w:rsidRPr="007B5F21">
              <w:rPr>
                <w:rFonts w:eastAsiaTheme="minorEastAsia"/>
                <w:color w:themeColor="text1" w:val="000000"/>
                <w:sz w:val="24"/>
                <w:szCs w:val="24"/>
              </w:rPr>
              <w:t/>
            </w:r>
            <w:r w:rsidRPr="007B5F21">
              <w:rPr>
                <w:rFonts w:eastAsiaTheme="minorEastAsia" w:hint="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3</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固定收益投资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11,671,370.00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2.16</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其中：债券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11,671,370.00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2.16</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7B5F21" w:rsidR="00BF0019" w:rsidRDefault="00BF0019" w:rsidRPr="007B5F21">
            <w:pPr>
              <w:autoSpaceDE w:val="0"/>
              <w:autoSpaceDN w:val="0"/>
              <w:adjustRightInd w:val="0"/>
              <w:spacing w:before="29" w:line="360" w:lineRule="auto"/>
              <w:ind w:firstLine="720" w:firstLineChars="300" w:left="17"/>
              <w:jc w:val="left"/>
              <w:rPr>
                <w:rFonts w:eastAsiaTheme="minorEastAsia"/>
                <w:color w:themeColor="text1" w:val="000000"/>
                <w:sz w:val="24"/>
                <w:szCs w:val="24"/>
              </w:rPr>
            </w:pPr>
            <w:r w:rsidRPr="007B5F21">
              <w:rPr>
                <w:rFonts w:eastAsiaTheme="minorEastAsia"/>
                <w:color w:themeColor="text1" w:val="000000"/>
                <w:sz w:val="24"/>
                <w:szCs w:val="24"/>
              </w:rPr>
              <w:t>资产支持证券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4</w:t>
            </w:r>
          </w:p>
        </w:tc>
        <w:tc>
          <w:tcPr>
            <w:tcW w:type="dxa" w:w="2682"/>
            <w:vAlign w:val="center"/>
          </w:tcPr>
          <w:p w:rsidP="002D2971" w:rsidR="00BF0019" w:rsidRDefault="00BF0019" w:rsidRPr="007B5F21">
            <w:pPr>
              <w:spacing w:before="29" w:line="360" w:lineRule="auto"/>
              <w:ind w:left="105" w:leftChars="50"/>
              <w:rPr>
                <w:rFonts w:eastAsiaTheme="minorEastAsia"/>
                <w:color w:themeColor="text1" w:val="000000"/>
                <w:sz w:val="24"/>
                <w:szCs w:val="24"/>
              </w:rPr>
            </w:pPr>
            <w:r w:rsidRPr="007B5F21">
              <w:rPr>
                <w:rFonts w:eastAsiaTheme="minorEastAsia"/>
                <w:color w:themeColor="text1" w:val="000000"/>
                <w:sz w:val="24"/>
                <w:szCs w:val="24"/>
              </w:rPr>
              <w:t>贵金属投资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5</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金融衍生品投资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6</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color w:themeColor="text1" w:val="000000"/>
                <w:sz w:val="24"/>
                <w:szCs w:val="24"/>
              </w:rPr>
              <w:lastRenderedPageBreak/>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lastRenderedPageBreak/>
              <w:t/>
            </w:r>
            <w:r w:rsidRPr="007B5F21">
              <w:rPr>
                <w:rFonts w:eastAsiaTheme="minorEastAsia"/>
                <w:color w:themeColor="text1" w:val="000000"/>
                <w:sz w:val="24"/>
                <w:szCs w:val="24"/>
              </w:rPr>
              <w:lastRenderedPageBreak/>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其中：买断式回购的买入返售金融资产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7</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银行存款和结算备付金合计</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100,306,017.37</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18.55</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8</w:t>
            </w:r>
          </w:p>
        </w:tc>
        <w:tc>
          <w:tcPr>
            <w:tcW w:type="dxa" w:w="2682"/>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其他各项资产</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13,260,422.24</w:t>
            </w:r>
          </w:p>
        </w:tc>
        <w:tc>
          <w:tcPr>
            <w:tcW w:type="dxa" w:w="2943"/>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2.45</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9</w:t>
            </w:r>
          </w:p>
        </w:tc>
        <w:tc>
          <w:tcPr>
            <w:tcW w:type="dxa" w:w="2682"/>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合计</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540,679,308.97</w:t>
            </w:r>
          </w:p>
        </w:tc>
        <w:tc>
          <w:tcPr>
            <w:tcW w:type="dxa" w:w="2943"/>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100.00</w:t>
            </w:r>
          </w:p>
        </w:tc>
      </w:tr>
    </w:tbl>
    <w:p w:rsidP="00C15CAC" w:rsidR="004061AC" w:rsidRDefault="004061AC" w:rsidRPr="00414345">
      <w:pPr>
        <w:autoSpaceDE w:val="0"/>
        <w:autoSpaceDN w:val="0"/>
        <w:adjustRightInd w:val="0"/>
        <w:spacing w:before="29" w:line="288" w:lineRule="auto"/>
        <w:jc w:val="left"/>
        <w:rPr>
          <w:color w:val="00000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P="00F51C4E" w:rsidR="00F51C4E" w:rsidRDefault="00F51C4E">
      <w:pPr>
        <w:rPr>
          <w:rFonts w:eastAsiaTheme="minorEastAsia"/>
          <w:b/>
          <w:color w:themeColor="text1" w:val="000000"/>
          <w:kern w:val="0"/>
          <w:sz w:val="24"/>
        </w:rPr>
      </w:pPr>
      <w:r w:rsidRPr="004A3846">
        <w:rPr>
          <w:b/>
          <w:color w:themeColor="text1" w:val="000000"/>
          <w:sz w:val="24"/>
        </w:rPr>
        <w:t/>
      </w:r>
      <w:r w:rsidRPr="004A3846">
        <w:rPr>
          <w:rFonts w:eastAsiaTheme="minorEastAsia" w:hint="eastAsia"/>
          <w:b/>
          <w:color w:themeColor="text1" w:val="000000"/>
          <w:kern w:val="0"/>
          <w:sz w:val="24"/>
        </w:rPr>
        <w:t>5.2.1</w:t>
      </w:r>
      <w:r w:rsidRPr="004A3846">
        <w:rPr>
          <w:rFonts w:eastAsiaTheme="minorEastAsia" w:hint="eastAsia"/>
          <w:b/>
          <w:color w:themeColor="text1" w:val="000000"/>
          <w:kern w:val="0"/>
          <w:sz w:val="24"/>
        </w:rPr>
        <w:t>报告期末按行业分类的境内股票投资组合</w:t>
      </w:r>
    </w:p>
    <w:p w:rsidP="009C1009" w:rsidR="007B2639" w:rsidRDefault="009C1009" w:rsidRPr="007B2639">
      <w:pPr>
        <w:jc w:val="right"/>
        <w:rPr>
          <w:sz w:val="24"/>
        </w:rPr>
      </w:pPr>
      <w:r w:rsidRPr="009C1009">
        <w:rPr>
          <w:rFonts w:eastAsiaTheme="minorEastAsia" w:hint="eastAsia"/>
          <w:color w:themeColor="text1" w:val="000000"/>
          <w:kern w:val="0"/>
          <w:sz w:val="24"/>
        </w:rPr>
        <w:t/>
      </w:r>
      <w:r w:rsidRPr="009C1009">
        <w:rPr>
          <w:rFonts w:eastAsiaTheme="minorEastAsia" w:hint="eastAsia"/>
          <w:color w:themeColor="text1" w:val="000000"/>
          <w:kern w:val="0"/>
          <w:sz w:val="24"/>
        </w:rPr>
        <w:t>金额单位：人民币元</w:t>
      </w:r>
    </w:p>
    <w:tbl>
      <w:tblPr>
        <w:tblW w:type="dxa" w:w="886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1"/>
          <w:left w:type="dxa" w:w="0"/>
          <w:bottom w:type="dxa" w:w="-1"/>
          <w:right w:type="dxa" w:w="0"/>
        </w:tblCellMar>
        <w:tblLook w:firstColumn="0" w:firstRow="0" w:lastColumn="0" w:lastRow="0" w:noHBand="0" w:noVBand="0" w:val="0000"/>
      </w:tblPr>
      <w:tblGrid>
        <w:gridCol w:w="845"/>
        <w:gridCol w:w="3544"/>
        <w:gridCol w:w="2841"/>
        <w:gridCol w:w="1638"/>
      </w:tblGrid>
      <w:tr w:rsidR="00531F10" w:rsidRPr="00414345" w:rsidTr="006C2C1B">
        <w:trPr>
          <w:trHeight w:val="390"/>
          <w:jc w:val="center"/>
        </w:trPr>
        <w:tc>
          <w:tcPr>
            <w:tcW w:type="dxa" w:w="845"/>
            <w:tcBorders>
              <w:top w:color="000000" w:space="0" w:sz="4" w:val="single"/>
              <w:left w:color="000000"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代码</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行业类别</w:t>
            </w:r>
            <w:r w:rsidR="005E475E" w:rsidRPr="00414345">
              <w:rPr>
                <w:sz w:val="24"/>
                <w:szCs w:val="24"/>
              </w:rPr>
              <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B11F31" w:rsidRPr="00414345">
            <w:pPr>
              <w:adjustRightInd w:val="0"/>
              <w:snapToGrid w:val="0"/>
              <w:spacing w:before="29" w:line="288" w:lineRule="auto"/>
              <w:jc w:val="center"/>
              <w:rPr>
                <w:sz w:val="24"/>
                <w:szCs w:val="24"/>
              </w:rPr>
            </w:pPr>
            <w:r>
              <w:rPr>
                <w:sz w:val="24"/>
                <w:szCs w:val="24"/>
              </w:rPr>
              <w:t>公允价值</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lastRenderedPageBreak/>
              <w:t>A</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农、林、牧、渔业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utoSpaceDE w:val="0"/>
              <w:autoSpaceDN w:val="0"/>
              <w:adjustRightInd w:val="0"/>
              <w:spacing w:before="29" w:line="288" w:lineRule="auto"/>
              <w:ind w:left="15"/>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B</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采矿业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1B4DD6"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1B4DD6"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C</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制造业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292,194,811.28</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54.54</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D</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电力、热力、燃气及水生产和供应业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E</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建筑业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F</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批发和零售业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16,322.72</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G</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交通运输、仓储和邮政业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6,379,617.28</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1.19</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H</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住宿和餐饮业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r w:rsidRPr="00414345">
              <w:rPr>
                <w:sz w:val="24"/>
                <w:szCs w:val="24"/>
              </w:rPr>
              <w:lastRenderedPageBreak/>
              <w:t>26,233,923.00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lastRenderedPageBreak/>
              <w:t/>
            </w:r>
            <w:r w:rsidRPr="00414345">
              <w:rPr>
                <w:sz w:val="24"/>
                <w:szCs w:val="24"/>
              </w:rPr>
              <w:lastRenderedPageBreak/>
              <w:t>4.90</w:t>
            </w:r>
          </w:p>
        </w:tc>
      </w:tr>
      <w:tr w:rsidR="00531F10" w:rsidRPr="00414345" w:rsidTr="00DC28F1">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lastRenderedPageBreak/>
              <w:t>I</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DC28F1" w:rsidR="00531F10" w:rsidRDefault="00531F10" w:rsidRPr="00414345">
            <w:pPr>
              <w:adjustRightInd w:val="0"/>
              <w:snapToGrid w:val="0"/>
              <w:spacing w:before="29" w:line="288" w:lineRule="auto"/>
              <w:rPr>
                <w:sz w:val="24"/>
                <w:szCs w:val="24"/>
              </w:rPr>
            </w:pPr>
            <w:r w:rsidRPr="00414345">
              <w:rPr>
                <w:sz w:val="24"/>
                <w:szCs w:val="24"/>
              </w:rPr>
              <w:t>信息传输、软件和信息技术服务业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335,431.23</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0.06</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J</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金融业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16,925,791.21</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3.16</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K</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房地产业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24,174,375.14</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4.51</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L</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M</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22,368,391.60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4.18</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N</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5,348,409.10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1.00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lastRenderedPageBreak/>
              <w:t>O</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P</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教育</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Q</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21,440,359.50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4.00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R</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24,067.30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S</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综合</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合计</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415,441,499.36</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77.55</w:t>
            </w:r>
          </w:p>
        </w:tc>
      </w:tr>
    </w:tbl>
    <w:p w:rsidP="00F51C4E" w:rsidR="00F51C4E" w:rsidRDefault="00F51C4E" w:rsidRPr="008A409E">
      <w:pPr>
        <w:jc w:val="left"/>
        <w:rPr>
          <w:rFonts w:asciiTheme="minorEastAsia" w:eastAsiaTheme="minorEastAsia" w:hAnsiTheme="minorEastAsia"/>
          <w:b/>
          <w:bCs/>
          <w:color w:themeColor="text1" w:val="000000"/>
          <w:kern w:val="0"/>
          <w:sz w:val="24"/>
        </w:rPr>
      </w:pPr>
      <w:r w:rsidRPr="008A409E">
        <w:rPr>
          <w:rFonts w:asciiTheme="minorEastAsia" w:eastAsiaTheme="minorEastAsia" w:hAnsiTheme="minorEastAsia"/>
          <w:b/>
          <w:bCs/>
          <w:color w:themeColor="text1" w:val="000000"/>
          <w:kern w:val="0"/>
          <w:sz w:val="24"/>
        </w:rPr>
        <w:t/>
      </w:r>
      <w:r w:rsidRPr="008A409E">
        <w:rPr>
          <w:rFonts w:asciiTheme="minorEastAsia" w:eastAsiaTheme="minorEastAsia" w:hAnsiTheme="minorEastAsia" w:hint="eastAsia"/>
          <w:b/>
          <w:bCs/>
          <w:color w:themeColor="text1" w:val="000000"/>
          <w:kern w:val="0"/>
          <w:sz w:val="24"/>
        </w:rPr>
        <w:t>5.2.2报告期末按行业分类的</w:t>
      </w:r>
      <w:r w:rsidR="00EE49FE">
        <w:rPr>
          <w:rFonts w:asciiTheme="minorEastAsia" w:eastAsiaTheme="minorEastAsia" w:hAnsiTheme="minorEastAsia" w:hint="eastAsia"/>
          <w:b/>
          <w:bCs/>
          <w:color w:themeColor="text1" w:val="000000"/>
          <w:kern w:val="0"/>
          <w:sz w:val="24"/>
        </w:rPr>
        <w:t>港股通</w:t>
      </w:r>
      <w:r w:rsidRPr="008A409E">
        <w:rPr>
          <w:rFonts w:asciiTheme="minorEastAsia" w:eastAsiaTheme="minorEastAsia" w:hAnsiTheme="minorEastAsia" w:hint="eastAsia"/>
          <w:b/>
          <w:bCs/>
          <w:color w:themeColor="text1" w:val="000000"/>
          <w:kern w:val="0"/>
          <w:sz w:val="24"/>
        </w:rPr>
        <w:t>投资股票投资组合</w:t>
      </w:r>
    </w:p>
    <w:p w:rsidP="00F51C4E" w:rsidR="00F51C4E" w:rsidRDefault="00F51C4E">
      <w:pPr>
        <w:spacing w:before="29" w:line="360" w:lineRule="auto"/>
        <w:ind w:left="17"/>
        <w:rPr>
          <w:color w:val="000000"/>
          <w:sz w:val="24"/>
        </w:rPr>
      </w:pPr>
      <w:r w:rsidRPr="00FF0BBF">
        <w:rPr>
          <w:color w:val="000000"/>
          <w:sz w:val="24"/>
        </w:rPr>
        <w:t>本基金本报告期末未持有通过港股通投资的股票。</w:t>
      </w:r>
    </w:p>
    <w:p w:rsidP="00C15CAC" w:rsidR="004061AC" w:rsidRDefault="004061AC" w:rsidRPr="00F51C4E">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type="dxa" w:w="8868"/>
        <w:jc w:val="center"/>
        <w:tblLayout w:type="fixed"/>
        <w:tblCellMar>
          <w:top w:type="dxa" w:w="57"/>
          <w:bottom w:type="dxa" w:w="57"/>
        </w:tblCellMar>
        <w:tblLook w:firstColumn="1" w:firstRow="1" w:lastColumn="0" w:lastRow="0" w:noHBand="0" w:noVBand="1" w:val="04A0"/>
      </w:tblPr>
      <w:tblGrid>
        <w:gridCol w:w="855"/>
        <w:gridCol w:w="1334"/>
        <w:gridCol w:w="1777"/>
        <w:gridCol w:w="1334"/>
        <w:gridCol w:w="1924"/>
        <w:gridCol w:w="1644"/>
      </w:tblGrid>
      <w:tr w:rsidR="00AC592E" w:rsidRPr="00414345" w:rsidTr="00A324F4">
        <w:trPr>
          <w:jc w:val="center"/>
        </w:trPr>
        <w:tc>
          <w:tcPr>
            <w:tcW w:type="dxa" w:w="869"/>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序号</w:t>
            </w:r>
          </w:p>
        </w:tc>
        <w:tc>
          <w:tcPr>
            <w:tcW w:type="dxa" w:w="1357"/>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股票代码</w:t>
            </w:r>
          </w:p>
        </w:tc>
        <w:tc>
          <w:tcPr>
            <w:tcW w:type="dxa" w:w="1810"/>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股票名称</w:t>
            </w:r>
          </w:p>
        </w:tc>
        <w:tc>
          <w:tcPr>
            <w:tcW w:type="dxa" w:w="1357"/>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type="dxa" w:w="1960"/>
            <w:vAlign w:val="center"/>
          </w:tcPr>
          <w:p w:rsidP="00C15CAC" w:rsidR="00853140" w:rsidRDefault="00853140"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type="dxa" w:w="1674"/>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600519</w:t>
            </w:r>
          </w:p>
        </w:tc>
        <w:tc>
          <w:tcPr>
            <w:vAlign w:val="center"/>
          </w:tcPr>
          <w:p>
            <w:pPr>
              <w:jc w:val="center"/>
            </w:pPr>
            <w:r>
              <w:rPr>
                <w:color w:val="000000"/>
                <w:sz w:val="24"/>
                <w:szCs w:val="24"/>
              </w:rPr>
              <w:t>贵州茅台</w:t>
            </w:r>
          </w:p>
        </w:tc>
        <w:tc>
          <w:tcPr>
            <w:vAlign w:val="center"/>
          </w:tcPr>
          <w:p>
            <w:pPr>
              <w:jc w:val="right"/>
            </w:pPr>
            <w:r>
              <w:rPr>
                <w:color w:val="000000"/>
                <w:sz w:val="24"/>
                <w:szCs w:val="24"/>
              </w:rPr>
              <w:t>25,197</w:t>
            </w:r>
          </w:p>
        </w:tc>
        <w:tc>
          <w:tcPr>
            <w:vAlign w:val="center"/>
          </w:tcPr>
          <w:p>
            <w:pPr>
              <w:jc w:val="right"/>
            </w:pPr>
            <w:r>
              <w:rPr>
                <w:color w:val="000000"/>
                <w:sz w:val="24"/>
                <w:szCs w:val="24"/>
              </w:rPr>
              <w:t>50,343,606.00</w:t>
            </w:r>
          </w:p>
        </w:tc>
        <w:tc>
          <w:tcPr>
            <w:vAlign w:val="center"/>
          </w:tcPr>
          <w:p>
            <w:pPr>
              <w:jc w:val="right"/>
            </w:pPr>
            <w:r>
              <w:rPr>
                <w:color w:val="000000"/>
                <w:sz w:val="24"/>
                <w:szCs w:val="24"/>
              </w:rPr>
              <w:t>9.40</w:t>
            </w:r>
          </w:p>
        </w:tc>
      </w:tr>
      <w:tr>
        <w:tc>
          <w:tcPr>
            <w:vAlign w:val="center"/>
          </w:tcPr>
          <w:p>
            <w:pPr>
              <w:jc w:val="center"/>
            </w:pPr>
            <w:r>
              <w:rPr>
                <w:color w:val="000000"/>
                <w:sz w:val="24"/>
                <w:szCs w:val="24"/>
              </w:rPr>
              <w:t>2</w:t>
            </w:r>
          </w:p>
        </w:tc>
        <w:tc>
          <w:tcPr>
            <w:vAlign w:val="center"/>
          </w:tcPr>
          <w:p>
            <w:pPr>
              <w:jc w:val="center"/>
            </w:pPr>
            <w:r>
              <w:rPr>
                <w:color w:val="000000"/>
                <w:sz w:val="24"/>
                <w:szCs w:val="24"/>
              </w:rPr>
              <w:t>002304</w:t>
            </w:r>
          </w:p>
        </w:tc>
        <w:tc>
          <w:tcPr>
            <w:vAlign w:val="center"/>
          </w:tcPr>
          <w:p>
            <w:pPr>
              <w:jc w:val="center"/>
            </w:pPr>
            <w:r>
              <w:rPr>
                <w:color w:val="000000"/>
                <w:sz w:val="24"/>
                <w:szCs w:val="24"/>
              </w:rPr>
              <w:t>洋河股份</w:t>
            </w:r>
          </w:p>
        </w:tc>
        <w:tc>
          <w:tcPr>
            <w:vAlign w:val="center"/>
          </w:tcPr>
          <w:p>
            <w:pPr>
              <w:jc w:val="right"/>
            </w:pPr>
            <w:r>
              <w:rPr>
                <w:color w:val="000000"/>
                <w:sz w:val="24"/>
                <w:szCs w:val="24"/>
              </w:rPr>
              <w:t>205,510</w:t>
            </w:r>
          </w:p>
        </w:tc>
        <w:tc>
          <w:tcPr>
            <w:vAlign w:val="center"/>
          </w:tcPr>
          <w:p>
            <w:pPr>
              <w:jc w:val="right"/>
            </w:pPr>
            <w:r>
              <w:rPr>
                <w:color w:val="000000"/>
                <w:sz w:val="24"/>
                <w:szCs w:val="24"/>
              </w:rPr>
              <w:t>48,498,304.90</w:t>
            </w:r>
          </w:p>
        </w:tc>
        <w:tc>
          <w:tcPr>
            <w:vAlign w:val="center"/>
          </w:tcPr>
          <w:p>
            <w:pPr>
              <w:jc w:val="right"/>
            </w:pPr>
            <w:r>
              <w:rPr>
                <w:color w:val="000000"/>
                <w:sz w:val="24"/>
                <w:szCs w:val="24"/>
              </w:rPr>
              <w:t>9.05</w:t>
            </w:r>
          </w:p>
        </w:tc>
      </w:tr>
      <w:tr>
        <w:tc>
          <w:tcPr>
            <w:vAlign w:val="center"/>
          </w:tcPr>
          <w:p>
            <w:pPr>
              <w:jc w:val="center"/>
            </w:pPr>
            <w:r>
              <w:rPr>
                <w:color w:val="000000"/>
                <w:sz w:val="24"/>
                <w:szCs w:val="24"/>
              </w:rPr>
              <w:t>3</w:t>
            </w:r>
          </w:p>
        </w:tc>
        <w:tc>
          <w:tcPr>
            <w:vAlign w:val="center"/>
          </w:tcPr>
          <w:p>
            <w:pPr>
              <w:jc w:val="center"/>
            </w:pPr>
            <w:r>
              <w:rPr>
                <w:color w:val="000000"/>
                <w:sz w:val="24"/>
                <w:szCs w:val="24"/>
              </w:rPr>
              <w:t>000858</w:t>
            </w:r>
          </w:p>
        </w:tc>
        <w:tc>
          <w:tcPr>
            <w:vAlign w:val="center"/>
          </w:tcPr>
          <w:p>
            <w:pPr>
              <w:jc w:val="center"/>
            </w:pPr>
            <w:r>
              <w:rPr>
                <w:color w:val="000000"/>
                <w:sz w:val="24"/>
                <w:szCs w:val="24"/>
              </w:rPr>
              <w:t>五粮液</w:t>
            </w:r>
          </w:p>
        </w:tc>
        <w:tc>
          <w:tcPr>
            <w:vAlign w:val="center"/>
          </w:tcPr>
          <w:p>
            <w:pPr>
              <w:jc w:val="right"/>
            </w:pPr>
            <w:r>
              <w:rPr>
                <w:color w:val="000000"/>
                <w:sz w:val="24"/>
                <w:szCs w:val="24"/>
              </w:rPr>
              <w:t>129,091</w:t>
            </w:r>
          </w:p>
        </w:tc>
        <w:tc>
          <w:tcPr>
            <w:vAlign w:val="center"/>
          </w:tcPr>
          <w:p>
            <w:pPr>
              <w:jc w:val="right"/>
            </w:pPr>
            <w:r>
              <w:rPr>
                <w:color w:val="000000"/>
                <w:sz w:val="24"/>
                <w:szCs w:val="24"/>
              </w:rPr>
              <w:t>37,675,208.35</w:t>
            </w:r>
          </w:p>
        </w:tc>
        <w:tc>
          <w:tcPr>
            <w:vAlign w:val="center"/>
          </w:tcPr>
          <w:p>
            <w:pPr>
              <w:jc w:val="right"/>
            </w:pPr>
            <w:r>
              <w:rPr>
                <w:color w:val="000000"/>
                <w:sz w:val="24"/>
                <w:szCs w:val="24"/>
              </w:rPr>
              <w:t>7.03</w:t>
            </w:r>
          </w:p>
        </w:tc>
      </w:tr>
      <w:tr>
        <w:tc>
          <w:tcPr>
            <w:vAlign w:val="center"/>
          </w:tcPr>
          <w:p>
            <w:pPr>
              <w:jc w:val="center"/>
            </w:pPr>
            <w:r>
              <w:rPr>
                <w:color w:val="000000"/>
                <w:sz w:val="24"/>
                <w:szCs w:val="24"/>
              </w:rPr>
              <w:t>4</w:t>
            </w:r>
          </w:p>
        </w:tc>
        <w:tc>
          <w:tcPr>
            <w:vAlign w:val="center"/>
          </w:tcPr>
          <w:p>
            <w:pPr>
              <w:jc w:val="center"/>
            </w:pPr>
            <w:r>
              <w:rPr>
                <w:color w:val="000000"/>
                <w:sz w:val="24"/>
                <w:szCs w:val="24"/>
              </w:rPr>
              <w:t>300146</w:t>
            </w:r>
          </w:p>
        </w:tc>
        <w:tc>
          <w:tcPr>
            <w:vAlign w:val="center"/>
          </w:tcPr>
          <w:p>
            <w:pPr>
              <w:jc w:val="center"/>
            </w:pPr>
            <w:r>
              <w:rPr>
                <w:color w:val="000000"/>
                <w:sz w:val="24"/>
                <w:szCs w:val="24"/>
              </w:rPr>
              <w:t>汤臣倍健</w:t>
            </w:r>
          </w:p>
        </w:tc>
        <w:tc>
          <w:tcPr>
            <w:vAlign w:val="center"/>
          </w:tcPr>
          <w:p>
            <w:pPr>
              <w:jc w:val="right"/>
            </w:pPr>
            <w:r>
              <w:rPr>
                <w:color w:val="000000"/>
                <w:sz w:val="24"/>
                <w:szCs w:val="24"/>
              </w:rPr>
              <w:t>1,319,209</w:t>
            </w:r>
          </w:p>
        </w:tc>
        <w:tc>
          <w:tcPr>
            <w:vAlign w:val="center"/>
          </w:tcPr>
          <w:p>
            <w:pPr>
              <w:jc w:val="right"/>
            </w:pPr>
            <w:r>
              <w:rPr>
                <w:color w:val="000000"/>
                <w:sz w:val="24"/>
                <w:szCs w:val="24"/>
              </w:rPr>
              <w:t>31,858,897.35</w:t>
            </w:r>
          </w:p>
        </w:tc>
        <w:tc>
          <w:tcPr>
            <w:vAlign w:val="center"/>
          </w:tcPr>
          <w:p>
            <w:pPr>
              <w:jc w:val="right"/>
            </w:pPr>
            <w:r>
              <w:rPr>
                <w:color w:val="000000"/>
                <w:sz w:val="24"/>
                <w:szCs w:val="24"/>
              </w:rPr>
              <w:t>5.95</w:t>
            </w:r>
          </w:p>
        </w:tc>
      </w:tr>
      <w:tr>
        <w:tc>
          <w:tcPr>
            <w:vAlign w:val="center"/>
          </w:tcPr>
          <w:p>
            <w:pPr>
              <w:jc w:val="center"/>
            </w:pPr>
            <w:r>
              <w:rPr>
                <w:color w:val="000000"/>
                <w:sz w:val="24"/>
                <w:szCs w:val="24"/>
              </w:rPr>
              <w:t>5</w:t>
            </w:r>
          </w:p>
        </w:tc>
        <w:tc>
          <w:tcPr>
            <w:vAlign w:val="center"/>
          </w:tcPr>
          <w:p>
            <w:pPr>
              <w:jc w:val="center"/>
            </w:pPr>
            <w:r>
              <w:rPr>
                <w:color w:val="000000"/>
                <w:sz w:val="24"/>
                <w:szCs w:val="24"/>
              </w:rPr>
              <w:t>000799</w:t>
            </w:r>
          </w:p>
        </w:tc>
        <w:tc>
          <w:tcPr>
            <w:vAlign w:val="center"/>
          </w:tcPr>
          <w:p>
            <w:pPr>
              <w:jc w:val="center"/>
            </w:pPr>
            <w:r>
              <w:rPr>
                <w:color w:val="000000"/>
                <w:sz w:val="24"/>
                <w:szCs w:val="24"/>
              </w:rPr>
              <w:t>酒鬼酒</w:t>
            </w:r>
          </w:p>
        </w:tc>
        <w:tc>
          <w:tcPr>
            <w:vAlign w:val="center"/>
          </w:tcPr>
          <w:p>
            <w:pPr>
              <w:jc w:val="right"/>
            </w:pPr>
            <w:r>
              <w:rPr>
                <w:color w:val="000000"/>
                <w:sz w:val="24"/>
                <w:szCs w:val="24"/>
              </w:rPr>
              <w:t>170,373</w:t>
            </w:r>
          </w:p>
        </w:tc>
        <w:tc>
          <w:tcPr>
            <w:vAlign w:val="center"/>
          </w:tcPr>
          <w:p>
            <w:pPr>
              <w:jc w:val="right"/>
            </w:pPr>
            <w:r>
              <w:rPr>
                <w:color w:val="000000"/>
                <w:sz w:val="24"/>
                <w:szCs w:val="24"/>
              </w:rPr>
              <w:t>26,663,374.50</w:t>
            </w:r>
          </w:p>
        </w:tc>
        <w:tc>
          <w:tcPr>
            <w:vAlign w:val="center"/>
          </w:tcPr>
          <w:p>
            <w:pPr>
              <w:jc w:val="right"/>
            </w:pPr>
            <w:r>
              <w:rPr>
                <w:color w:val="000000"/>
                <w:sz w:val="24"/>
                <w:szCs w:val="24"/>
              </w:rPr>
              <w:t>4.98</w:t>
            </w:r>
          </w:p>
        </w:tc>
      </w:tr>
      <w:tr>
        <w:tc>
          <w:tcPr>
            <w:vAlign w:val="center"/>
          </w:tcPr>
          <w:p>
            <w:pPr>
              <w:jc w:val="center"/>
            </w:pPr>
            <w:r>
              <w:rPr>
                <w:color w:val="000000"/>
                <w:sz w:val="24"/>
                <w:szCs w:val="24"/>
              </w:rPr>
              <w:t>6</w:t>
            </w:r>
          </w:p>
        </w:tc>
        <w:tc>
          <w:tcPr>
            <w:vAlign w:val="center"/>
          </w:tcPr>
          <w:p>
            <w:pPr>
              <w:jc w:val="center"/>
            </w:pPr>
            <w:r>
              <w:rPr>
                <w:color w:val="000000"/>
                <w:sz w:val="24"/>
                <w:szCs w:val="24"/>
              </w:rPr>
              <w:t>600754</w:t>
            </w:r>
          </w:p>
        </w:tc>
        <w:tc>
          <w:tcPr>
            <w:vAlign w:val="center"/>
          </w:tcPr>
          <w:p>
            <w:pPr>
              <w:jc w:val="center"/>
            </w:pPr>
            <w:r>
              <w:rPr>
                <w:color w:val="000000"/>
                <w:sz w:val="24"/>
                <w:szCs w:val="24"/>
              </w:rPr>
              <w:t>锦江酒店</w:t>
            </w:r>
          </w:p>
        </w:tc>
        <w:tc>
          <w:tcPr>
            <w:vAlign w:val="center"/>
          </w:tcPr>
          <w:p>
            <w:pPr>
              <w:jc w:val="right"/>
            </w:pPr>
            <w:r>
              <w:rPr>
                <w:color w:val="000000"/>
                <w:sz w:val="24"/>
                <w:szCs w:val="24"/>
              </w:rPr>
              <w:t>509,100</w:t>
            </w:r>
          </w:p>
        </w:tc>
        <w:tc>
          <w:tcPr>
            <w:vAlign w:val="center"/>
          </w:tcPr>
          <w:p>
            <w:pPr>
              <w:jc w:val="right"/>
            </w:pPr>
            <w:r>
              <w:rPr>
                <w:color w:val="000000"/>
                <w:sz w:val="24"/>
                <w:szCs w:val="24"/>
              </w:rPr>
              <w:t>26,233,923.00</w:t>
            </w:r>
          </w:p>
        </w:tc>
        <w:tc>
          <w:tcPr>
            <w:vAlign w:val="center"/>
          </w:tcPr>
          <w:p>
            <w:pPr>
              <w:jc w:val="right"/>
            </w:pPr>
            <w:r>
              <w:rPr>
                <w:color w:val="000000"/>
                <w:sz w:val="24"/>
                <w:szCs w:val="24"/>
              </w:rPr>
              <w:t>4.90</w:t>
            </w:r>
          </w:p>
        </w:tc>
      </w:tr>
      <w:tr>
        <w:tc>
          <w:tcPr>
            <w:vAlign w:val="center"/>
          </w:tcPr>
          <w:p>
            <w:pPr>
              <w:jc w:val="center"/>
            </w:pPr>
            <w:r>
              <w:rPr>
                <w:color w:val="000000"/>
                <w:sz w:val="24"/>
                <w:szCs w:val="24"/>
              </w:rPr>
              <w:t>7</w:t>
            </w:r>
          </w:p>
        </w:tc>
        <w:tc>
          <w:tcPr>
            <w:vAlign w:val="center"/>
          </w:tcPr>
          <w:p>
            <w:pPr>
              <w:jc w:val="center"/>
            </w:pPr>
            <w:r>
              <w:rPr>
                <w:color w:val="000000"/>
                <w:sz w:val="24"/>
                <w:szCs w:val="24"/>
              </w:rPr>
              <w:t>000002</w:t>
            </w:r>
          </w:p>
        </w:tc>
        <w:tc>
          <w:tcPr>
            <w:vAlign w:val="center"/>
          </w:tcPr>
          <w:p>
            <w:pPr>
              <w:jc w:val="center"/>
            </w:pPr>
            <w:r>
              <w:rPr>
                <w:color w:val="000000"/>
                <w:sz w:val="24"/>
                <w:szCs w:val="24"/>
              </w:rPr>
              <w:t>万科A</w:t>
            </w:r>
          </w:p>
        </w:tc>
        <w:tc>
          <w:tcPr>
            <w:vAlign w:val="center"/>
          </w:tcPr>
          <w:p>
            <w:pPr>
              <w:jc w:val="right"/>
            </w:pPr>
            <w:r>
              <w:rPr>
                <w:color w:val="000000"/>
                <w:sz w:val="24"/>
                <w:szCs w:val="24"/>
              </w:rPr>
              <w:t>842,000</w:t>
            </w:r>
          </w:p>
        </w:tc>
        <w:tc>
          <w:tcPr>
            <w:vAlign w:val="center"/>
          </w:tcPr>
          <w:p>
            <w:pPr>
              <w:jc w:val="right"/>
            </w:pPr>
            <w:r>
              <w:rPr>
                <w:color w:val="000000"/>
                <w:sz w:val="24"/>
                <w:szCs w:val="24"/>
              </w:rPr>
              <w:t>24,165,400.00</w:t>
            </w:r>
          </w:p>
        </w:tc>
        <w:tc>
          <w:tcPr>
            <w:vAlign w:val="center"/>
          </w:tcPr>
          <w:p>
            <w:pPr>
              <w:jc w:val="right"/>
            </w:pPr>
            <w:r>
              <w:rPr>
                <w:color w:val="000000"/>
                <w:sz w:val="24"/>
                <w:szCs w:val="24"/>
              </w:rPr>
              <w:t>4.51</w:t>
            </w:r>
          </w:p>
        </w:tc>
      </w:tr>
      <w:tr>
        <w:tc>
          <w:tcPr>
            <w:vAlign w:val="center"/>
          </w:tcPr>
          <w:p>
            <w:pPr>
              <w:jc w:val="center"/>
            </w:pPr>
            <w:r>
              <w:rPr>
                <w:color w:val="000000"/>
                <w:sz w:val="24"/>
                <w:szCs w:val="24"/>
              </w:rPr>
              <w:t>8</w:t>
            </w:r>
          </w:p>
        </w:tc>
        <w:tc>
          <w:tcPr>
            <w:vAlign w:val="center"/>
          </w:tcPr>
          <w:p>
            <w:pPr>
              <w:jc w:val="center"/>
            </w:pPr>
            <w:r>
              <w:rPr>
                <w:color w:val="000000"/>
                <w:sz w:val="24"/>
                <w:szCs w:val="24"/>
              </w:rPr>
              <w:t>603259</w:t>
            </w:r>
          </w:p>
        </w:tc>
        <w:tc>
          <w:tcPr>
            <w:vAlign w:val="center"/>
          </w:tcPr>
          <w:p>
            <w:pPr>
              <w:jc w:val="center"/>
            </w:pPr>
            <w:r>
              <w:rPr>
                <w:color w:val="000000"/>
                <w:sz w:val="24"/>
                <w:szCs w:val="24"/>
              </w:rPr>
              <w:t>药明康德</w:t>
            </w:r>
          </w:p>
        </w:tc>
        <w:tc>
          <w:tcPr>
            <w:vAlign w:val="center"/>
          </w:tcPr>
          <w:p>
            <w:pPr>
              <w:jc w:val="right"/>
            </w:pPr>
            <w:r>
              <w:rPr>
                <w:color w:val="000000"/>
                <w:sz w:val="24"/>
                <w:szCs w:val="24"/>
              </w:rPr>
              <w:t>165,920</w:t>
            </w:r>
          </w:p>
        </w:tc>
        <w:tc>
          <w:tcPr>
            <w:vAlign w:val="center"/>
          </w:tcPr>
          <w:p>
            <w:pPr>
              <w:jc w:val="right"/>
            </w:pPr>
            <w:r>
              <w:rPr>
                <w:color w:val="000000"/>
                <w:sz w:val="24"/>
                <w:szCs w:val="24"/>
              </w:rPr>
              <w:t>22,352,742.40</w:t>
            </w:r>
          </w:p>
        </w:tc>
        <w:tc>
          <w:tcPr>
            <w:vAlign w:val="center"/>
          </w:tcPr>
          <w:p>
            <w:pPr>
              <w:jc w:val="right"/>
            </w:pPr>
            <w:r>
              <w:rPr>
                <w:color w:val="000000"/>
                <w:sz w:val="24"/>
                <w:szCs w:val="24"/>
              </w:rPr>
              <w:t>4.17</w:t>
            </w:r>
          </w:p>
        </w:tc>
      </w:tr>
      <w:tr>
        <w:tc>
          <w:tcPr>
            <w:vAlign w:val="center"/>
          </w:tcPr>
          <w:p>
            <w:pPr>
              <w:jc w:val="center"/>
            </w:pPr>
            <w:r>
              <w:rPr>
                <w:color w:val="000000"/>
                <w:sz w:val="24"/>
                <w:szCs w:val="24"/>
              </w:rPr>
              <w:t>9</w:t>
            </w:r>
          </w:p>
        </w:tc>
        <w:tc>
          <w:tcPr>
            <w:vAlign w:val="center"/>
          </w:tcPr>
          <w:p>
            <w:pPr>
              <w:jc w:val="center"/>
            </w:pPr>
            <w:r>
              <w:rPr>
                <w:color w:val="000000"/>
                <w:sz w:val="24"/>
                <w:szCs w:val="24"/>
              </w:rPr>
              <w:t>600276</w:t>
            </w:r>
          </w:p>
        </w:tc>
        <w:tc>
          <w:tcPr>
            <w:vAlign w:val="center"/>
          </w:tcPr>
          <w:p>
            <w:pPr>
              <w:jc w:val="center"/>
            </w:pPr>
            <w:r>
              <w:rPr>
                <w:color w:val="000000"/>
                <w:sz w:val="24"/>
                <w:szCs w:val="24"/>
              </w:rPr>
              <w:t>恒瑞医药</w:t>
            </w:r>
          </w:p>
        </w:tc>
        <w:tc>
          <w:tcPr>
            <w:vAlign w:val="center"/>
          </w:tcPr>
          <w:p>
            <w:pPr>
              <w:jc w:val="right"/>
            </w:pPr>
            <w:r>
              <w:rPr>
                <w:color w:val="000000"/>
                <w:sz w:val="24"/>
                <w:szCs w:val="24"/>
              </w:rPr>
              <w:t>190,093</w:t>
            </w:r>
          </w:p>
        </w:tc>
        <w:tc>
          <w:tcPr>
            <w:vAlign w:val="center"/>
          </w:tcPr>
          <w:p>
            <w:pPr>
              <w:jc w:val="right"/>
            </w:pPr>
            <w:r>
              <w:rPr>
                <w:color w:val="000000"/>
                <w:sz w:val="24"/>
                <w:szCs w:val="24"/>
              </w:rPr>
              <w:t>21,187,765.78</w:t>
            </w:r>
          </w:p>
        </w:tc>
        <w:tc>
          <w:tcPr>
            <w:vAlign w:val="center"/>
          </w:tcPr>
          <w:p>
            <w:pPr>
              <w:jc w:val="right"/>
            </w:pPr>
            <w:r>
              <w:rPr>
                <w:color w:val="000000"/>
                <w:sz w:val="24"/>
                <w:szCs w:val="24"/>
              </w:rPr>
              <w:t>3.96</w:t>
            </w:r>
          </w:p>
        </w:tc>
      </w:tr>
      <w:tr>
        <w:tc>
          <w:tcPr>
            <w:vAlign w:val="center"/>
          </w:tcPr>
          <w:p>
            <w:pPr>
              <w:jc w:val="center"/>
            </w:pPr>
            <w:r>
              <w:rPr>
                <w:color w:val="000000"/>
                <w:sz w:val="24"/>
                <w:szCs w:val="24"/>
              </w:rPr>
              <w:t>10</w:t>
            </w:r>
          </w:p>
        </w:tc>
        <w:tc>
          <w:tcPr>
            <w:vAlign w:val="center"/>
          </w:tcPr>
          <w:p>
            <w:pPr>
              <w:jc w:val="center"/>
            </w:pPr>
            <w:r>
              <w:rPr>
                <w:color w:val="000000"/>
                <w:sz w:val="24"/>
                <w:szCs w:val="24"/>
              </w:rPr>
              <w:t>002271</w:t>
            </w:r>
          </w:p>
        </w:tc>
        <w:tc>
          <w:tcPr>
            <w:vAlign w:val="center"/>
          </w:tcPr>
          <w:p>
            <w:pPr>
              <w:jc w:val="center"/>
            </w:pPr>
            <w:r>
              <w:rPr>
                <w:color w:val="000000"/>
                <w:sz w:val="24"/>
                <w:szCs w:val="24"/>
              </w:rPr>
              <w:t>东方雨虹</w:t>
            </w:r>
          </w:p>
        </w:tc>
        <w:tc>
          <w:tcPr>
            <w:vAlign w:val="center"/>
          </w:tcPr>
          <w:p>
            <w:pPr>
              <w:jc w:val="right"/>
            </w:pPr>
            <w:r>
              <w:rPr>
                <w:color w:val="000000"/>
                <w:sz w:val="24"/>
                <w:szCs w:val="24"/>
              </w:rPr>
              <w:t>435,300</w:t>
            </w:r>
          </w:p>
        </w:tc>
        <w:tc>
          <w:tcPr>
            <w:vAlign w:val="center"/>
          </w:tcPr>
          <w:p>
            <w:pPr>
              <w:jc w:val="right"/>
            </w:pPr>
            <w:r>
              <w:rPr>
                <w:color w:val="000000"/>
                <w:sz w:val="24"/>
                <w:szCs w:val="24"/>
              </w:rPr>
              <w:t>16,889,640.00</w:t>
            </w:r>
          </w:p>
        </w:tc>
        <w:tc>
          <w:tcPr>
            <w:vAlign w:val="center"/>
          </w:tcPr>
          <w:p>
            <w:pPr>
              <w:jc w:val="right"/>
            </w:pPr>
            <w:r>
              <w:rPr>
                <w:color w:val="000000"/>
                <w:sz w:val="24"/>
                <w:szCs w:val="24"/>
              </w:rPr>
              <w:t>3.15</w:t>
            </w:r>
          </w:p>
        </w:tc>
      </w:tr>
    </w:tbl>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P="009C1009" w:rsidR="00CE7169" w:rsidRDefault="009C1009" w:rsidRPr="00CE716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
      </w:r>
      <w:r w:rsidRPr="009C1009">
        <w:rPr>
          <w:rFonts w:hint="eastAsia"/>
          <w:bCs/>
          <w:color w:val="000000"/>
          <w:kern w:val="0"/>
          <w:sz w:val="24"/>
          <w:szCs w:val="24"/>
        </w:rPr>
        <w:t>金额单位：人民币元</w:t>
      </w:r>
    </w:p>
    <w:tbl>
      <w:tblPr>
        <w:tblStyle w:val="af7"/>
        <w:tblW w:type="dxa" w:w="8868"/>
        <w:jc w:val="center"/>
        <w:tblLayout w:type="fixed"/>
        <w:tblLook w:firstColumn="1" w:firstRow="1" w:lastColumn="0" w:lastRow="0" w:noHBand="0" w:noVBand="1" w:val="04A0"/>
      </w:tblPr>
      <w:tblGrid>
        <w:gridCol w:w="828"/>
        <w:gridCol w:w="3302"/>
        <w:gridCol w:w="2987"/>
        <w:gridCol w:w="1751"/>
      </w:tblGrid>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序号</w:t>
            </w:r>
          </w:p>
        </w:tc>
        <w:tc>
          <w:tcPr>
            <w:tcW w:type="dxa" w:w="3302"/>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债券品种</w:t>
            </w:r>
            <w:r w:rsidR="00F71057" w:rsidRPr="00414345">
              <w:rPr>
                <w:color w:val="000000"/>
                <w:sz w:val="24"/>
                <w:szCs w:val="24"/>
              </w:rPr>
              <w:t/>
            </w:r>
          </w:p>
        </w:tc>
        <w:tc>
          <w:tcPr>
            <w:tcW w:type="dxa" w:w="2987"/>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公允价值</w:t>
            </w:r>
          </w:p>
        </w:tc>
        <w:tc>
          <w:tcPr>
            <w:tcW w:type="dxa" w:w="1751"/>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占基金资产净值比例</w:t>
            </w:r>
            <w:r w:rsidR="003F0956">
              <w:rPr>
                <w:rFonts w:hint="eastAsia"/>
                <w:color w:val="000000"/>
                <w:sz w:val="24"/>
              </w:rPr>
              <w:t>(</w:t>
            </w:r>
            <w:r w:rsidR="003F0956">
              <w:rPr>
                <w:color w:val="000000"/>
                <w:sz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1</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国家债券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lastRenderedPageBreak/>
              <w:t>2</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央行票据</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3</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金融债券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其中：政策性金融债</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4</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企业债券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5</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type="dxa" w:w="828"/>
            <w:vAlign w:val="center"/>
          </w:tcPr>
          <w:p w:rsidP="00C15CAC" w:rsidR="00FB41D3" w:rsidRDefault="00FB41D3" w:rsidRPr="00414345">
            <w:pPr>
              <w:spacing w:before="29" w:line="288" w:lineRule="auto"/>
              <w:ind w:left="17"/>
              <w:jc w:val="center"/>
              <w:rPr>
                <w:color w:val="000000"/>
                <w:sz w:val="24"/>
                <w:szCs w:val="24"/>
              </w:rPr>
            </w:pPr>
            <w:r w:rsidRPr="00414345">
              <w:rPr>
                <w:color w:val="000000"/>
                <w:sz w:val="24"/>
                <w:szCs w:val="24"/>
              </w:rPr>
              <w:t>6</w:t>
            </w:r>
          </w:p>
        </w:tc>
        <w:tc>
          <w:tcPr>
            <w:tcW w:type="dxa" w:w="3302"/>
            <w:vAlign w:val="center"/>
          </w:tcPr>
          <w:p w:rsidP="00C15CAC" w:rsidR="00FB41D3" w:rsidRDefault="00FB41D3" w:rsidRPr="00414345">
            <w:pPr>
              <w:spacing w:before="29" w:line="288" w:lineRule="auto"/>
              <w:ind w:left="17"/>
              <w:jc w:val="left"/>
              <w:rPr>
                <w:color w:val="000000"/>
                <w:sz w:val="24"/>
                <w:szCs w:val="24"/>
              </w:rPr>
            </w:pPr>
            <w:r w:rsidRPr="00414345">
              <w:rPr>
                <w:color w:val="000000"/>
                <w:sz w:val="24"/>
                <w:szCs w:val="24"/>
              </w:rPr>
              <w:t>中期票据</w:t>
            </w:r>
          </w:p>
        </w:tc>
        <w:tc>
          <w:tcPr>
            <w:tcW w:type="dxa" w:w="2987"/>
            <w:vAlign w:val="center"/>
          </w:tcPr>
          <w:p w:rsidP="00C15CAC" w:rsidR="00FB41D3" w:rsidRDefault="00FB41D3"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FB41D3" w:rsidRDefault="00FB41D3" w:rsidRPr="00414345">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w:t>
            </w:r>
          </w:p>
        </w:tc>
      </w:tr>
      <w:tr w:rsidR="00AC592E" w:rsidRPr="00414345" w:rsidTr="00F323FF">
        <w:trPr>
          <w:jc w:val="center"/>
        </w:trPr>
        <w:tc>
          <w:tcPr>
            <w:tcW w:type="dxa" w:w="828"/>
            <w:vAlign w:val="center"/>
          </w:tcPr>
          <w:p w:rsidP="00C15CAC" w:rsidR="00AC592E" w:rsidRDefault="00FB41D3" w:rsidRPr="00414345">
            <w:pPr>
              <w:spacing w:before="29" w:line="288" w:lineRule="auto"/>
              <w:ind w:left="17"/>
              <w:jc w:val="center"/>
              <w:rPr>
                <w:color w:val="000000"/>
                <w:sz w:val="24"/>
                <w:szCs w:val="24"/>
              </w:rPr>
            </w:pPr>
            <w:r w:rsidRPr="00414345">
              <w:rPr>
                <w:color w:val="000000"/>
                <w:sz w:val="24"/>
                <w:szCs w:val="24"/>
              </w:rPr>
              <w:lastRenderedPageBreak/>
              <w:t>7</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11,671,370.00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2.18</w:t>
            </w:r>
          </w:p>
        </w:tc>
      </w:tr>
      <w:tr w:rsidR="00F323FF" w:rsidRPr="00414345" w:rsidTr="0006711A">
        <w:trPr>
          <w:jc w:val="center"/>
        </w:trPr>
        <w:tc>
          <w:tcPr>
            <w:tcW w:type="dxa" w:w="828"/>
            <w:vAlign w:val="center"/>
          </w:tcPr>
          <w:p w:rsidP="0006711A" w:rsidR="00F323FF" w:rsidRDefault="00F323FF" w:rsidRPr="007A70C2">
            <w:pPr>
              <w:spacing w:before="29" w:line="288" w:lineRule="auto"/>
              <w:ind w:left="17"/>
              <w:jc w:val="center"/>
              <w:rPr>
                <w:color w:val="000000"/>
                <w:sz w:val="24"/>
                <w:szCs w:val="24"/>
              </w:rPr>
            </w:pPr>
            <w:r w:rsidRPr="007A70C2">
              <w:rPr>
                <w:rFonts w:hint="eastAsia"/>
                <w:color w:val="000000"/>
                <w:sz w:val="24"/>
                <w:szCs w:val="24"/>
              </w:rPr>
              <w:t>8</w:t>
            </w:r>
          </w:p>
        </w:tc>
        <w:tc>
          <w:tcPr>
            <w:tcW w:type="dxa" w:w="3302"/>
            <w:vAlign w:val="center"/>
          </w:tcPr>
          <w:p w:rsidP="0006711A" w:rsidR="00F323FF" w:rsidRDefault="00F323FF" w:rsidRPr="007A70C2">
            <w:pPr>
              <w:spacing w:before="29" w:line="288" w:lineRule="auto"/>
              <w:ind w:left="17"/>
              <w:jc w:val="left"/>
              <w:rPr>
                <w:color w:val="000000"/>
                <w:sz w:val="24"/>
                <w:szCs w:val="24"/>
              </w:rPr>
            </w:pPr>
            <w:r w:rsidRPr="007A70C2">
              <w:rPr>
                <w:rFonts w:hint="eastAsia"/>
                <w:color w:val="000000"/>
                <w:sz w:val="24"/>
                <w:szCs w:val="24"/>
              </w:rPr>
              <w:t>同业存单</w:t>
            </w:r>
          </w:p>
        </w:tc>
        <w:tc>
          <w:tcPr>
            <w:tcW w:type="dxa" w:w="2987"/>
            <w:vAlign w:val="center"/>
          </w:tcPr>
          <w:p w:rsidP="0006711A" w:rsidR="00F323FF" w:rsidRDefault="00F323FF" w:rsidRPr="007A70C2">
            <w:pPr>
              <w:spacing w:before="29" w:line="288" w:lineRule="auto"/>
              <w:ind w:left="17"/>
              <w:jc w:val="right"/>
              <w:rPr>
                <w:color w:val="000000"/>
                <w:sz w:val="24"/>
                <w:szCs w:val="24"/>
              </w:rPr>
            </w:pPr>
            <w:r w:rsidRPr="007A70C2">
              <w:rPr>
                <w:rFonts w:hint="eastAsia"/>
                <w:color w:val="000000"/>
                <w:sz w:val="24"/>
                <w:szCs w:val="24"/>
              </w:rPr>
              <w:t/>
            </w:r>
            <w:r w:rsidRPr="007A70C2">
              <w:rPr>
                <w:color w:val="000000"/>
                <w:sz w:val="24"/>
                <w:szCs w:val="24"/>
              </w:rPr>
              <w:t/>
            </w:r>
            <w:r w:rsidRPr="007A70C2">
              <w:rPr>
                <w:rFonts w:hint="eastAsia"/>
                <w:color w:val="000000"/>
                <w:sz w:val="24"/>
                <w:szCs w:val="24"/>
              </w:rPr>
              <w:t>-</w:t>
            </w:r>
          </w:p>
        </w:tc>
        <w:tc>
          <w:tcPr>
            <w:tcW w:type="dxa" w:w="1751"/>
            <w:vAlign w:val="center"/>
          </w:tcPr>
          <w:p w:rsidP="0006711A" w:rsidR="00F323FF" w:rsidRDefault="00F323FF" w:rsidRPr="007A70C2">
            <w:pPr>
              <w:spacing w:before="29" w:line="288" w:lineRule="auto"/>
              <w:ind w:left="17"/>
              <w:jc w:val="right"/>
              <w:rPr>
                <w:color w:val="000000"/>
                <w:sz w:val="24"/>
                <w:szCs w:val="24"/>
              </w:rPr>
            </w:pPr>
            <w:r w:rsidRPr="007A70C2">
              <w:rPr>
                <w:rFonts w:hint="eastAsia"/>
                <w:color w:val="000000"/>
                <w:sz w:val="24"/>
                <w:szCs w:val="24"/>
              </w:rPr>
              <w:t/>
            </w:r>
            <w:r w:rsidRPr="007A70C2">
              <w:rPr>
                <w:color w:val="000000"/>
                <w:sz w:val="24"/>
                <w:szCs w:val="24"/>
              </w:rPr>
              <w:t/>
            </w:r>
            <w:r w:rsidRPr="007A70C2">
              <w:rPr>
                <w:rFonts w:hint="eastAsia"/>
                <w:color w:val="000000"/>
                <w:sz w:val="24"/>
                <w:szCs w:val="24"/>
              </w:rPr>
              <w:t>-</w:t>
            </w:r>
          </w:p>
        </w:tc>
      </w:tr>
      <w:tr w:rsidR="00AC592E" w:rsidRPr="00414345" w:rsidTr="00F323FF">
        <w:trPr>
          <w:jc w:val="center"/>
        </w:trPr>
        <w:tc>
          <w:tcPr>
            <w:tcW w:type="dxa" w:w="828"/>
            <w:vAlign w:val="center"/>
          </w:tcPr>
          <w:p w:rsidP="00F323FF" w:rsidR="00AC592E" w:rsidRDefault="00AC592E" w:rsidRPr="00414345">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9</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其他</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F323FF" w:rsidR="00AC592E" w:rsidRDefault="00AC592E" w:rsidRPr="00414345">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10</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合计</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11,671,370.00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2.18</w:t>
            </w:r>
          </w:p>
        </w:tc>
      </w:tr>
    </w:tbl>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P="009C1009" w:rsidR="005B4C8F" w:rsidRDefault="009C1009" w:rsidRPr="005B4C8F">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
      </w:r>
      <w:r w:rsidRPr="009C1009">
        <w:rPr>
          <w:rFonts w:hint="eastAsia"/>
          <w:bCs/>
          <w:color w:val="000000"/>
          <w:kern w:val="0"/>
          <w:sz w:val="24"/>
          <w:szCs w:val="24"/>
        </w:rPr>
        <w:t>金额单位：人民币元</w:t>
      </w:r>
    </w:p>
    <w:tbl>
      <w:tblPr>
        <w:tblStyle w:val="af7"/>
        <w:tblW w:type="dxa" w:w="8868"/>
        <w:jc w:val="center"/>
        <w:tblLayout w:type="fixed"/>
        <w:tblCellMar>
          <w:top w:type="dxa" w:w="57"/>
          <w:bottom w:type="dxa" w:w="57"/>
        </w:tblCellMar>
        <w:tblLook w:firstColumn="1" w:firstRow="1" w:lastColumn="0" w:lastRow="0" w:noHBand="0" w:noVBand="1" w:val="04A0"/>
      </w:tblPr>
      <w:tblGrid>
        <w:gridCol w:w="850"/>
        <w:gridCol w:w="1475"/>
        <w:gridCol w:w="1769"/>
        <w:gridCol w:w="1387"/>
        <w:gridCol w:w="2150"/>
        <w:gridCol w:w="1237"/>
      </w:tblGrid>
      <w:tr w:rsidR="00D57B7C" w:rsidRPr="00414345" w:rsidTr="00A324F4">
        <w:trPr>
          <w:jc w:val="center"/>
        </w:trPr>
        <w:tc>
          <w:tcPr>
            <w:tcW w:type="dxa" w:w="817"/>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序号</w:t>
            </w:r>
          </w:p>
        </w:tc>
        <w:tc>
          <w:tcPr>
            <w:tcW w:type="dxa" w:w="141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债券代码</w:t>
            </w:r>
          </w:p>
        </w:tc>
        <w:tc>
          <w:tcPr>
            <w:tcW w:type="dxa" w:w="1701"/>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债券名称</w:t>
            </w:r>
          </w:p>
        </w:tc>
        <w:tc>
          <w:tcPr>
            <w:tcW w:type="dxa" w:w="1334"/>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数量</w:t>
            </w:r>
            <w:r w:rsidR="009D1BD9">
              <w:rPr>
                <w:rFonts w:hint="eastAsia"/>
                <w:color w:val="000000"/>
                <w:sz w:val="24"/>
              </w:rPr>
              <w:t>(</w:t>
            </w:r>
            <w:r w:rsidR="009D1BD9">
              <w:rPr>
                <w:rFonts w:hint="eastAsia"/>
                <w:color w:val="000000"/>
                <w:sz w:val="24"/>
              </w:rPr>
              <w:t>张</w:t>
            </w:r>
            <w:r w:rsidR="009D1BD9">
              <w:rPr>
                <w:color w:val="000000"/>
                <w:sz w:val="24"/>
              </w:rPr>
              <w:t>)</w:t>
            </w:r>
          </w:p>
        </w:tc>
        <w:tc>
          <w:tcPr>
            <w:tcW w:type="dxa" w:w="206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公允价值</w:t>
            </w:r>
          </w:p>
        </w:tc>
        <w:tc>
          <w:tcPr>
            <w:tcW w:type="dxa" w:w="1190"/>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占基金资产净值比</w:t>
            </w:r>
            <w:r w:rsidRPr="00414345">
              <w:rPr>
                <w:color w:val="000000"/>
                <w:sz w:val="24"/>
                <w:szCs w:val="24"/>
              </w:rPr>
              <w:lastRenderedPageBreak/>
              <w:t>例</w:t>
            </w:r>
            <w:r w:rsidR="003B3494"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110059</w:t>
            </w:r>
          </w:p>
        </w:tc>
        <w:tc>
          <w:tcPr>
            <w:vAlign w:val="center"/>
          </w:tcPr>
          <w:p>
            <w:pPr>
              <w:jc w:val="center"/>
            </w:pPr>
            <w:r>
              <w:rPr>
                <w:color w:val="000000"/>
                <w:sz w:val="24"/>
                <w:szCs w:val="24"/>
              </w:rPr>
              <w:t>浦发转债</w:t>
            </w:r>
          </w:p>
        </w:tc>
        <w:tc>
          <w:tcPr>
            <w:vAlign w:val="center"/>
          </w:tcPr>
          <w:p>
            <w:pPr>
              <w:jc w:val="right"/>
            </w:pPr>
            <w:r>
              <w:rPr>
                <w:color w:val="000000"/>
                <w:sz w:val="24"/>
                <w:szCs w:val="24"/>
              </w:rPr>
              <w:t>114,650</w:t>
            </w:r>
          </w:p>
        </w:tc>
        <w:tc>
          <w:tcPr>
            <w:vAlign w:val="center"/>
          </w:tcPr>
          <w:p>
            <w:pPr>
              <w:jc w:val="right"/>
            </w:pPr>
            <w:r>
              <w:rPr>
                <w:color w:val="000000"/>
                <w:sz w:val="24"/>
                <w:szCs w:val="24"/>
              </w:rPr>
              <w:t>11,671,370.00</w:t>
            </w:r>
          </w:p>
        </w:tc>
        <w:tc>
          <w:tcPr>
            <w:vAlign w:val="center"/>
          </w:tcPr>
          <w:p>
            <w:pPr>
              <w:jc w:val="right"/>
            </w:pPr>
            <w:r>
              <w:rPr>
                <w:color w:val="000000"/>
                <w:sz w:val="24"/>
                <w:szCs w:val="24"/>
              </w:rPr>
              <w:t>2.18</w:t>
            </w:r>
          </w:p>
        </w:tc>
      </w:tr>
    </w:tbl>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本基金本报告期末未持有资产支持证券。</w:t>
      </w:r>
    </w:p>
    <w:p w:rsidP="00C15CAC" w:rsidR="00A54C7D" w:rsidRDefault="00A54C7D" w:rsidRPr="00414345">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P="00C15CAC" w:rsidR="00632B0F" w:rsidRDefault="00632B0F" w:rsidRPr="00414345">
      <w:pPr>
        <w:widowControl/>
        <w:spacing w:line="288" w:lineRule="auto"/>
        <w:jc w:val="left"/>
        <w:rPr>
          <w:sz w:val="24"/>
          <w:szCs w:val="24"/>
        </w:rPr>
      </w:pPr>
      <w:r w:rsidRPr="00414345">
        <w:rPr>
          <w:sz w:val="24"/>
          <w:szCs w:val="24"/>
        </w:rPr>
        <w:t>本基金本报告期末未持有贵金属。</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A917B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336EAF"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w:r>
      <w:r w:rsidR="00315D5D" w:rsidRPr="00414345">
        <w:rPr>
          <w:color w:val="000000"/>
          <w:sz w:val="24"/>
          <w:szCs w:val="24"/>
        </w:rPr>
        <w:t/>
      </w:r>
      <w:r w:rsidR="004061AC" w:rsidRPr="00414345">
        <w:rPr>
          <w:color w:val="000000"/>
          <w:sz w:val="24"/>
          <w:szCs w:val="24"/>
        </w:rPr>
        <w:t>本基金本报告期末未持有权证。</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275745" w:rsidRDefault="00CD570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A83500" w:rsidRPr="00414345">
        <w:rPr>
          <w:b/>
          <w:bCs/>
          <w:color w:val="000000"/>
          <w:kern w:val="0"/>
          <w:sz w:val="24"/>
          <w:szCs w:val="24"/>
        </w:rPr>
        <w:t/>
      </w:r>
      <w:r w:rsidR="003259C8"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P="00C15CAC" w:rsidR="00275745" w:rsidRDefault="00AA3A38" w:rsidRPr="00414345">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P="00C15CAC" w:rsidR="00AA3A38" w:rsidRDefault="00AA3A38" w:rsidRPr="00414345">
      <w:pPr>
        <w:adjustRightInd w:val="0"/>
        <w:snapToGrid w:val="0"/>
        <w:spacing w:before="29" w:line="288" w:lineRule="auto"/>
        <w:rPr>
          <w:sz w:val="24"/>
          <w:szCs w:val="24"/>
        </w:rPr>
      </w:pPr>
    </w:p>
    <w:p w:rsidP="00C15CAC" w:rsidR="00A669FC" w:rsidRDefault="00312A9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P="00C15CAC" w:rsidR="00312A9F" w:rsidRDefault="00312A9F" w:rsidRPr="00414345">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P="00C15CAC" w:rsidR="00426096" w:rsidRDefault="00426096" w:rsidRPr="00414345">
      <w:pPr>
        <w:autoSpaceDE w:val="0"/>
        <w:autoSpaceDN w:val="0"/>
        <w:adjustRightInd w:val="0"/>
        <w:spacing w:before="29" w:line="288" w:lineRule="auto"/>
        <w:jc w:val="left"/>
        <w:rPr>
          <w:color w:val="000000"/>
          <w:sz w:val="24"/>
          <w:szCs w:val="24"/>
        </w:rPr>
      </w:pPr>
    </w:p>
    <w:p w:rsidP="00C15CAC" w:rsidR="004061AC" w:rsidRDefault="003259C8"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P="00E40D31" w:rsidR="00BE5388" w:rsidRDefault="00BE5388" w:rsidRPr="00B34FB5">
      <w:pPr>
        <w:autoSpaceDE w:val="0"/>
        <w:autoSpaceDN w:val="0"/>
        <w:adjustRightInd w:val="0"/>
        <w:spacing w:before="29" w:line="288" w:lineRule="auto"/>
        <w:jc w:val="left"/>
        <w:rPr>
          <w:b/>
          <w:bCs/>
          <w:color w:val="000000"/>
          <w:kern w:val="0"/>
          <w:sz w:val="24"/>
          <w:szCs w:val="24"/>
        </w:rPr>
      </w:pPr>
      <w:r w:rsidRPr="00B34FB5">
        <w:rPr>
          <w:b/>
          <w:bCs/>
          <w:color w:val="000000"/>
          <w:kern w:val="0"/>
          <w:sz w:val="24"/>
          <w:szCs w:val="24"/>
        </w:rPr>
        <w:t>5.11.1</w:t>
      </w:r>
      <w:r w:rsidRPr="00AA3969">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P="00E40D31" w:rsidR="00BE5388" w:rsidRDefault="00BE5388" w:rsidRPr="00AA3969">
      <w:pPr>
        <w:autoSpaceDE w:val="0"/>
        <w:autoSpaceDN w:val="0"/>
        <w:adjustRightInd w:val="0"/>
        <w:spacing w:before="29" w:line="288" w:lineRule="auto"/>
        <w:jc w:val="left"/>
        <w:rPr>
          <w:bCs/>
          <w:color w:val="000000"/>
          <w:kern w:val="0"/>
          <w:sz w:val="24"/>
          <w:szCs w:val="24"/>
        </w:rPr>
      </w:pPr>
      <w:r w:rsidRPr="00B34FB5">
        <w:rPr>
          <w:b/>
          <w:bCs/>
          <w:color w:val="000000"/>
          <w:kern w:val="0"/>
          <w:sz w:val="24"/>
          <w:szCs w:val="24"/>
        </w:rPr>
        <w:t>5.11.2</w:t>
      </w:r>
      <w:bookmarkStart w:id="2" w:name="_GoBack"/>
      <w:r w:rsidRPr="00AA3969">
        <w:rPr>
          <w:bCs/>
          <w:color w:val="000000"/>
          <w:kern w:val="0"/>
          <w:sz w:val="24"/>
          <w:szCs w:val="24"/>
        </w:rPr>
        <w:t>本基金投资的前十名股票中，没有超出基金合同规定的备选股票库之外的股票。</w:t>
      </w:r>
    </w:p>
    <w:bookmarkEnd w:id="2"/>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P="00DD7A00" w:rsidR="00DD7A00" w:rsidRDefault="004A0AA9" w:rsidRPr="00414345">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
      </w:r>
      <w:r w:rsidRPr="004A0AA9">
        <w:rPr>
          <w:rFonts w:hint="eastAsia"/>
          <w:bCs/>
          <w:color w:val="000000"/>
          <w:kern w:val="0"/>
          <w:sz w:val="24"/>
          <w:szCs w:val="24"/>
        </w:rPr>
        <w:t>金额单位：人民币元</w:t>
      </w:r>
    </w:p>
    <w:tbl>
      <w:tblPr>
        <w:tblStyle w:val="af7"/>
        <w:tblpPr w:horzAnchor="margin" w:leftFromText="180" w:rightFromText="180" w:tblpXSpec="center" w:tblpY="265" w:vertAnchor="text"/>
        <w:tblW w:type="dxa" w:w="8868"/>
        <w:jc w:val="center"/>
        <w:tblLayout w:type="fixed"/>
        <w:tblCellMar>
          <w:top w:type="dxa" w:w="-1"/>
          <w:bottom w:type="dxa" w:w="-1"/>
        </w:tblCellMar>
        <w:tblLook w:firstColumn="1" w:firstRow="1" w:lastColumn="0" w:lastRow="0" w:noHBand="0" w:noVBand="1" w:val="04A0"/>
      </w:tblPr>
      <w:tblGrid>
        <w:gridCol w:w="1287"/>
        <w:gridCol w:w="2573"/>
        <w:gridCol w:w="5008"/>
      </w:tblGrid>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type="dxa" w:w="2470"/>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type="dxa" w:w="4808"/>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268,835.36</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lastRenderedPageBreak/>
              <w:t>2</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12,182,173.52</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35,055.68</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774,357.68</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13,260,422.24</w:t>
            </w:r>
          </w:p>
        </w:tc>
      </w:tr>
    </w:tbl>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P="00173B44" w:rsidR="00173B44" w:rsidRDefault="00173B44" w:rsidRPr="00414345">
      <w:pPr>
        <w:autoSpaceDE w:val="0"/>
        <w:autoSpaceDN w:val="0"/>
        <w:adjustRightInd w:val="0"/>
        <w:spacing w:before="29" w:line="288" w:lineRule="auto"/>
        <w:jc w:val="right"/>
        <w:rPr>
          <w:bCs/>
          <w:color w:val="000000"/>
          <w:kern w:val="0"/>
          <w:sz w:val="24"/>
          <w:szCs w:val="24"/>
        </w:rPr>
      </w:pPr>
      <w:r w:rsidRPr="00173B44">
        <w:rPr>
          <w:rFonts w:hint="eastAsia"/>
          <w:bCs/>
          <w:color w:val="000000"/>
          <w:kern w:val="0"/>
          <w:sz w:val="24"/>
          <w:szCs w:val="24"/>
        </w:rPr>
        <w:t/>
      </w:r>
      <w:r w:rsidRPr="00173B44">
        <w:rPr>
          <w:rFonts w:hint="eastAsia"/>
          <w:bCs/>
          <w:color w:val="000000"/>
          <w:kern w:val="0"/>
          <w:sz w:val="24"/>
          <w:szCs w:val="24"/>
        </w:rPr>
        <w:t>金额单位：人民币元</w:t>
      </w:r>
    </w:p>
    <w:tbl>
      <w:tblPr>
        <w:tblStyle w:val="af7"/>
        <w:tblW w:type="dxa" w:w="8868"/>
        <w:jc w:val="center"/>
        <w:tblLayout w:type="fixed"/>
        <w:tblCellMar>
          <w:top w:type="dxa" w:w="57"/>
          <w:bottom w:type="dxa" w:w="57"/>
        </w:tblCellMar>
        <w:tblLook w:firstColumn="1" w:firstRow="1" w:lastColumn="0" w:lastRow="0" w:noHBand="0" w:noVBand="1" w:val="04A0"/>
      </w:tblPr>
      <w:tblGrid>
        <w:gridCol w:w="1883"/>
        <w:gridCol w:w="1801"/>
        <w:gridCol w:w="1727"/>
        <w:gridCol w:w="1768"/>
        <w:gridCol w:w="1689"/>
      </w:tblGrid>
      <w:tr w:rsidR="003E62FB" w:rsidRPr="00414345" w:rsidTr="00A324F4">
        <w:trPr>
          <w:jc w:val="center"/>
        </w:trPr>
        <w:tc>
          <w:tcPr>
            <w:tcW w:type="dxa" w:w="180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序号</w:t>
            </w:r>
          </w:p>
        </w:tc>
        <w:tc>
          <w:tcPr>
            <w:tcW w:type="dxa" w:w="1729"/>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债券代码</w:t>
            </w:r>
          </w:p>
        </w:tc>
        <w:tc>
          <w:tcPr>
            <w:tcW w:type="dxa" w:w="165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债券名称</w:t>
            </w:r>
          </w:p>
        </w:tc>
        <w:tc>
          <w:tcPr>
            <w:tcW w:type="dxa" w:w="1697"/>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公允价值</w:t>
            </w:r>
          </w:p>
        </w:tc>
        <w:tc>
          <w:tcPr>
            <w:tcW w:type="dxa" w:w="1621"/>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占基金资产净值比例</w:t>
            </w:r>
            <w:r w:rsidR="009D1BD9">
              <w:rPr>
                <w:rFonts w:hint="eastAsia"/>
                <w:color w:val="000000"/>
                <w:sz w:val="24"/>
                <w:szCs w:val="24"/>
              </w:rPr>
              <w:t>(</w:t>
            </w:r>
            <w:r w:rsidR="009D1BD9">
              <w:rPr>
                <w:color w:val="000000"/>
                <w:sz w:val="24"/>
                <w:szCs w:val="24"/>
              </w:rPr>
              <w:t>%</w:t>
            </w:r>
            <w:r w:rsidR="009D1BD9">
              <w:rPr>
                <w:rFonts w:hint="eastAsia"/>
                <w:color w:val="000000"/>
                <w:sz w:val="24"/>
                <w:szCs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110059</w:t>
            </w:r>
          </w:p>
        </w:tc>
        <w:tc>
          <w:tcPr>
            <w:vAlign w:val="center"/>
          </w:tcPr>
          <w:p>
            <w:pPr>
              <w:jc w:val="center"/>
            </w:pPr>
            <w:r>
              <w:rPr>
                <w:color w:val="000000"/>
                <w:sz w:val="24"/>
                <w:szCs w:val="24"/>
              </w:rPr>
              <w:t>浦发转债</w:t>
            </w:r>
          </w:p>
        </w:tc>
        <w:tc>
          <w:tcPr>
            <w:vAlign w:val="center"/>
          </w:tcPr>
          <w:p>
            <w:pPr>
              <w:jc w:val="right"/>
            </w:pPr>
            <w:r>
              <w:rPr>
                <w:color w:val="000000"/>
                <w:sz w:val="24"/>
                <w:szCs w:val="24"/>
              </w:rPr>
              <w:t>11,671,370.00</w:t>
            </w:r>
          </w:p>
        </w:tc>
        <w:tc>
          <w:tcPr>
            <w:vAlign w:val="center"/>
          </w:tcPr>
          <w:p>
            <w:pPr>
              <w:jc w:val="right"/>
            </w:pPr>
            <w:r>
              <w:rPr>
                <w:color w:val="000000"/>
                <w:sz w:val="24"/>
                <w:szCs w:val="24"/>
              </w:rPr>
              <w:t>2.18</w:t>
            </w:r>
          </w:p>
        </w:tc>
      </w:tr>
    </w:tbl>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报告期末前十名股票中存在流通受限情况的说明</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lastRenderedPageBreak/>
        <w:t/>
      </w:r>
      <w:r w:rsidR="004061AC" w:rsidRPr="00414345">
        <w:rPr>
          <w:color w:val="000000"/>
          <w:sz w:val="24"/>
          <w:szCs w:val="24"/>
        </w:rPr>
        <w:t/>
      </w:r>
      <w:r w:rsidR="008E326D" w:rsidRPr="00414345">
        <w:rPr>
          <w:color w:val="000000"/>
          <w:sz w:val="24"/>
          <w:szCs w:val="24"/>
        </w:rPr>
        <w:t/>
      </w:r>
      <w:r w:rsidR="004061AC" w:rsidRPr="00414345">
        <w:rPr>
          <w:color w:val="000000"/>
          <w:sz w:val="24"/>
          <w:szCs w:val="24"/>
        </w:rPr>
        <w:t>本基金本报告期末前十名股票中不存在流通受限情况。</w:t>
      </w:r>
    </w:p>
    <w:p w:rsidP="00C15CAC" w:rsidR="004061AC" w:rsidRDefault="00D02347"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
      </w:r>
      <w:r w:rsidR="003259C8"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rsidP="00E40D31" w:rsidR="006B2FF6" w:rsidRDefault="004061AC" w:rsidRPr="00414345">
      <w:pPr>
        <w:spacing w:before="29" w:line="288" w:lineRule="auto"/>
        <w:rPr>
          <w:color w:val="000000"/>
          <w:sz w:val="24"/>
          <w:szCs w:val="24"/>
        </w:rPr>
      </w:pPr>
      <w:r w:rsidRPr="00414345">
        <w:rPr>
          <w:color w:val="000000"/>
          <w:sz w:val="24"/>
          <w:szCs w:val="24"/>
        </w:rPr>
        <w:t/>
      </w:r>
      <w:r w:rsidR="001675CD" w:rsidRPr="00414345">
        <w:rPr>
          <w:color w:val="000000"/>
          <w:sz w:val="24"/>
          <w:szCs w:val="24"/>
        </w:rPr>
        <w:t/>
      </w:r>
      <w:r w:rsidRPr="00414345">
        <w:rPr>
          <w:color w:val="000000"/>
          <w:sz w:val="24"/>
          <w:szCs w:val="24"/>
        </w:rPr>
        <w:t>由于四舍五入的原因，分项之和与合计项之间可能存在尾差。</w:t>
      </w:r>
    </w:p>
    <w:p w:rsidP="00C15CAC" w:rsidR="006B2FF6" w:rsidRDefault="006B2FF6">
      <w:pPr>
        <w:spacing w:before="29" w:line="288" w:lineRule="auto"/>
        <w:ind w:firstLine="480" w:firstLineChars="200"/>
        <w:rPr>
          <w:color w:val="000000"/>
          <w:sz w:val="24"/>
          <w:szCs w:val="24"/>
        </w:rPr>
      </w:pPr>
    </w:p>
    <w:p w:rsidP="00C15CAC" w:rsidR="001F3E2A" w:rsidRDefault="001F3E2A">
      <w:pPr>
        <w:spacing w:before="29" w:line="288" w:lineRule="auto"/>
        <w:ind w:firstLine="480" w:firstLineChars="200"/>
        <w:rPr>
          <w:color w:val="000000"/>
          <w:sz w:val="24"/>
          <w:szCs w:val="24"/>
        </w:rPr>
      </w:pPr>
    </w:p>
    <w:p w:rsidP="00C15CAC" w:rsidR="001F3E2A" w:rsidRDefault="001F3E2A" w:rsidRPr="00414345">
      <w:pPr>
        <w:spacing w:before="29" w:line="288" w:lineRule="auto"/>
        <w:ind w:firstLine="480" w:firstLineChars="200"/>
        <w:rPr>
          <w:color w:val="000000"/>
          <w:sz w:val="24"/>
          <w:szCs w:val="24"/>
        </w:rPr>
      </w:pPr>
    </w:p>
    <w:p w:rsidP="0011537B" w:rsidR="004061AC" w:rsidRDefault="0072794E" w:rsidRPr="005A3D62">
      <w:pPr>
        <w:pStyle w:val="1"/>
        <w:spacing w:after="312" w:afterLines="100" w:before="312" w:beforeLines="100" w:line="360" w:lineRule="auto"/>
        <w:jc w:val="center"/>
        <w:rPr>
          <w:rFonts w:eastAsiaTheme="minorEastAsia"/>
          <w:color w:themeColor="text1" w:val="000000"/>
          <w:kern w:val="0"/>
          <w:sz w:val="24"/>
          <w:szCs w:val="24"/>
        </w:rPr>
      </w:pPr>
      <w:r w:rsidRPr="005A3D62">
        <w:rPr>
          <w:rFonts w:eastAsiaTheme="minorEastAsia"/>
          <w:color w:themeColor="text1" w:val="000000"/>
          <w:kern w:val="0"/>
          <w:sz w:val="24"/>
          <w:szCs w:val="24"/>
        </w:rPr>
        <w:t/>
      </w:r>
      <w:r w:rsidR="004061AC" w:rsidRPr="005A3D62">
        <w:rPr>
          <w:rFonts w:eastAsiaTheme="minorEastAsia"/>
          <w:color w:themeColor="text1" w:val="000000"/>
          <w:kern w:val="0"/>
          <w:sz w:val="24"/>
          <w:szCs w:val="24"/>
        </w:rPr>
        <w:t>§</w:t>
      </w:r>
      <w:r w:rsidRPr="005A3D62">
        <w:rPr>
          <w:rFonts w:eastAsiaTheme="minorEastAsia"/>
          <w:color w:themeColor="text1" w:val="000000"/>
          <w:kern w:val="0"/>
          <w:sz w:val="24"/>
          <w:szCs w:val="24"/>
        </w:rPr>
        <w:t>6</w:t>
      </w:r>
      <w:r w:rsidR="004061AC" w:rsidRPr="005A3D62">
        <w:rPr>
          <w:rFonts w:eastAsiaTheme="minorEastAsia"/>
          <w:color w:themeColor="text1" w:val="000000"/>
          <w:kern w:val="0"/>
          <w:sz w:val="24"/>
          <w:szCs w:val="24"/>
        </w:rPr>
        <w:t xml:space="preserve">  </w:t>
      </w:r>
      <w:r w:rsidR="004061AC" w:rsidRPr="005A3D62">
        <w:rPr>
          <w:rFonts w:eastAsiaTheme="minorEastAsia"/>
          <w:color w:themeColor="text1" w:val="000000"/>
          <w:kern w:val="0"/>
          <w:sz w:val="24"/>
          <w:szCs w:val="24"/>
        </w:rPr>
        <w:t>开放式基金份额变动</w:t>
      </w:r>
    </w:p>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type="dxa" w:w="8868"/>
        <w:jc w:val="center"/>
        <w:tblLayout w:type="fixed"/>
        <w:tblCellMar>
          <w:top w:type="dxa" w:w="-1"/>
          <w:bottom w:type="dxa" w:w="-1"/>
        </w:tblCellMar>
        <w:tblLook w:firstColumn="0" w:firstRow="0" w:lastColumn="0" w:lastRow="0" w:noHBand="0" w:noVBand="0" w:val="0000"/>
      </w:tblPr>
      <w:tblGrid>
        <w:gridCol w:w="4734"/>
        <w:gridCol w:w="4134"/>
      </w:tblGrid>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8F60F2"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6D7FF8" w:rsidRPr="00414345">
              <w:rPr>
                <w:color w:val="000000"/>
                <w:sz w:val="24"/>
                <w:szCs w:val="24"/>
              </w:rPr>
              <w:t/>
            </w:r>
            <w:r w:rsidR="00355364" w:rsidRPr="00414345">
              <w:rPr>
                <w:color w:val="000000"/>
                <w:sz w:val="24"/>
                <w:szCs w:val="24"/>
              </w:rPr>
              <w:t/>
            </w:r>
            <w:r w:rsidR="006D7FF8" w:rsidRPr="00414345">
              <w:rPr>
                <w:color w:val="000000"/>
                <w:sz w:val="24"/>
                <w:szCs w:val="24"/>
              </w:rPr>
              <w:t>242,695,266.46</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49,503,830.49</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37,483,429.61</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35076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355364" w:rsidRPr="00414345">
              <w:rPr>
                <w:color w:val="000000"/>
                <w:sz w:val="24"/>
                <w:szCs w:val="24"/>
              </w:rPr>
              <w:t/>
            </w:r>
            <w:r w:rsidRPr="00414345">
              <w:rPr>
                <w:color w:val="000000"/>
                <w:sz w:val="24"/>
                <w:szCs w:val="24"/>
              </w:rPr>
              <w:t>254,715,667.34</w:t>
            </w:r>
          </w:p>
        </w:tc>
      </w:tr>
    </w:tbl>
    <w:p>
      <w:pPr>
        <w:autoSpaceDE w:val="0"/>
        <w:autoSpaceDN w:val="0"/>
        <w:adjustRightInd w:val="0"/>
        <w:spacing w:before="29" w:line="288" w:lineRule="auto"/>
        <w:jc w:val="left"/>
        <w:rPr>
          <w:color w:val="000000"/>
          <w:sz w:val="24"/>
          <w:szCs w:val="24"/>
        </w:rPr>
      </w:pPr>
      <w:r>
        <w:rPr>
          <w:color w:val="000000"/>
          <w:sz w:val="24"/>
          <w:szCs w:val="24"/>
        </w:rPr>
        <w:t>注：1、如果本报告期间发生转换入、红利再投业务，则总申购份额中包含该业务；</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2、如果本报告期间发生转换出业务，则总赎回份额中包含该业务。</w:t>
      </w:r>
    </w:p>
    <w:p w:rsidP="00C15CAC" w:rsidR="00320E90" w:rsidRDefault="00320E90">
      <w:pPr>
        <w:autoSpaceDE w:val="0"/>
        <w:autoSpaceDN w:val="0"/>
        <w:adjustRightInd w:val="0"/>
        <w:spacing w:before="29" w:line="288" w:lineRule="auto"/>
        <w:jc w:val="left"/>
        <w:rPr>
          <w:color w:val="000000"/>
          <w:sz w:val="24"/>
          <w:szCs w:val="24"/>
        </w:rPr>
      </w:pPr>
    </w:p>
    <w:p w:rsidP="0011537B" w:rsidR="00ED2620" w:rsidRDefault="00ED2620" w:rsidRPr="00ED2620">
      <w:pPr>
        <w:pStyle w:val="1"/>
        <w:tabs>
          <w:tab w:pos="4156" w:val="center"/>
          <w:tab w:pos="8312" w:val="right"/>
        </w:tabs>
        <w:spacing w:after="312" w:afterLines="100" w:before="312" w:beforeLines="100" w:line="288" w:lineRule="auto"/>
        <w:jc w:val="center"/>
        <w:rPr>
          <w:sz w:val="24"/>
          <w:szCs w:val="24"/>
        </w:rPr>
      </w:pPr>
      <w:r w:rsidRPr="00ED2620">
        <w:rPr>
          <w:rFonts w:eastAsiaTheme="minorEastAsia"/>
          <w:color w:val="000000"/>
          <w:kern w:val="0"/>
          <w:sz w:val="24"/>
          <w:szCs w:val="24"/>
        </w:rPr>
        <w:t/>
      </w:r>
      <w:r w:rsidR="000A2FC0" w:rsidRPr="00414345">
        <w:rPr>
          <w:color w:val="000000"/>
          <w:kern w:val="0"/>
          <w:sz w:val="24"/>
          <w:szCs w:val="24"/>
        </w:rPr>
        <w:t>§</w:t>
      </w:r>
      <w:r w:rsidR="00406DA6">
        <w:rPr>
          <w:rFonts w:eastAsiaTheme="minorEastAsia"/>
          <w:color w:val="000000"/>
          <w:kern w:val="0"/>
          <w:sz w:val="24"/>
          <w:szCs w:val="24"/>
        </w:rPr>
        <w:t/>
      </w:r>
      <w:r w:rsidR="00406DA6">
        <w:rPr>
          <w:rFonts w:eastAsiaTheme="minorEastAsia" w:hint="eastAsia"/>
          <w:color w:val="000000"/>
          <w:kern w:val="0"/>
          <w:sz w:val="24"/>
          <w:szCs w:val="24"/>
        </w:rPr>
        <w:t/>
      </w:r>
      <w:r w:rsidRPr="00ED2620">
        <w:rPr>
          <w:rFonts w:eastAsiaTheme="minorEastAsia"/>
          <w:color w:val="000000"/>
          <w:kern w:val="0"/>
          <w:sz w:val="24"/>
          <w:szCs w:val="24"/>
        </w:rPr>
        <w:t xml:space="preserve">7  </w:t>
      </w:r>
      <w:r w:rsidRPr="00ED2620">
        <w:rPr>
          <w:sz w:val="24"/>
          <w:szCs w:val="24"/>
        </w:rPr>
        <w:t>基金管理人运用固有资金投资本基金情况</w:t>
      </w:r>
    </w:p>
    <w:p w:rsidP="00C15CAC" w:rsidR="00ED2620" w:rsidRDefault="00ED2620" w:rsidRPr="00ED2620">
      <w:pPr>
        <w:spacing w:line="288" w:lineRule="auto"/>
        <w:jc w:val="left"/>
        <w:rPr>
          <w:sz w:val="24"/>
          <w:szCs w:val="24"/>
        </w:rPr>
      </w:pPr>
      <w:r w:rsidRPr="00ED2620">
        <w:rPr>
          <w:b/>
          <w:sz w:val="24"/>
        </w:rPr>
        <w:t xml:space="preserve">7.1 </w:t>
      </w:r>
      <w:r w:rsidRPr="00ED2620">
        <w:rPr>
          <w:b/>
          <w:sz w:val="24"/>
        </w:rPr>
        <w:t>基金管理人持有本基金份额变动情况</w:t>
      </w:r>
    </w:p>
    <w:p w:rsidP="00C15CAC" w:rsidR="00410630" w:rsidRDefault="00ED2620">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
      </w:r>
      <w:r w:rsidR="006075E6">
        <w:rPr>
          <w:rFonts w:eastAsiaTheme="minorEastAsia" w:hint="eastAsia"/>
          <w:color w:val="000000"/>
          <w:sz w:val="24"/>
        </w:rPr>
        <w:t/>
      </w:r>
      <w:r w:rsidRPr="00ED2620">
        <w:rPr>
          <w:rFonts w:eastAsiaTheme="minorEastAsia"/>
          <w:color w:val="000000"/>
          <w:sz w:val="24"/>
        </w:rPr>
        <w:t>本报告期内未发生基金管理人运用固有资金投资本基金的情况。</w:t>
      </w:r>
    </w:p>
    <w:p w:rsidP="00C15CAC" w:rsidR="00410630" w:rsidRDefault="00410630">
      <w:pPr>
        <w:autoSpaceDE w:val="0"/>
        <w:autoSpaceDN w:val="0"/>
        <w:adjustRightInd w:val="0"/>
        <w:spacing w:before="29" w:line="288" w:lineRule="auto"/>
        <w:jc w:val="left"/>
        <w:rPr>
          <w:rFonts w:eastAsiaTheme="minorEastAsia"/>
          <w:color w:val="000000"/>
          <w:sz w:val="24"/>
        </w:rPr>
      </w:pPr>
    </w:p>
    <w:p w:rsidP="00BB5E0E" w:rsidR="00410630" w:rsidRDefault="00410630" w:rsidRPr="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P="00C15CAC" w:rsidR="00320300" w:rsidRDefault="00320300" w:rsidRPr="00414345">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P="00C15CAC" w:rsidR="00480B35" w:rsidRDefault="00480B35" w:rsidRPr="00414345">
      <w:pPr>
        <w:autoSpaceDE w:val="0"/>
        <w:autoSpaceDN w:val="0"/>
        <w:adjustRightInd w:val="0"/>
        <w:spacing w:before="29" w:line="288" w:lineRule="auto"/>
        <w:jc w:val="left"/>
        <w:rPr>
          <w:color w:val="000000"/>
          <w:sz w:val="24"/>
        </w:rPr>
      </w:pPr>
    </w:p>
    <w:p w:rsidP="0011537B" w:rsidR="003C50AD" w:rsidRDefault="003C50AD" w:rsidRPr="00220C32">
      <w:pPr>
        <w:pStyle w:val="1"/>
        <w:spacing w:after="312" w:afterLines="100" w:before="312" w:beforeLines="100" w:line="360" w:lineRule="auto"/>
        <w:jc w:val="center"/>
        <w:rPr>
          <w:rFonts w:asciiTheme="minorEastAsia" w:eastAsiaTheme="minorEastAsia" w:hAnsiTheme="minorEastAsia"/>
          <w:color w:themeColor="text1" w:val="000000"/>
          <w:kern w:val="0"/>
          <w:sz w:val="24"/>
          <w:szCs w:val="24"/>
        </w:rPr>
      </w:pPr>
      <w:r w:rsidRPr="00220C32">
        <w:rPr>
          <w:rFonts w:asciiTheme="minorEastAsia" w:eastAsiaTheme="minorEastAsia" w:hAnsiTheme="minorEastAsia" w:hint="eastAsia"/>
          <w:color w:themeColor="text1" w:val="000000"/>
          <w:kern w:val="0"/>
          <w:sz w:val="24"/>
          <w:szCs w:val="24"/>
        </w:rPr>
        <w:t>§8</w:t>
      </w:r>
      <w:r w:rsidRPr="00220C32">
        <w:rPr>
          <w:rFonts w:asciiTheme="minorEastAsia" w:eastAsiaTheme="minorEastAsia" w:hAnsiTheme="minorEastAsia"/>
          <w:color w:themeColor="text1" w:val="000000"/>
          <w:kern w:val="0"/>
          <w:sz w:val="24"/>
          <w:szCs w:val="24"/>
        </w:rPr>
        <w:t xml:space="preserve">  </w:t>
      </w:r>
      <w:r w:rsidRPr="00220C32">
        <w:rPr>
          <w:rFonts w:asciiTheme="minorEastAsia" w:eastAsiaTheme="minorEastAsia" w:hAnsiTheme="minorEastAsia" w:hint="eastAsia"/>
          <w:color w:themeColor="text1" w:val="000000"/>
          <w:kern w:val="0"/>
          <w:sz w:val="24"/>
          <w:szCs w:val="24"/>
        </w:rPr>
        <w:t>影响投资者决策的其他重要信息</w:t>
      </w:r>
    </w:p>
    <w:p w:rsidP="003C50AD" w:rsidR="003C50AD" w:rsidRDefault="003C50AD" w:rsidRPr="009A5C99">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b/>
          <w:color w:val="000000"/>
          <w:kern w:val="0"/>
          <w:sz w:val="24"/>
          <w:szCs w:val="24"/>
        </w:rPr>
        <w:t/>
      </w:r>
      <w:r w:rsidRPr="009A5C99">
        <w:rPr>
          <w:rFonts w:ascii="宋体" w:hAnsi="宋体"/>
          <w:b/>
          <w:bCs/>
          <w:color w:val="000000"/>
          <w:kern w:val="0"/>
          <w:sz w:val="24"/>
          <w:szCs w:val="24"/>
        </w:rPr>
        <w:t>8.</w:t>
      </w:r>
      <w:r w:rsidRPr="009A5C99">
        <w:rPr>
          <w:rFonts w:ascii="宋体" w:hAnsi="宋体" w:hint="eastAsia"/>
          <w:b/>
          <w:bCs/>
          <w:color w:val="000000"/>
          <w:kern w:val="0"/>
          <w:sz w:val="24"/>
          <w:szCs w:val="24"/>
        </w:rPr>
        <w:t>1 报告期内单一投资者持有基金份额比例达到或超过20%的情况</w:t>
      </w:r>
    </w:p>
    <w:tbl>
      <w:tblPr>
        <w:tblW w:type="dxa" w:w="9212"/>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993"/>
        <w:gridCol w:w="992"/>
        <w:gridCol w:w="1843"/>
        <w:gridCol w:w="851"/>
        <w:gridCol w:w="850"/>
        <w:gridCol w:w="1134"/>
        <w:gridCol w:w="1419"/>
        <w:gridCol w:w="1130"/>
      </w:tblGrid>
      <w:tr w:rsidR="003C50AD" w:rsidRPr="004F4D27" w:rsidTr="00424D30">
        <w:tc>
          <w:tcPr>
            <w:tcW w:type="dxa" w:w="993"/>
            <w:vMerge w:val="restart"/>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投资者类别</w:t>
            </w:r>
            <w:r w:rsidRPr="004F4D27">
              <w:rPr>
                <w:rFonts w:ascii="宋体" w:hAnsi="宋体"/>
                <w:color w:val="000000"/>
                <w:kern w:val="0"/>
              </w:rPr>
              <w:t/>
            </w:r>
            <w:r w:rsidRPr="004F4D27">
              <w:rPr>
                <w:rFonts w:ascii="宋体" w:hAnsi="宋体"/>
                <w:color w:val="000000"/>
                <w:kern w:val="0"/>
              </w:rPr>
              <w:lastRenderedPageBreak/>
              <w:t xml:space="preserve">  </w:t>
            </w:r>
          </w:p>
        </w:tc>
        <w:tc>
          <w:tcPr>
            <w:tcW w:type="dxa" w:w="5670"/>
            <w:gridSpan w:val="5"/>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lastRenderedPageBreak/>
              <w:t>报告期内持有基金份额变化情况</w:t>
            </w:r>
          </w:p>
        </w:tc>
        <w:tc>
          <w:tcPr>
            <w:tcW w:type="dxa" w:w="2549"/>
            <w:gridSpan w:val="2"/>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报告期末持有基金情况</w:t>
            </w:r>
          </w:p>
        </w:tc>
      </w:tr>
      <w:tr w:rsidR="003C50AD" w:rsidRPr="004F4D27" w:rsidTr="00424D30">
        <w:tc>
          <w:tcPr>
            <w:tcW w:type="dxa" w:w="993"/>
            <w:vMerge/>
            <w:vAlign w:val="center"/>
          </w:tcPr>
          <w:p w:rsidP="00424D30" w:rsidR="003C50AD" w:rsidRDefault="003C50AD" w:rsidRPr="004F4D27">
            <w:pPr>
              <w:autoSpaceDE w:val="0"/>
              <w:autoSpaceDN w:val="0"/>
              <w:adjustRightInd w:val="0"/>
              <w:jc w:val="center"/>
              <w:rPr>
                <w:rFonts w:ascii="宋体" w:hAnsi="宋体"/>
                <w:b/>
                <w:bCs/>
                <w:color w:val="000000"/>
                <w:kern w:val="0"/>
              </w:rPr>
            </w:pPr>
          </w:p>
        </w:tc>
        <w:tc>
          <w:tcPr>
            <w:tcW w:type="dxa" w:w="992"/>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序号</w:t>
            </w:r>
          </w:p>
        </w:tc>
        <w:tc>
          <w:tcPr>
            <w:tcW w:type="dxa" w:w="1843"/>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持有基金份额比例达到或者超过20%的时间区间</w:t>
            </w:r>
          </w:p>
        </w:tc>
        <w:tc>
          <w:tcPr>
            <w:tcW w:type="dxa" w:w="851"/>
            <w:vAlign w:val="center"/>
          </w:tcPr>
          <w:p w:rsidP="00424D30" w:rsidR="003C50AD" w:rsidRDefault="003C50AD" w:rsidRPr="004F4D27">
            <w:pPr>
              <w:widowControl/>
              <w:jc w:val="center"/>
              <w:rPr>
                <w:rFonts w:ascii="宋体" w:hAnsi="宋体"/>
                <w:b/>
                <w:bCs/>
                <w:color w:val="000000"/>
                <w:kern w:val="0"/>
              </w:rPr>
            </w:pPr>
            <w:r w:rsidRPr="004F4D27">
              <w:rPr>
                <w:rFonts w:ascii="宋体" w:hAnsi="宋体" w:hint="eastAsia"/>
                <w:color w:val="000000"/>
                <w:kern w:val="0"/>
              </w:rPr>
              <w:t>期初份额</w:t>
            </w:r>
          </w:p>
        </w:tc>
        <w:tc>
          <w:tcPr>
            <w:tcW w:type="dxa" w:w="850"/>
            <w:vAlign w:val="center"/>
          </w:tcPr>
          <w:p w:rsidP="00424D30" w:rsidR="003C50AD" w:rsidRDefault="003C50AD" w:rsidRPr="004F4D27">
            <w:pPr>
              <w:widowControl/>
              <w:jc w:val="center"/>
              <w:rPr>
                <w:rFonts w:ascii="宋体" w:hAnsi="宋体"/>
                <w:b/>
                <w:bCs/>
                <w:color w:val="000000"/>
                <w:kern w:val="0"/>
              </w:rPr>
            </w:pPr>
            <w:r w:rsidRPr="004F4D27">
              <w:rPr>
                <w:rFonts w:ascii="宋体" w:hAnsi="宋体" w:hint="eastAsia"/>
                <w:color w:val="000000"/>
                <w:kern w:val="0"/>
              </w:rPr>
              <w:t>申购份额</w:t>
            </w:r>
          </w:p>
        </w:tc>
        <w:tc>
          <w:tcPr>
            <w:tcW w:type="dxa" w:w="1134"/>
            <w:vAlign w:val="center"/>
          </w:tcPr>
          <w:p w:rsidP="00424D30" w:rsidR="003C50AD" w:rsidRDefault="003C50AD" w:rsidRPr="004F4D27">
            <w:pPr>
              <w:widowControl/>
              <w:jc w:val="center"/>
              <w:rPr>
                <w:rFonts w:ascii="宋体" w:hAnsi="宋体"/>
                <w:b/>
                <w:bCs/>
                <w:color w:val="000000"/>
                <w:kern w:val="0"/>
              </w:rPr>
            </w:pPr>
            <w:r w:rsidRPr="004F4D27">
              <w:rPr>
                <w:rFonts w:ascii="宋体" w:hAnsi="宋体" w:hint="eastAsia"/>
                <w:color w:val="000000"/>
                <w:kern w:val="0"/>
              </w:rPr>
              <w:t>赎回份额</w:t>
            </w:r>
          </w:p>
        </w:tc>
        <w:tc>
          <w:tcPr>
            <w:tcW w:type="dxa" w:w="1419"/>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持有份额</w:t>
            </w:r>
          </w:p>
        </w:tc>
        <w:tc>
          <w:tcPr>
            <w:tcW w:type="dxa" w:w="1130"/>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份额占比</w:t>
            </w:r>
          </w:p>
        </w:tc>
      </w:tr>
      <w:tr>
        <w:tc>
          <w:tcPr>
            <w:vMerge w:val="restart"/>
          </w:tcPr>
          <w:p/>
          <w:p>
            <w:r>
              <w:rPr>
                <w:rFonts w:ascii="宋体" w:hAnsi="宋体" w:hint="eastAsia"/>
                <w:bCs/>
                <w:color w:val="000000"/>
                <w:kern w:val="0"/>
              </w:rPr>
              <w:t>机构</w:t>
            </w:r>
          </w:p>
        </w:tc>
        <w:tc>
          <w:tcPr>
            <w:vAlign w:val="center"/>
          </w:tcPr>
          <w:p>
            <w:pPr>
              <w:jc w:val="center"/>
            </w:pPr>
            <w:r>
              <w:rPr>
                <w:rFonts w:ascii="宋体" w:hAnsi="宋体"/>
                <w:color w:val="000000"/>
                <w:kern w:val="0"/>
              </w:rPr>
              <w:t>1</w:t>
            </w:r>
          </w:p>
        </w:tc>
        <w:tc>
          <w:tcPr>
            <w:vAlign w:val="center"/>
          </w:tcPr>
          <w:p>
            <w:pPr>
              <w:jc w:val="center"/>
            </w:pPr>
            <w:r>
              <w:rPr>
                <w:rFonts w:ascii="宋体" w:hAnsi="宋体"/>
                <w:color w:val="000000"/>
                <w:kern w:val="0"/>
              </w:rPr>
              <w:t>2020/10/1-2020/12/31</w:t>
            </w:r>
          </w:p>
        </w:tc>
        <w:tc>
          <w:tcPr>
            <w:vAlign w:val="center"/>
          </w:tcPr>
          <w:p>
            <w:pPr>
              <w:jc w:val="center"/>
            </w:pPr>
            <w:r>
              <w:rPr>
                <w:rFonts w:ascii="宋体" w:hAnsi="宋体"/>
                <w:color w:val="000000"/>
                <w:kern w:val="0"/>
              </w:rPr>
              <w:t>48,557,147.72</w:t>
            </w:r>
          </w:p>
        </w:tc>
        <w:tc>
          <w:tcPr>
            <w:vAlign w:val="center"/>
          </w:tcPr>
          <w:p>
            <w:pPr>
              <w:jc w:val="center"/>
            </w:pPr>
            <w:r>
              <w:rPr>
                <w:rFonts w:ascii="宋体" w:hAnsi="宋体"/>
                <w:color w:val="000000"/>
                <w:kern w:val="0"/>
              </w:rPr>
              <w:t>-</w:t>
            </w:r>
          </w:p>
        </w:tc>
        <w:tc>
          <w:tcPr>
            <w:vAlign w:val="center"/>
          </w:tcPr>
          <w:p>
            <w:pPr>
              <w:jc w:val="center"/>
            </w:pPr>
            <w:r>
              <w:rPr>
                <w:rFonts w:ascii="宋体" w:hAnsi="宋体"/>
                <w:color w:val="000000"/>
                <w:kern w:val="0"/>
              </w:rPr>
              <w:t>-</w:t>
            </w:r>
          </w:p>
        </w:tc>
        <w:tc>
          <w:tcPr>
            <w:vAlign w:val="center"/>
          </w:tcPr>
          <w:p>
            <w:pPr>
              <w:jc w:val="center"/>
            </w:pPr>
            <w:r>
              <w:rPr>
                <w:rFonts w:ascii="宋体" w:hAnsi="宋体"/>
                <w:color w:val="000000"/>
                <w:kern w:val="0"/>
              </w:rPr>
              <w:t>48,557,147.72</w:t>
            </w:r>
          </w:p>
        </w:tc>
        <w:tc>
          <w:tcPr>
            <w:vAlign w:val="center"/>
          </w:tcPr>
          <w:p>
            <w:pPr>
              <w:jc w:val="center"/>
            </w:pPr>
            <w:r>
              <w:rPr>
                <w:rFonts w:ascii="宋体" w:hAnsi="宋体"/>
                <w:color w:val="000000"/>
                <w:kern w:val="0"/>
              </w:rPr>
              <w:t>19.06%</w:t>
            </w:r>
          </w:p>
        </w:tc>
      </w:tr>
    </w:tbl>
    <w:tbl>
      <w:tblPr>
        <w:tblW w:type="dxa" w:w="9212"/>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9212"/>
      </w:tblGrid>
      <w:tr w:rsidR="003C50AD" w:rsidRPr="004F4D27" w:rsidTr="00424D30">
        <w:tc>
          <w:tcPr>
            <w:tcW w:type="dxa" w:w="9212"/>
            <w:vAlign w:val="center"/>
          </w:tcPr>
          <w:p w:rsidP="00424D30" w:rsidR="003C50AD" w:rsidRDefault="003C50AD" w:rsidRPr="004F4D27">
            <w:pPr>
              <w:autoSpaceDE w:val="0"/>
              <w:autoSpaceDN w:val="0"/>
              <w:adjustRightInd w:val="0"/>
              <w:jc w:val="center"/>
              <w:rPr>
                <w:rFonts w:ascii="宋体" w:hAnsi="宋体"/>
                <w:kern w:val="0"/>
              </w:rPr>
            </w:pPr>
            <w:r w:rsidRPr="004F4D27">
              <w:rPr>
                <w:rFonts w:ascii="宋体" w:hAnsi="宋体"/>
                <w:color w:val="000000"/>
                <w:kern w:val="0"/>
              </w:rPr>
              <w:t>产品特有风险</w:t>
            </w:r>
            <w:r w:rsidRPr="004F4D27">
              <w:rPr>
                <w:rFonts w:ascii="宋体" w:hAnsi="宋体"/>
                <w:kern w:val="0"/>
              </w:rPr>
              <w:t/>
            </w:r>
            <w:r w:rsidRPr="004F4D27">
              <w:rPr>
                <w:rFonts w:ascii="宋体" w:hAnsi="宋体" w:hint="eastAsia"/>
                <w:kern w:val="0"/>
              </w:rPr>
              <w:t/>
            </w:r>
            <w:r w:rsidRPr="004F4D27">
              <w:rPr>
                <w:rFonts w:ascii="宋体" w:hAnsi="宋体"/>
                <w:kern w:val="0"/>
              </w:rPr>
              <w:t/>
            </w:r>
          </w:p>
        </w:tc>
      </w:tr>
      <w:tr w:rsidR="003C50AD" w:rsidRPr="004F4D27" w:rsidTr="00424D30">
        <w:tc>
          <w:tcPr>
            <w:tcW w:type="dxa" w:w="9212"/>
            <w:vAlign w:val="center"/>
          </w:tcPr>
          <w:p w:rsidP="00424D30" w:rsidR="003C50AD" w:rsidRDefault="003C50AD" w:rsidRPr="004F4D27">
            <w:pPr>
              <w:autoSpaceDE w:val="0"/>
              <w:autoSpaceDN w:val="0"/>
              <w:adjustRightInd w:val="0"/>
              <w:jc w:val="left"/>
              <w:rPr>
                <w:rFonts w:ascii="宋体" w:hAnsi="宋体"/>
                <w:kern w:val="0"/>
              </w:rPr>
            </w:pPr>
            <w:r w:rsidRPr="004F4D27">
              <w:rPr>
                <w:rFonts w:ascii="宋体" w:hAnsi="宋体" w:hint="eastAsia"/>
                <w:kern w:val="0"/>
              </w:rPr>
              <w:t/>
            </w:r>
            <w:r w:rsidRPr="004F4D27">
              <w:rPr>
                <w:rFonts w:ascii="宋体" w:hAnsi="宋体"/>
                <w:kern w:val="0"/>
              </w:rPr>
              <w:t/>
            </w:r>
            <w:r w:rsidRPr="004F4D27">
              <w:rPr>
                <w:rFonts w:ascii="宋体" w:hAnsi="宋体" w:hint="eastAsia"/>
                <w:kern w:val="0"/>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r w:rsidRPr="004F4D27">
              <w:rPr>
                <w:rFonts w:ascii="宋体" w:hAnsi="宋体"/>
                <w:kern w:val="0"/>
              </w:rPr>
              <w:t/>
            </w:r>
          </w:p>
        </w:tc>
      </w:tr>
    </w:tbl>
    <w:p w:rsidP="003C50AD" w:rsidR="003C50AD" w:rsidRDefault="003C50AD" w:rsidRPr="009A5C99">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b/>
          <w:color w:val="000000"/>
          <w:kern w:val="0"/>
          <w:sz w:val="24"/>
          <w:szCs w:val="24"/>
        </w:rPr>
        <w:t/>
      </w:r>
      <w:r w:rsidRPr="009A5C99">
        <w:rPr>
          <w:rFonts w:ascii="宋体" w:hAnsi="宋体" w:hint="eastAsia"/>
          <w:b/>
          <w:bCs/>
          <w:color w:val="000000"/>
          <w:kern w:val="0"/>
          <w:sz w:val="24"/>
          <w:szCs w:val="24"/>
        </w:rPr>
        <w:t>8.2 影响投资者决策的其他重要信息</w:t>
      </w:r>
    </w:p>
    <w:p w:rsidP="003C50AD" w:rsidR="003C50AD" w:rsidRDefault="003C50AD" w:rsidRPr="004F4D27">
      <w:pPr>
        <w:spacing w:line="360" w:lineRule="auto"/>
        <w:ind w:firstLine="420" w:firstLineChars="200"/>
        <w:rPr>
          <w:rFonts w:ascii="宋体" w:hAnsi="宋体"/>
          <w:color w:val="000000"/>
        </w:rPr>
      </w:pPr>
      <w:r w:rsidRPr="004F4D27">
        <w:rPr>
          <w:rFonts w:ascii="宋体" w:hAnsi="宋体"/>
          <w:color w:val="000000"/>
        </w:rPr>
        <w:t>根据《中华人民共和国证券投资基金法》、《公开募集证券投资基金运作管理办法》、《存托凭证发行与交易管理办法（试行）》等法律法规及本基金基金合同、招募说明书及其更新等规定，经与基金托管人协商一致，本基金管理人对本基金参与存托凭证投资修订了基金合同等法律文件，欲知详情请查阅本基金管理人发布的最新法律文件。</w:t>
      </w:r>
    </w:p>
    <w:p w:rsidP="00C15CAC" w:rsidR="00ED6E80" w:rsidRDefault="00ED6E80" w:rsidRPr="00414345">
      <w:pPr>
        <w:spacing w:before="29" w:line="288" w:lineRule="auto"/>
        <w:ind w:firstLine="480" w:firstLineChars="200"/>
        <w:rPr>
          <w:color w:val="000000"/>
          <w:sz w:val="24"/>
          <w:szCs w:val="24"/>
        </w:rPr>
      </w:pPr>
    </w:p>
    <w:p w:rsidP="0011537B" w:rsidR="00B22DEE" w:rsidRDefault="004061AC" w:rsidRPr="00E02660">
      <w:pPr>
        <w:pStyle w:val="1"/>
        <w:spacing w:after="312" w:afterLines="100" w:before="312" w:beforeLines="100"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
      </w:r>
      <w:r w:rsidR="00676095" w:rsidRPr="00414345">
        <w:rPr>
          <w:color w:val="000000"/>
          <w:kern w:val="0"/>
          <w:sz w:val="24"/>
          <w:szCs w:val="24"/>
        </w:rPr>
        <w:t/>
      </w:r>
      <w:r w:rsidR="00D02347" w:rsidRPr="00414345">
        <w:rPr>
          <w:color w:val="000000"/>
          <w:kern w:val="0"/>
          <w:sz w:val="24"/>
          <w:szCs w:val="24"/>
        </w:rPr>
        <w:t>9</w:t>
      </w:r>
      <w:r w:rsidR="00834E74">
        <w:rPr>
          <w:color w:val="000000"/>
          <w:kern w:val="0"/>
          <w:sz w:val="24"/>
          <w:szCs w:val="24"/>
        </w:rPr>
        <w:t xml:space="preserve">  </w:t>
      </w:r>
      <w:r w:rsidRPr="00414345">
        <w:rPr>
          <w:color w:val="000000"/>
          <w:kern w:val="0"/>
          <w:sz w:val="24"/>
          <w:szCs w:val="24"/>
        </w:rPr>
        <w:t>备查文件目录</w:t>
      </w: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pPr>
        <w:spacing w:before="29" w:line="288" w:lineRule="auto"/>
        <w:ind w:firstLine="480" w:firstLineChars="200"/>
        <w:rPr>
          <w:color w:val="000000"/>
          <w:sz w:val="24"/>
          <w:szCs w:val="24"/>
        </w:rPr>
      </w:pPr>
      <w:r>
        <w:rPr>
          <w:color w:val="000000"/>
          <w:sz w:val="24"/>
          <w:szCs w:val="24"/>
        </w:rPr>
        <w:t>1、中国证监会批准交银施罗德荣安保本混合型证券投资基金募集的文件；</w:t>
      </w:r>
    </w:p>
    <w:p>
      <w:pPr>
        <w:spacing w:before="29" w:line="288" w:lineRule="auto"/>
        <w:ind w:firstLine="480" w:firstLineChars="200"/>
        <w:rPr>
          <w:color w:val="000000"/>
          <w:sz w:val="24"/>
          <w:szCs w:val="24"/>
        </w:rPr>
      </w:pPr>
      <w:r>
        <w:rPr>
          <w:color w:val="000000"/>
          <w:sz w:val="24"/>
          <w:szCs w:val="24"/>
        </w:rPr>
        <w:t>2、《交银施罗德策略回报灵活配置混合型证券投资基金基金合同》；</w:t>
      </w:r>
    </w:p>
    <w:p>
      <w:pPr>
        <w:spacing w:before="29" w:line="288" w:lineRule="auto"/>
        <w:ind w:firstLine="480" w:firstLineChars="200"/>
        <w:rPr>
          <w:color w:val="000000"/>
          <w:sz w:val="24"/>
          <w:szCs w:val="24"/>
        </w:rPr>
      </w:pPr>
      <w:r>
        <w:rPr>
          <w:color w:val="000000"/>
          <w:sz w:val="24"/>
          <w:szCs w:val="24"/>
        </w:rPr>
        <w:t>3、《交银施罗德策略回报灵活配置混合型证券投资基金招募说明书》；</w:t>
      </w:r>
    </w:p>
    <w:p>
      <w:pPr>
        <w:spacing w:before="29" w:line="288" w:lineRule="auto"/>
        <w:ind w:firstLine="480" w:firstLineChars="200"/>
        <w:rPr>
          <w:color w:val="000000"/>
          <w:sz w:val="24"/>
          <w:szCs w:val="24"/>
        </w:rPr>
      </w:pPr>
      <w:r>
        <w:rPr>
          <w:color w:val="000000"/>
          <w:sz w:val="24"/>
          <w:szCs w:val="24"/>
        </w:rPr>
        <w:t>4、《交银施罗德策略回报灵活配置混合型证券投资基金托管协议》；</w:t>
      </w:r>
    </w:p>
    <w:p>
      <w:pPr>
        <w:spacing w:before="29" w:line="288" w:lineRule="auto"/>
        <w:ind w:firstLine="480" w:firstLineChars="200"/>
        <w:rPr>
          <w:color w:val="000000"/>
          <w:sz w:val="24"/>
          <w:szCs w:val="24"/>
        </w:rPr>
      </w:pPr>
      <w:r>
        <w:rPr>
          <w:color w:val="000000"/>
          <w:sz w:val="24"/>
          <w:szCs w:val="24"/>
        </w:rPr>
        <w:t>5、《交银施罗德荣安保本混合型证券投资基金基金合同》；</w:t>
      </w:r>
    </w:p>
    <w:p>
      <w:pPr>
        <w:spacing w:before="29" w:line="288" w:lineRule="auto"/>
        <w:ind w:firstLine="480" w:firstLineChars="200"/>
        <w:rPr>
          <w:color w:val="000000"/>
          <w:sz w:val="24"/>
          <w:szCs w:val="24"/>
        </w:rPr>
      </w:pPr>
      <w:r>
        <w:rPr>
          <w:color w:val="000000"/>
          <w:sz w:val="24"/>
          <w:szCs w:val="24"/>
        </w:rPr>
        <w:t>6、《交银施罗德荣安保本混合型证券投资基金招募说明书》；</w:t>
      </w:r>
    </w:p>
    <w:p>
      <w:pPr>
        <w:spacing w:before="29" w:line="288" w:lineRule="auto"/>
        <w:ind w:firstLine="480" w:firstLineChars="200"/>
        <w:rPr>
          <w:color w:val="000000"/>
          <w:sz w:val="24"/>
          <w:szCs w:val="24"/>
        </w:rPr>
      </w:pPr>
      <w:r>
        <w:rPr>
          <w:color w:val="000000"/>
          <w:sz w:val="24"/>
          <w:szCs w:val="24"/>
        </w:rPr>
        <w:t>7、《交银施罗德荣安保本混合型证券投资基金托管协议》；</w:t>
      </w:r>
    </w:p>
    <w:p>
      <w:pPr>
        <w:spacing w:before="29" w:line="288" w:lineRule="auto"/>
        <w:ind w:firstLine="480" w:firstLineChars="200"/>
        <w:rPr>
          <w:color w:val="000000"/>
          <w:sz w:val="24"/>
          <w:szCs w:val="24"/>
        </w:rPr>
      </w:pPr>
      <w:r>
        <w:rPr>
          <w:color w:val="000000"/>
          <w:sz w:val="24"/>
          <w:szCs w:val="24"/>
        </w:rPr>
        <w:t xml:space="preserve">8、《交银施罗德荣安保本混合型证券投资基金保证合同》； </w:t>
      </w:r>
    </w:p>
    <w:p>
      <w:pPr>
        <w:spacing w:before="29" w:line="288" w:lineRule="auto"/>
        <w:ind w:firstLine="480" w:firstLineChars="200"/>
        <w:rPr>
          <w:color w:val="000000"/>
          <w:sz w:val="24"/>
          <w:szCs w:val="24"/>
        </w:rPr>
      </w:pPr>
      <w:r>
        <w:rPr>
          <w:color w:val="000000"/>
          <w:sz w:val="24"/>
          <w:szCs w:val="24"/>
        </w:rPr>
        <w:t>9、基金管理人业务资格批件、营业执照；</w:t>
      </w:r>
    </w:p>
    <w:p>
      <w:pPr>
        <w:spacing w:before="29" w:line="288" w:lineRule="auto"/>
        <w:ind w:firstLine="480" w:firstLineChars="200"/>
        <w:rPr>
          <w:color w:val="000000"/>
          <w:sz w:val="24"/>
          <w:szCs w:val="24"/>
        </w:rPr>
      </w:pPr>
      <w:r>
        <w:rPr>
          <w:color w:val="000000"/>
          <w:sz w:val="24"/>
          <w:szCs w:val="24"/>
        </w:rPr>
        <w:t>10、基金托管人业务资格批件、营业执照；</w:t>
      </w:r>
    </w:p>
    <w:p>
      <w:pPr>
        <w:spacing w:before="29" w:line="288" w:lineRule="auto"/>
        <w:ind w:firstLine="480" w:firstLineChars="200"/>
        <w:rPr>
          <w:color w:val="000000"/>
          <w:sz w:val="24"/>
          <w:szCs w:val="24"/>
        </w:rPr>
      </w:pPr>
      <w:r>
        <w:rPr>
          <w:color w:val="000000"/>
          <w:sz w:val="24"/>
          <w:szCs w:val="24"/>
        </w:rPr>
        <w:t>11、关于申请募集交银施罗德荣安保本混合型证券投资基金之法律意见书；</w:t>
      </w:r>
    </w:p>
    <w:p>
      <w:pPr>
        <w:spacing w:before="29" w:line="288" w:lineRule="auto"/>
        <w:ind w:firstLine="480" w:firstLineChars="200"/>
        <w:rPr>
          <w:color w:val="000000"/>
          <w:sz w:val="24"/>
          <w:szCs w:val="24"/>
        </w:rPr>
      </w:pPr>
      <w:r>
        <w:rPr>
          <w:color w:val="000000"/>
          <w:sz w:val="24"/>
          <w:szCs w:val="24"/>
        </w:rPr>
        <w:t>12、关于修改《交银施罗德荣安保本混合型证券投资基金基金合同》的法律意见；</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13、报告期内交银施罗德策略回报灵活配置混合型证券投资基金在指定报刊上各项公告的原稿。</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备查文件存放于基金管理人的办公场所。</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pPr>
        <w:spacing w:before="29" w:line="288" w:lineRule="auto"/>
        <w:ind w:firstLine="480" w:firstLineChars="200"/>
        <w:rPr>
          <w:color w:val="000000"/>
          <w:sz w:val="24"/>
          <w:szCs w:val="24"/>
        </w:rPr>
      </w:pPr>
      <w:r>
        <w:rPr>
          <w:color w:val="000000"/>
          <w:sz w:val="24"/>
          <w:szCs w:val="24"/>
        </w:rPr>
        <w:t xml:space="preserve">投资者可在办公时间内至基金管理人的办公场所免费查阅备查文件，或者登录基金管理人的网站(www.fund001.com)查阅。在支付工本费后，投资者可在合理时间内取得上述文件的复制件或复印件。 </w:t>
      </w:r>
    </w:p>
    <w:p w:rsidP="00C15CAC" w:rsidR="00A90049" w:rsidRDefault="006D7FF8" w:rsidRPr="00414345">
      <w:pPr>
        <w:spacing w:before="29" w:line="288" w:lineRule="auto"/>
        <w:ind w:firstLine="480" w:firstLineChars="200"/>
        <w:rPr>
          <w:color w:val="000000"/>
          <w:sz w:val="24"/>
          <w:szCs w:val="24"/>
        </w:rPr>
      </w:pPr>
      <w:r w:rsidRPr="00414345">
        <w:rPr>
          <w:color w:val="000000"/>
          <w:sz w:val="24"/>
          <w:szCs w:val="24"/>
        </w:rPr>
        <w:t>投资者对本报告书如有疑问，可咨询本基金管理人交银施罗德基金管理有限公司。本公司客户服务中心电话：400-700-5000（免长途话费），021-61055000，电子邮件：services@jysld.com。</w:t>
      </w:r>
    </w:p>
    <w:p w:rsidP="00C15CAC" w:rsidR="002C3C7A" w:rsidRDefault="002C3C7A" w:rsidRPr="00414345">
      <w:pPr>
        <w:spacing w:before="29" w:line="288" w:lineRule="auto"/>
        <w:ind w:firstLine="480" w:firstLineChars="200"/>
        <w:rPr>
          <w:color w:val="000000"/>
          <w:sz w:val="24"/>
          <w:szCs w:val="24"/>
        </w:rPr>
      </w:pPr>
    </w:p>
    <w:sectPr w:rsidR="002C3C7A" w:rsidRPr="00414345" w:rsidSect="00000678">
      <w:pgSz w:code="9" w:h="16838" w:w="11906"/>
      <w:pgMar w:bottom="1440" w:footer="992" w:gutter="0" w:header="851" w:left="1440" w:right="1440" w:top="1440"/>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AA1" w:rsidRDefault="00C11AA1" w:rsidP="00876D65">
      <w:r>
        <w:separator/>
      </w:r>
    </w:p>
  </w:endnote>
  <w:endnote w:type="continuationSeparator" w:id="0">
    <w:p w:rsidR="00C11AA1" w:rsidRDefault="00C11AA1"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黑体"/>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80E0000" w:usb2="00000000" w:usb3="00000000" w:csb0="00040000"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6"/>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4D340C" w:rsidR="004D340C" w:rsidRDefault="004D340C" w:rsidRPr="001D0DB0">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AA3969">
      <w:rPr>
        <w:noProof/>
        <w:kern w:val="0"/>
        <w:szCs w:val="21"/>
      </w:rPr>
      <w:t>17</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AA3969">
      <w:rPr>
        <w:noProof/>
        <w:kern w:val="0"/>
        <w:szCs w:val="21"/>
      </w:rPr>
      <w:t>24</w:t>
    </w:r>
    <w:r w:rsidR="00381EE8">
      <w:rPr>
        <w:kern w:val="0"/>
        <w:szCs w:val="21"/>
      </w:rPr>
      <w:fldChar w:fldCharType="end"/>
    </w:r>
    <w:r>
      <w:rPr>
        <w:rFonts w:hint="eastAsia"/>
        <w:kern w:val="0"/>
        <w:szCs w:val="21"/>
      </w:rPr>
      <w:t>页</w:t>
    </w: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6"/>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rsidP="00876D65" w:rsidR="00C11AA1" w:rsidRDefault="00C11AA1">
      <w:r>
        <w:separator/>
      </w:r>
    </w:p>
  </w:footnote>
  <w:footnote w:id="0" w:type="continuationSeparator">
    <w:p w:rsidP="00876D65" w:rsidR="00C11AA1" w:rsidRDefault="00C11AA1">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9"/>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090A26" w:rsidR="00171EF0" w:rsidRDefault="00DC456F" w:rsidRPr="00DC456F">
    <w:pPr>
      <w:pStyle w:val="a9"/>
      <w:pBdr>
        <w:bottom w:color="auto" w:space="0" w:sz="6" w:val="single"/>
      </w:pBdr>
      <w:jc w:val="right"/>
      <w:rPr>
        <w:sz w:val="24"/>
        <w:szCs w:val="24"/>
      </w:rPr>
    </w:pPr>
    <w:r w:rsidRPr="003E676C">
      <w:rPr>
        <w:sz w:val="24"/>
        <w:szCs w:val="24"/>
      </w:rPr>
      <w:t>交银施罗德策略回报灵活配置混合型证券投资基金2020年第4季度报告</w:t>
    </w: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9"/>
    </w:pP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eastAsia="宋体" w:hAnsi="Times New Roman" w:hint="default"/>
      </w:rPr>
    </w:lvl>
    <w:lvl w:ilvl="1" w:tplc="04090003">
      <w:start w:val="1"/>
      <w:numFmt w:val="bullet"/>
      <w:lvlText w:val=""/>
      <w:lvlJc w:val="left"/>
      <w:pPr>
        <w:tabs>
          <w:tab w:pos="1260" w:val="num"/>
        </w:tabs>
        <w:ind w:hanging="420" w:left="1260"/>
      </w:pPr>
      <w:rPr>
        <w:rFonts w:ascii="Wingdings" w:cs="Wingdings" w:hAnsi="Wingdings" w:hint="default"/>
      </w:rPr>
    </w:lvl>
    <w:lvl w:ilvl="2" w:tplc="04090005">
      <w:start w:val="1"/>
      <w:numFmt w:val="bullet"/>
      <w:lvlText w:val=""/>
      <w:lvlJc w:val="left"/>
      <w:pPr>
        <w:tabs>
          <w:tab w:pos="1680" w:val="num"/>
        </w:tabs>
        <w:ind w:hanging="420" w:left="1680"/>
      </w:pPr>
      <w:rPr>
        <w:rFonts w:ascii="Wingdings" w:cs="Wingdings" w:hAnsi="Wingdings" w:hint="default"/>
      </w:rPr>
    </w:lvl>
    <w:lvl w:ilvl="3" w:tplc="04090001">
      <w:start w:val="1"/>
      <w:numFmt w:val="bullet"/>
      <w:lvlText w:val=""/>
      <w:lvlJc w:val="left"/>
      <w:pPr>
        <w:tabs>
          <w:tab w:pos="2100" w:val="num"/>
        </w:tabs>
        <w:ind w:hanging="420" w:left="2100"/>
      </w:pPr>
      <w:rPr>
        <w:rFonts w:ascii="Wingdings" w:cs="Wingdings" w:hAnsi="Wingdings" w:hint="default"/>
      </w:rPr>
    </w:lvl>
    <w:lvl w:ilvl="4" w:tplc="04090003">
      <w:start w:val="1"/>
      <w:numFmt w:val="bullet"/>
      <w:lvlText w:val=""/>
      <w:lvlJc w:val="left"/>
      <w:pPr>
        <w:tabs>
          <w:tab w:pos="2520" w:val="num"/>
        </w:tabs>
        <w:ind w:hanging="420" w:left="2520"/>
      </w:pPr>
      <w:rPr>
        <w:rFonts w:ascii="Wingdings" w:cs="Wingdings" w:hAnsi="Wingdings" w:hint="default"/>
      </w:rPr>
    </w:lvl>
    <w:lvl w:ilvl="5" w:tplc="04090005">
      <w:start w:val="1"/>
      <w:numFmt w:val="bullet"/>
      <w:lvlText w:val=""/>
      <w:lvlJc w:val="left"/>
      <w:pPr>
        <w:tabs>
          <w:tab w:pos="2940" w:val="num"/>
        </w:tabs>
        <w:ind w:hanging="420" w:left="2940"/>
      </w:pPr>
      <w:rPr>
        <w:rFonts w:ascii="Wingdings" w:cs="Wingdings" w:hAnsi="Wingdings" w:hint="default"/>
      </w:rPr>
    </w:lvl>
    <w:lvl w:ilvl="6" w:tplc="04090001">
      <w:start w:val="1"/>
      <w:numFmt w:val="bullet"/>
      <w:lvlText w:val=""/>
      <w:lvlJc w:val="left"/>
      <w:pPr>
        <w:tabs>
          <w:tab w:pos="3360" w:val="num"/>
        </w:tabs>
        <w:ind w:hanging="420" w:left="3360"/>
      </w:pPr>
      <w:rPr>
        <w:rFonts w:ascii="Wingdings" w:cs="Wingdings" w:hAnsi="Wingdings" w:hint="default"/>
      </w:rPr>
    </w:lvl>
    <w:lvl w:ilvl="7" w:tplc="04090003">
      <w:start w:val="1"/>
      <w:numFmt w:val="bullet"/>
      <w:lvlText w:val=""/>
      <w:lvlJc w:val="left"/>
      <w:pPr>
        <w:tabs>
          <w:tab w:pos="3780" w:val="num"/>
        </w:tabs>
        <w:ind w:hanging="420" w:left="3780"/>
      </w:pPr>
      <w:rPr>
        <w:rFonts w:ascii="Wingdings" w:cs="Wingdings" w:hAnsi="Wingdings" w:hint="default"/>
      </w:rPr>
    </w:lvl>
    <w:lvl w:ilvl="8" w:tplc="04090005">
      <w:start w:val="1"/>
      <w:numFmt w:val="bullet"/>
      <w:lvlText w:val=""/>
      <w:lvlJc w:val="left"/>
      <w:pPr>
        <w:tabs>
          <w:tab w:pos="4200" w:val="num"/>
        </w:tabs>
        <w:ind w:hanging="420" w:left="4200"/>
      </w:pPr>
      <w:rPr>
        <w:rFonts w:ascii="Wingdings" w:cs="Wingdings" w:hAnsi="Wingdings" w:hint="default"/>
      </w:rPr>
    </w:lvl>
  </w:abstractNum>
  <w:abstractNum w15:restartNumberingAfterBreak="0" w:abstractNumId="1">
    <w:nsid w:val="57E8240C"/>
    <w:multiLevelType w:val="hybridMultilevel"/>
    <w:tmpl w:val="300A7112"/>
    <w:lvl w:ilvl="0" w:tplc="3782FDB8">
      <w:start w:val="1"/>
      <w:numFmt w:val="decimal"/>
      <w:lvlText w:val="（%1）"/>
      <w:lvlJc w:val="left"/>
      <w:pPr>
        <w:tabs>
          <w:tab w:pos="1200" w:val="num"/>
        </w:tabs>
        <w:ind w:hanging="720" w:left="1200"/>
      </w:pPr>
      <w:rPr>
        <w:rFonts w:hint="eastAsia"/>
        <w:sz w:val="24"/>
        <w:szCs w:val="24"/>
      </w:rPr>
    </w:lvl>
    <w:lvl w:ilvl="1" w:tplc="04090019">
      <w:start w:val="1"/>
      <w:numFmt w:val="lowerLetter"/>
      <w:lvlText w:val="%2)"/>
      <w:lvlJc w:val="left"/>
      <w:pPr>
        <w:tabs>
          <w:tab w:pos="1320" w:val="num"/>
        </w:tabs>
        <w:ind w:hanging="420" w:left="1320"/>
      </w:pPr>
    </w:lvl>
    <w:lvl w:ilvl="2" w:tplc="0409001B">
      <w:start w:val="1"/>
      <w:numFmt w:val="lowerRoman"/>
      <w:lvlText w:val="%3."/>
      <w:lvlJc w:val="right"/>
      <w:pPr>
        <w:tabs>
          <w:tab w:pos="1740" w:val="num"/>
        </w:tabs>
        <w:ind w:hanging="420" w:left="1740"/>
      </w:pPr>
    </w:lvl>
    <w:lvl w:ilvl="3" w:tplc="0409000F">
      <w:start w:val="1"/>
      <w:numFmt w:val="decimal"/>
      <w:lvlText w:val="%4."/>
      <w:lvlJc w:val="left"/>
      <w:pPr>
        <w:tabs>
          <w:tab w:pos="2160" w:val="num"/>
        </w:tabs>
        <w:ind w:hanging="420" w:left="2160"/>
      </w:pPr>
    </w:lvl>
    <w:lvl w:ilvl="4" w:tplc="04090019">
      <w:start w:val="1"/>
      <w:numFmt w:val="lowerLetter"/>
      <w:lvlText w:val="%5)"/>
      <w:lvlJc w:val="left"/>
      <w:pPr>
        <w:tabs>
          <w:tab w:pos="2580" w:val="num"/>
        </w:tabs>
        <w:ind w:hanging="420" w:left="2580"/>
      </w:pPr>
    </w:lvl>
    <w:lvl w:ilvl="5" w:tplc="0409001B">
      <w:start w:val="1"/>
      <w:numFmt w:val="lowerRoman"/>
      <w:lvlText w:val="%6."/>
      <w:lvlJc w:val="right"/>
      <w:pPr>
        <w:tabs>
          <w:tab w:pos="3000" w:val="num"/>
        </w:tabs>
        <w:ind w:hanging="420" w:left="3000"/>
      </w:pPr>
    </w:lvl>
    <w:lvl w:ilvl="6" w:tplc="0409000F">
      <w:start w:val="1"/>
      <w:numFmt w:val="decimal"/>
      <w:lvlText w:val="%7."/>
      <w:lvlJc w:val="left"/>
      <w:pPr>
        <w:tabs>
          <w:tab w:pos="3420" w:val="num"/>
        </w:tabs>
        <w:ind w:hanging="420" w:left="3420"/>
      </w:pPr>
    </w:lvl>
    <w:lvl w:ilvl="7" w:tplc="04090019">
      <w:start w:val="1"/>
      <w:numFmt w:val="lowerLetter"/>
      <w:lvlText w:val="%8)"/>
      <w:lvlJc w:val="left"/>
      <w:pPr>
        <w:tabs>
          <w:tab w:pos="3840" w:val="num"/>
        </w:tabs>
        <w:ind w:hanging="420" w:left="3840"/>
      </w:pPr>
    </w:lvl>
    <w:lvl w:ilvl="8" w:tplc="0409001B">
      <w:start w:val="1"/>
      <w:numFmt w:val="lowerRoman"/>
      <w:lvlText w:val="%9."/>
      <w:lvlJc w:val="right"/>
      <w:pPr>
        <w:tabs>
          <w:tab w:pos="4260" w:val="num"/>
        </w:tabs>
        <w:ind w:hanging="420" w:left="4260"/>
      </w:pPr>
    </w:lvl>
  </w:abstractNum>
  <w:abstractNum w15:restartNumberingAfterBreak="0" w:abstractNumId="2">
    <w:nsid w:val="7EC34207"/>
    <w:multiLevelType w:val="hybridMultilevel"/>
    <w:tmpl w:val="58FC50DE"/>
    <w:lvl w:ilvl="0" w:tplc="788C0680">
      <w:start w:val="1"/>
      <w:numFmt w:val="japaneseCounting"/>
      <w:lvlText w:val="%1、"/>
      <w:lvlJc w:val="left"/>
      <w:pPr>
        <w:tabs>
          <w:tab w:pos="480" w:val="num"/>
        </w:tabs>
        <w:ind w:hanging="480" w:left="480"/>
      </w:pPr>
      <w:rPr>
        <w:rFonts w:eastAsia="宋体" w:hint="eastAsia"/>
        <w:color w:val="auto"/>
      </w:rPr>
    </w:lvl>
    <w:lvl w:ilvl="1" w:tplc="D5ACC954">
      <w:start w:val="1"/>
      <w:numFmt w:val="japaneseCounting"/>
      <w:lvlText w:val="(%2)"/>
      <w:lvlJc w:val="left"/>
      <w:pPr>
        <w:tabs>
          <w:tab w:pos="810" w:val="num"/>
        </w:tabs>
        <w:ind w:hanging="390" w:left="810"/>
      </w:pPr>
      <w:rPr>
        <w:rFonts w:hint="eastAsia"/>
      </w:rPr>
    </w:lvl>
    <w:lvl w:ilvl="2" w:tplc="E2F6B948">
      <w:start w:val="1"/>
      <w:numFmt w:val="decimal"/>
      <w:lvlText w:val="%3、"/>
      <w:lvlJc w:val="left"/>
      <w:pPr>
        <w:tabs>
          <w:tab w:pos="1200" w:val="num"/>
        </w:tabs>
        <w:ind w:hanging="360" w:left="1200"/>
      </w:pPr>
      <w:rPr>
        <w:rFonts w:hint="eastAsia"/>
      </w:rPr>
    </w:lvl>
    <w:lvl w:ilvl="3" w:tplc="0409000F">
      <w:start w:val="1"/>
      <w:numFmt w:val="decimal"/>
      <w:lvlText w:val="%4."/>
      <w:lvlJc w:val="left"/>
      <w:pPr>
        <w:tabs>
          <w:tab w:pos="1680" w:val="num"/>
        </w:tabs>
        <w:ind w:hanging="420" w:left="1680"/>
      </w:pPr>
    </w:lvl>
    <w:lvl w:ilvl="4" w:tplc="04090019">
      <w:start w:val="1"/>
      <w:numFmt w:val="lowerLetter"/>
      <w:lvlText w:val="%5)"/>
      <w:lvlJc w:val="left"/>
      <w:pPr>
        <w:tabs>
          <w:tab w:pos="2100" w:val="num"/>
        </w:tabs>
        <w:ind w:hanging="420" w:left="2100"/>
      </w:pPr>
    </w:lvl>
    <w:lvl w:ilvl="5" w:tplc="0409001B">
      <w:start w:val="1"/>
      <w:numFmt w:val="lowerRoman"/>
      <w:lvlText w:val="%6."/>
      <w:lvlJc w:val="right"/>
      <w:pPr>
        <w:tabs>
          <w:tab w:pos="2520" w:val="num"/>
        </w:tabs>
        <w:ind w:hanging="420" w:left="2520"/>
      </w:pPr>
    </w:lvl>
    <w:lvl w:ilvl="6" w:tplc="0409000F">
      <w:start w:val="1"/>
      <w:numFmt w:val="decimal"/>
      <w:lvlText w:val="%7."/>
      <w:lvlJc w:val="left"/>
      <w:pPr>
        <w:tabs>
          <w:tab w:pos="2940" w:val="num"/>
        </w:tabs>
        <w:ind w:hanging="420" w:left="2940"/>
      </w:pPr>
    </w:lvl>
    <w:lvl w:ilvl="7" w:tplc="04090019">
      <w:start w:val="1"/>
      <w:numFmt w:val="lowerLetter"/>
      <w:lvlText w:val="%8)"/>
      <w:lvlJc w:val="left"/>
      <w:pPr>
        <w:tabs>
          <w:tab w:pos="3360" w:val="num"/>
        </w:tabs>
        <w:ind w:hanging="420" w:left="3360"/>
      </w:pPr>
    </w:lvl>
    <w:lvl w:ilvl="8" w:tplc="0409001B">
      <w:start w:val="1"/>
      <w:numFmt w:val="lowerRoman"/>
      <w:lvlText w:val="%9."/>
      <w:lvlJc w:val="right"/>
      <w:pPr>
        <w:tabs>
          <w:tab w:pos="3780" w:val="num"/>
        </w:tabs>
        <w:ind w:hanging="420" w:left="378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56"/>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6731"/>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969"/>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4FB5"/>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1AA1"/>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7A00"/>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04FC3"/>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49" v:ext="edit"/>
    <o:shapelayout v:ext="edit">
      <o:idmap data="1" v:ext="edit"/>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EastAsia" w:hAnsiTheme="minorHAnsi"/>
        <w:kern w:val="2"/>
        <w:sz w:val="21"/>
        <w:szCs w:val="22"/>
        <w:lang w:bidi="ar-SA" w:eastAsia="zh-CN" w:val="en-US"/>
      </w:rPr>
    </w:rPrDefault>
    <w:pPrDefault/>
  </w:docDefaults>
  <w:latentStyles w:count="371" w:defLockedState="0" w:defQFormat="0" w:defSemiHidden="0" w:defUIPriority="99" w:defUnhideWhenUsed="0">
    <w:lsdException w:name="Normal" w:qFormat="1" w:uiPriority="0"/>
    <w:lsdException w:name="heading 1" w:qFormat="1"/>
    <w:lsdException w:name="heading 2" w:qFormat="1" w:semiHidden="1" w:unhideWhenUsed="1"/>
    <w:lsdException w:name="heading 3" w:qFormat="1" w:semiHidden="1"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uiPriority="0"/>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4061AC"/>
    <w:pPr>
      <w:widowControl w:val="0"/>
      <w:jc w:val="both"/>
    </w:pPr>
    <w:rPr>
      <w:rFonts w:ascii="Times New Roman" w:cs="Times New Roman" w:eastAsia="宋体" w:hAnsi="Times New Roman"/>
      <w:szCs w:val="21"/>
    </w:rPr>
  </w:style>
  <w:style w:styleId="1" w:type="paragraph">
    <w:name w:val="heading 1"/>
    <w:basedOn w:val="a"/>
    <w:next w:val="a"/>
    <w:link w:val="1Char"/>
    <w:uiPriority w:val="99"/>
    <w:qFormat/>
    <w:rsid w:val="004061AC"/>
    <w:pPr>
      <w:keepNext/>
      <w:keepLines/>
      <w:spacing w:after="330" w:before="340" w:line="578" w:lineRule="auto"/>
      <w:outlineLvl w:val="0"/>
    </w:pPr>
    <w:rPr>
      <w:b/>
      <w:bCs/>
      <w:kern w:val="44"/>
      <w:sz w:val="44"/>
      <w:szCs w:val="44"/>
    </w:rPr>
  </w:style>
  <w:style w:styleId="2" w:type="paragraph">
    <w:name w:val="heading 2"/>
    <w:basedOn w:val="a"/>
    <w:next w:val="a0"/>
    <w:link w:val="2Char"/>
    <w:uiPriority w:val="99"/>
    <w:qFormat/>
    <w:rsid w:val="004061AC"/>
    <w:pPr>
      <w:keepNext/>
      <w:keepLines/>
      <w:spacing w:after="260" w:before="260" w:line="360" w:lineRule="auto"/>
      <w:outlineLvl w:val="1"/>
    </w:pPr>
    <w:rPr>
      <w:rFonts w:ascii="Arial" w:cs="Arial" w:hAnsi="Arial"/>
      <w:b/>
      <w:bCs/>
      <w:sz w:val="24"/>
      <w:szCs w:val="24"/>
    </w:rPr>
  </w:style>
  <w:style w:styleId="3" w:type="paragraph">
    <w:name w:val="heading 3"/>
    <w:basedOn w:val="a"/>
    <w:next w:val="a"/>
    <w:link w:val="3Char"/>
    <w:uiPriority w:val="99"/>
    <w:qFormat/>
    <w:rsid w:val="004061AC"/>
    <w:pPr>
      <w:keepNext/>
      <w:keepLines/>
      <w:spacing w:after="260" w:before="260" w:line="416" w:lineRule="auto"/>
      <w:outlineLvl w:val="2"/>
    </w:pPr>
    <w:rPr>
      <w:b/>
      <w:bCs/>
      <w:sz w:val="32"/>
      <w:szCs w:val="32"/>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customStyle="1" w:styleId="1Char" w:type="character">
    <w:name w:val="标题 1 Char"/>
    <w:basedOn w:val="a1"/>
    <w:link w:val="1"/>
    <w:uiPriority w:val="99"/>
    <w:rsid w:val="004061AC"/>
    <w:rPr>
      <w:rFonts w:ascii="Times New Roman" w:cs="Times New Roman" w:eastAsia="宋体" w:hAnsi="Times New Roman"/>
      <w:b/>
      <w:bCs/>
      <w:kern w:val="44"/>
      <w:sz w:val="44"/>
      <w:szCs w:val="44"/>
    </w:rPr>
  </w:style>
  <w:style w:customStyle="1" w:styleId="2Char" w:type="character">
    <w:name w:val="标题 2 Char"/>
    <w:basedOn w:val="a1"/>
    <w:link w:val="2"/>
    <w:uiPriority w:val="99"/>
    <w:rsid w:val="004061AC"/>
    <w:rPr>
      <w:rFonts w:ascii="Arial" w:cs="Arial" w:eastAsia="宋体" w:hAnsi="Arial"/>
      <w:b/>
      <w:bCs/>
      <w:sz w:val="24"/>
      <w:szCs w:val="24"/>
    </w:rPr>
  </w:style>
  <w:style w:customStyle="1" w:styleId="3Char" w:type="character">
    <w:name w:val="标题 3 Char"/>
    <w:basedOn w:val="a1"/>
    <w:link w:val="3"/>
    <w:uiPriority w:val="99"/>
    <w:rsid w:val="004061AC"/>
    <w:rPr>
      <w:rFonts w:ascii="Times New Roman" w:cs="Times New Roman" w:eastAsia="宋体" w:hAnsi="Times New Roman"/>
      <w:b/>
      <w:bCs/>
      <w:sz w:val="32"/>
      <w:szCs w:val="32"/>
    </w:rPr>
  </w:style>
  <w:style w:styleId="a0" w:type="paragraph">
    <w:name w:val="Normal Indent"/>
    <w:basedOn w:val="a"/>
    <w:uiPriority w:val="99"/>
    <w:rsid w:val="004061AC"/>
    <w:pPr>
      <w:ind w:firstLine="420" w:firstLineChars="200"/>
    </w:pPr>
  </w:style>
  <w:style w:styleId="a4" w:type="paragraph">
    <w:name w:val="Body Text Indent"/>
    <w:basedOn w:val="a"/>
    <w:link w:val="Char"/>
    <w:uiPriority w:val="99"/>
    <w:rsid w:val="004061AC"/>
    <w:pPr>
      <w:widowControl/>
      <w:spacing w:after="100" w:afterAutospacing="1" w:before="100" w:beforeAutospacing="1"/>
      <w:jc w:val="left"/>
    </w:pPr>
    <w:rPr>
      <w:rFonts w:ascii="Arial Unicode MS" w:cs="Arial Unicode MS" w:eastAsia="Arial Unicode MS" w:hAnsi="Arial Unicode MS"/>
      <w:kern w:val="0"/>
      <w:sz w:val="24"/>
      <w:szCs w:val="24"/>
    </w:rPr>
  </w:style>
  <w:style w:customStyle="1" w:styleId="Char" w:type="character">
    <w:name w:val="正文文本缩进 Char"/>
    <w:basedOn w:val="a1"/>
    <w:link w:val="a4"/>
    <w:uiPriority w:val="99"/>
    <w:rsid w:val="004061AC"/>
    <w:rPr>
      <w:rFonts w:ascii="Arial Unicode MS" w:cs="Arial Unicode MS" w:eastAsia="Arial Unicode MS" w:hAnsi="Arial Unicode MS"/>
      <w:kern w:val="0"/>
      <w:sz w:val="24"/>
      <w:szCs w:val="24"/>
    </w:rPr>
  </w:style>
  <w:style w:styleId="a5" w:type="paragraph">
    <w:name w:val="Plain Text"/>
    <w:basedOn w:val="a"/>
    <w:link w:val="Char0"/>
    <w:uiPriority w:val="99"/>
    <w:rsid w:val="004061AC"/>
    <w:rPr>
      <w:rFonts w:ascii="宋体" w:cs="宋体" w:hAnsi="Courier New"/>
    </w:rPr>
  </w:style>
  <w:style w:customStyle="1" w:styleId="Char0" w:type="character">
    <w:name w:val="纯文本 Char"/>
    <w:basedOn w:val="a1"/>
    <w:link w:val="a5"/>
    <w:uiPriority w:val="99"/>
    <w:rsid w:val="004061AC"/>
    <w:rPr>
      <w:rFonts w:ascii="宋体" w:cs="宋体" w:eastAsia="宋体" w:hAnsi="Courier New"/>
      <w:szCs w:val="21"/>
    </w:rPr>
  </w:style>
  <w:style w:styleId="20" w:type="paragraph">
    <w:name w:val="Body Text Indent 2"/>
    <w:basedOn w:val="a"/>
    <w:link w:val="2Char0"/>
    <w:uiPriority w:val="99"/>
    <w:rsid w:val="004061AC"/>
    <w:pPr>
      <w:spacing w:line="560" w:lineRule="exact"/>
      <w:ind w:firstLine="480" w:firstLineChars="200"/>
    </w:pPr>
    <w:rPr>
      <w:rFonts w:ascii="宋体" w:cs="宋体" w:hAnsi="宋体"/>
      <w:color w:val="FF0000"/>
      <w:sz w:val="24"/>
      <w:szCs w:val="24"/>
    </w:rPr>
  </w:style>
  <w:style w:customStyle="1" w:styleId="2Char0" w:type="character">
    <w:name w:val="正文文本缩进 2 Char"/>
    <w:basedOn w:val="a1"/>
    <w:link w:val="20"/>
    <w:uiPriority w:val="99"/>
    <w:rsid w:val="004061AC"/>
    <w:rPr>
      <w:rFonts w:ascii="宋体" w:cs="宋体" w:eastAsia="宋体" w:hAnsi="宋体"/>
      <w:color w:val="FF0000"/>
      <w:sz w:val="24"/>
      <w:szCs w:val="24"/>
    </w:rPr>
  </w:style>
  <w:style w:styleId="a6" w:type="paragraph">
    <w:name w:val="footer"/>
    <w:basedOn w:val="a"/>
    <w:link w:val="Char1"/>
    <w:rsid w:val="004061AC"/>
    <w:pPr>
      <w:tabs>
        <w:tab w:pos="4153" w:val="center"/>
        <w:tab w:pos="8306" w:val="right"/>
      </w:tabs>
      <w:snapToGrid w:val="0"/>
      <w:jc w:val="left"/>
    </w:pPr>
    <w:rPr>
      <w:sz w:val="18"/>
      <w:szCs w:val="18"/>
    </w:rPr>
  </w:style>
  <w:style w:customStyle="1" w:styleId="Char1" w:type="character">
    <w:name w:val="页脚 Char"/>
    <w:basedOn w:val="a1"/>
    <w:link w:val="a6"/>
    <w:uiPriority w:val="99"/>
    <w:rsid w:val="004061AC"/>
    <w:rPr>
      <w:rFonts w:ascii="Times New Roman" w:cs="Times New Roman" w:eastAsia="宋体" w:hAnsi="Times New Roman"/>
      <w:sz w:val="18"/>
      <w:szCs w:val="18"/>
    </w:rPr>
  </w:style>
  <w:style w:styleId="a7" w:type="character">
    <w:name w:val="page number"/>
    <w:basedOn w:val="a1"/>
    <w:uiPriority w:val="99"/>
    <w:rsid w:val="004061AC"/>
  </w:style>
  <w:style w:styleId="a8" w:type="character">
    <w:name w:val="Hyperlink"/>
    <w:basedOn w:val="a1"/>
    <w:uiPriority w:val="99"/>
    <w:rsid w:val="004061AC"/>
    <w:rPr>
      <w:color w:val="0000FF"/>
      <w:u w:val="single"/>
    </w:rPr>
  </w:style>
  <w:style w:styleId="30" w:type="paragraph">
    <w:name w:val="Body Text Indent 3"/>
    <w:basedOn w:val="a"/>
    <w:link w:val="3Char0"/>
    <w:uiPriority w:val="99"/>
    <w:rsid w:val="004061AC"/>
    <w:pPr>
      <w:spacing w:line="560" w:lineRule="exact"/>
      <w:ind w:firstLine="420" w:firstLineChars="200"/>
    </w:pPr>
    <w:rPr>
      <w:rFonts w:ascii="Arial" w:cs="Arial" w:hAnsi="Arial"/>
      <w:color w:val="FF0000"/>
    </w:rPr>
  </w:style>
  <w:style w:customStyle="1" w:styleId="3Char0" w:type="character">
    <w:name w:val="正文文本缩进 3 Char"/>
    <w:basedOn w:val="a1"/>
    <w:link w:val="30"/>
    <w:uiPriority w:val="99"/>
    <w:rsid w:val="004061AC"/>
    <w:rPr>
      <w:rFonts w:ascii="Arial" w:cs="Arial" w:eastAsia="宋体" w:hAnsi="Arial"/>
      <w:color w:val="FF0000"/>
      <w:szCs w:val="21"/>
    </w:rPr>
  </w:style>
  <w:style w:styleId="a9" w:type="paragraph">
    <w:name w:val="header"/>
    <w:basedOn w:val="a"/>
    <w:link w:val="Char2"/>
    <w:uiPriority w:val="99"/>
    <w:rsid w:val="004061AC"/>
    <w:pPr>
      <w:pBdr>
        <w:bottom w:color="auto" w:space="1" w:sz="6" w:val="single"/>
      </w:pBdr>
      <w:tabs>
        <w:tab w:pos="4153" w:val="center"/>
        <w:tab w:pos="8306" w:val="right"/>
      </w:tabs>
      <w:snapToGrid w:val="0"/>
      <w:jc w:val="center"/>
    </w:pPr>
    <w:rPr>
      <w:sz w:val="18"/>
      <w:szCs w:val="18"/>
    </w:rPr>
  </w:style>
  <w:style w:customStyle="1" w:styleId="Char2" w:type="character">
    <w:name w:val="页眉 Char"/>
    <w:basedOn w:val="a1"/>
    <w:link w:val="a9"/>
    <w:uiPriority w:val="99"/>
    <w:rsid w:val="004061AC"/>
    <w:rPr>
      <w:rFonts w:ascii="Times New Roman" w:cs="Times New Roman" w:eastAsia="宋体" w:hAnsi="Times New Roman"/>
      <w:sz w:val="18"/>
      <w:szCs w:val="18"/>
    </w:rPr>
  </w:style>
  <w:style w:styleId="aa" w:type="character">
    <w:name w:val="FollowedHyperlink"/>
    <w:basedOn w:val="a1"/>
    <w:uiPriority w:val="99"/>
    <w:rsid w:val="004061AC"/>
    <w:rPr>
      <w:color w:val="800080"/>
      <w:u w:val="single"/>
    </w:rPr>
  </w:style>
  <w:style w:styleId="ab" w:type="paragraph">
    <w:name w:val="List"/>
    <w:basedOn w:val="ac"/>
    <w:uiPriority w:val="99"/>
    <w:rsid w:val="004061AC"/>
    <w:pPr>
      <w:spacing w:after="220" w:line="220" w:lineRule="atLeast"/>
      <w:ind w:hanging="360" w:left="1440"/>
    </w:pPr>
  </w:style>
  <w:style w:styleId="ac" w:type="paragraph">
    <w:name w:val="Body Text"/>
    <w:basedOn w:val="a"/>
    <w:link w:val="Char3"/>
    <w:uiPriority w:val="99"/>
    <w:rsid w:val="004061AC"/>
    <w:pPr>
      <w:spacing w:after="120"/>
    </w:pPr>
  </w:style>
  <w:style w:customStyle="1" w:styleId="Char3" w:type="character">
    <w:name w:val="正文文本 Char"/>
    <w:basedOn w:val="a1"/>
    <w:link w:val="ac"/>
    <w:uiPriority w:val="99"/>
    <w:rsid w:val="004061AC"/>
    <w:rPr>
      <w:rFonts w:ascii="Times New Roman" w:cs="Times New Roman" w:eastAsia="宋体" w:hAnsi="Times New Roman"/>
      <w:szCs w:val="21"/>
    </w:rPr>
  </w:style>
  <w:style w:styleId="ad" w:type="paragraph">
    <w:name w:val="Date"/>
    <w:basedOn w:val="a"/>
    <w:next w:val="a"/>
    <w:link w:val="Char4"/>
    <w:rsid w:val="004061AC"/>
    <w:rPr>
      <w:sz w:val="24"/>
      <w:szCs w:val="24"/>
    </w:rPr>
  </w:style>
  <w:style w:customStyle="1" w:styleId="Char4" w:type="character">
    <w:name w:val="日期 Char"/>
    <w:basedOn w:val="a1"/>
    <w:link w:val="ad"/>
    <w:rsid w:val="004061AC"/>
    <w:rPr>
      <w:rFonts w:ascii="Times New Roman" w:cs="Times New Roman" w:eastAsia="宋体" w:hAnsi="Times New Roman"/>
      <w:sz w:val="24"/>
      <w:szCs w:val="24"/>
    </w:rPr>
  </w:style>
  <w:style w:customStyle="1" w:styleId="c1" w:type="character">
    <w:name w:val="c1"/>
    <w:basedOn w:val="a1"/>
    <w:uiPriority w:val="99"/>
    <w:rsid w:val="004061AC"/>
    <w:rPr>
      <w:color w:val="000000"/>
      <w:sz w:val="18"/>
      <w:szCs w:val="18"/>
    </w:rPr>
  </w:style>
  <w:style w:styleId="10" w:type="paragraph">
    <w:name w:val="index 1"/>
    <w:basedOn w:val="a"/>
    <w:next w:val="a"/>
    <w:autoRedefine/>
    <w:uiPriority w:val="99"/>
    <w:semiHidden/>
    <w:rsid w:val="004061AC"/>
    <w:pPr>
      <w:jc w:val="right"/>
    </w:pPr>
    <w:rPr>
      <w:color w:val="008000"/>
    </w:rPr>
  </w:style>
  <w:style w:customStyle="1" w:styleId="font5" w:type="paragraph">
    <w:name w:val="font5"/>
    <w:basedOn w:val="a"/>
    <w:uiPriority w:val="99"/>
    <w:rsid w:val="004061AC"/>
    <w:pPr>
      <w:widowControl/>
      <w:spacing w:after="100" w:afterAutospacing="1" w:before="100" w:beforeAutospacing="1"/>
      <w:jc w:val="left"/>
    </w:pPr>
    <w:rPr>
      <w:rFonts w:ascii="宋体" w:cs="宋体" w:hAnsi="宋体"/>
      <w:kern w:val="0"/>
      <w:sz w:val="18"/>
      <w:szCs w:val="18"/>
    </w:rPr>
  </w:style>
  <w:style w:customStyle="1" w:styleId="xl24" w:type="paragraph">
    <w:name w:val="xl24"/>
    <w:basedOn w:val="a"/>
    <w:uiPriority w:val="99"/>
    <w:rsid w:val="004061AC"/>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szCs w:val="24"/>
    </w:rPr>
  </w:style>
  <w:style w:customStyle="1" w:styleId="xl26" w:type="paragraph">
    <w:name w:val="xl2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7" w:type="paragraph">
    <w:name w:val="xl2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9" w:type="paragraph">
    <w:name w:val="xl29"/>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0" w:type="paragraph">
    <w:name w:val="xl30"/>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1" w:type="paragraph">
    <w:name w:val="xl31"/>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e" w:type="paragraph">
    <w:name w:val="Balloon Text"/>
    <w:basedOn w:val="a"/>
    <w:link w:val="Char5"/>
    <w:uiPriority w:val="99"/>
    <w:semiHidden/>
    <w:rsid w:val="004061AC"/>
    <w:rPr>
      <w:sz w:val="18"/>
      <w:szCs w:val="18"/>
    </w:rPr>
  </w:style>
  <w:style w:customStyle="1" w:styleId="Char5" w:type="character">
    <w:name w:val="批注框文本 Char"/>
    <w:basedOn w:val="a1"/>
    <w:link w:val="ae"/>
    <w:uiPriority w:val="99"/>
    <w:semiHidden/>
    <w:rsid w:val="004061AC"/>
    <w:rPr>
      <w:rFonts w:ascii="Times New Roman" w:cs="Times New Roman" w:eastAsia="宋体" w:hAnsi="Times New Roman"/>
      <w:sz w:val="18"/>
      <w:szCs w:val="18"/>
    </w:rPr>
  </w:style>
  <w:style w:styleId="af" w:type="character">
    <w:name w:val="annotation reference"/>
    <w:basedOn w:val="a1"/>
    <w:uiPriority w:val="99"/>
    <w:semiHidden/>
    <w:rsid w:val="004061AC"/>
    <w:rPr>
      <w:sz w:val="21"/>
      <w:szCs w:val="21"/>
    </w:rPr>
  </w:style>
  <w:style w:styleId="af0" w:type="paragraph">
    <w:name w:val="annotation text"/>
    <w:basedOn w:val="a"/>
    <w:link w:val="Char6"/>
    <w:uiPriority w:val="99"/>
    <w:semiHidden/>
    <w:rsid w:val="004061AC"/>
    <w:pPr>
      <w:jc w:val="left"/>
    </w:pPr>
  </w:style>
  <w:style w:customStyle="1" w:styleId="Char6" w:type="character">
    <w:name w:val="批注文字 Char"/>
    <w:basedOn w:val="a1"/>
    <w:link w:val="af0"/>
    <w:uiPriority w:val="99"/>
    <w:semiHidden/>
    <w:rsid w:val="004061AC"/>
    <w:rPr>
      <w:rFonts w:ascii="Times New Roman" w:cs="Times New Roman" w:eastAsia="宋体" w:hAnsi="Times New Roman"/>
      <w:szCs w:val="21"/>
    </w:rPr>
  </w:style>
  <w:style w:styleId="af1" w:type="paragraph">
    <w:name w:val="annotation subject"/>
    <w:basedOn w:val="af0"/>
    <w:next w:val="af0"/>
    <w:link w:val="Char7"/>
    <w:uiPriority w:val="99"/>
    <w:semiHidden/>
    <w:rsid w:val="004061AC"/>
    <w:rPr>
      <w:b/>
      <w:bCs/>
    </w:rPr>
  </w:style>
  <w:style w:customStyle="1" w:styleId="Char7" w:type="character">
    <w:name w:val="批注主题 Char"/>
    <w:basedOn w:val="Char6"/>
    <w:link w:val="af1"/>
    <w:uiPriority w:val="99"/>
    <w:semiHidden/>
    <w:rsid w:val="004061AC"/>
    <w:rPr>
      <w:rFonts w:ascii="Times New Roman" w:cs="Times New Roman" w:eastAsia="宋体" w:hAnsi="Times New Roman"/>
      <w:b/>
      <w:bCs/>
      <w:szCs w:val="21"/>
    </w:rPr>
  </w:style>
  <w:style w:customStyle="1" w:styleId="Char8" w:type="paragraph">
    <w:name w:val="Char"/>
    <w:basedOn w:val="a"/>
    <w:uiPriority w:val="99"/>
    <w:rsid w:val="004061AC"/>
  </w:style>
  <w:style w:styleId="af2" w:type="paragraph">
    <w:name w:val="Document Map"/>
    <w:basedOn w:val="a"/>
    <w:link w:val="Char9"/>
    <w:uiPriority w:val="99"/>
    <w:semiHidden/>
    <w:rsid w:val="004061AC"/>
    <w:pPr>
      <w:shd w:color="auto" w:fill="000080" w:val="clear"/>
    </w:pPr>
  </w:style>
  <w:style w:customStyle="1" w:styleId="Char9" w:type="character">
    <w:name w:val="文档结构图 Char"/>
    <w:basedOn w:val="a1"/>
    <w:link w:val="af2"/>
    <w:uiPriority w:val="99"/>
    <w:semiHidden/>
    <w:rsid w:val="004061AC"/>
    <w:rPr>
      <w:rFonts w:ascii="Times New Roman" w:cs="Times New Roman" w:eastAsia="宋体" w:hAnsi="Times New Roman"/>
      <w:szCs w:val="21"/>
      <w:shd w:color="auto" w:fill="000080" w:val="clear"/>
    </w:rPr>
  </w:style>
  <w:style w:customStyle="1" w:styleId="af3" w:type="paragraph">
    <w:name w:val="正文 + (符号) 宋体"/>
    <w:aliases w:val="小四,紧缩量  0.2 磅"/>
    <w:basedOn w:val="a"/>
    <w:uiPriority w:val="99"/>
    <w:rsid w:val="004061AC"/>
    <w:pPr>
      <w:autoSpaceDE w:val="0"/>
      <w:autoSpaceDN w:val="0"/>
      <w:adjustRightInd w:val="0"/>
      <w:ind w:firstLine="1229" w:firstLineChars="512" w:right="1409" w:rightChars="671"/>
      <w:jc w:val="distribute"/>
    </w:pPr>
    <w:rPr>
      <w:sz w:val="24"/>
      <w:szCs w:val="24"/>
    </w:rPr>
  </w:style>
  <w:style w:styleId="af4" w:type="paragraph">
    <w:name w:val="footnote text"/>
    <w:basedOn w:val="a"/>
    <w:link w:val="Chara"/>
    <w:rsid w:val="004061AC"/>
    <w:pPr>
      <w:snapToGrid w:val="0"/>
      <w:jc w:val="left"/>
    </w:pPr>
    <w:rPr>
      <w:sz w:val="18"/>
      <w:szCs w:val="18"/>
    </w:rPr>
  </w:style>
  <w:style w:customStyle="1" w:styleId="Chara" w:type="character">
    <w:name w:val="脚注文本 Char"/>
    <w:basedOn w:val="a1"/>
    <w:link w:val="af4"/>
    <w:rsid w:val="004061AC"/>
    <w:rPr>
      <w:rFonts w:ascii="Times New Roman" w:cs="Times New Roman" w:eastAsia="宋体" w:hAnsi="Times New Roman"/>
      <w:sz w:val="18"/>
      <w:szCs w:val="18"/>
    </w:rPr>
  </w:style>
  <w:style w:styleId="af5" w:type="character">
    <w:name w:val="footnote reference"/>
    <w:basedOn w:val="a1"/>
    <w:rsid w:val="004061AC"/>
    <w:rPr>
      <w:vertAlign w:val="superscript"/>
    </w:rPr>
  </w:style>
  <w:style w:styleId="af6" w:type="paragraph">
    <w:name w:val="Normal (Web)"/>
    <w:basedOn w:val="a"/>
    <w:uiPriority w:val="99"/>
    <w:rsid w:val="004061AC"/>
    <w:pPr>
      <w:widowControl/>
      <w:spacing w:after="100" w:afterAutospacing="1" w:before="100" w:beforeAutospacing="1"/>
      <w:jc w:val="left"/>
    </w:pPr>
    <w:rPr>
      <w:rFonts w:ascii="宋体" w:cs="宋体" w:hAnsi="宋体"/>
      <w:kern w:val="0"/>
      <w:sz w:val="24"/>
      <w:szCs w:val="24"/>
    </w:rPr>
  </w:style>
  <w:style w:styleId="af7" w:type="table">
    <w:name w:val="Table Grid"/>
    <w:basedOn w:val="a2"/>
    <w:qFormat/>
    <w:rsid w:val="004061AC"/>
    <w:pPr>
      <w:widowControl w:val="0"/>
      <w:jc w:val="both"/>
    </w:pPr>
    <w:rPr>
      <w:rFonts w:ascii="Times New Roman" w:cs="Times New Roman" w:eastAsia="宋体"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Char10" w:type="paragraph">
    <w:name w:val="Char1"/>
    <w:basedOn w:val="a"/>
    <w:uiPriority w:val="99"/>
    <w:rsid w:val="004061AC"/>
  </w:style>
  <w:style w:customStyle="1" w:styleId="CharCharCharCharCharChar1CharCharChar" w:type="paragraph">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customStyle="1" w:styleId="CharCharCharCharCharChar1CharCharChar2" w:type="paragraph">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styleId="af8" w:type="paragraph">
    <w:name w:val="Title"/>
    <w:basedOn w:val="a"/>
    <w:next w:val="a"/>
    <w:link w:val="Charb"/>
    <w:uiPriority w:val="99"/>
    <w:qFormat/>
    <w:rsid w:val="004061AC"/>
    <w:pPr>
      <w:spacing w:after="60" w:before="240"/>
      <w:jc w:val="center"/>
      <w:outlineLvl w:val="0"/>
    </w:pPr>
    <w:rPr>
      <w:rFonts w:ascii="Cambria" w:cs="Cambria" w:hAnsi="Cambria"/>
      <w:b/>
      <w:bCs/>
      <w:sz w:val="32"/>
      <w:szCs w:val="32"/>
    </w:rPr>
  </w:style>
  <w:style w:customStyle="1" w:styleId="Charb" w:type="character">
    <w:name w:val="标题 Char"/>
    <w:basedOn w:val="a1"/>
    <w:link w:val="af8"/>
    <w:uiPriority w:val="99"/>
    <w:rsid w:val="004061AC"/>
    <w:rPr>
      <w:rFonts w:ascii="Cambria" w:cs="Cambria" w:eastAsia="宋体" w:hAnsi="Cambria"/>
      <w:b/>
      <w:bCs/>
      <w:sz w:val="32"/>
      <w:szCs w:val="32"/>
    </w:rPr>
  </w:style>
  <w:style w:customStyle="1" w:styleId="CharCharCharCharCharChar1CharCharChar1" w:type="paragraph">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styleId="af9" w:type="paragraph">
    <w:name w:val="No Spacing"/>
    <w:link w:val="Charc"/>
    <w:uiPriority w:val="1"/>
    <w:qFormat/>
    <w:rsid w:val="004061AC"/>
    <w:rPr>
      <w:rFonts w:ascii="Calibri" w:cs="Calibri" w:eastAsia="宋体" w:hAnsi="Calibri"/>
      <w:kern w:val="0"/>
      <w:sz w:val="22"/>
    </w:rPr>
  </w:style>
  <w:style w:customStyle="1" w:styleId="Charc" w:type="character">
    <w:name w:val="无间隔 Char"/>
    <w:basedOn w:val="a1"/>
    <w:link w:val="af9"/>
    <w:uiPriority w:val="1"/>
    <w:locked/>
    <w:rsid w:val="004061AC"/>
    <w:rPr>
      <w:rFonts w:ascii="Calibri" w:cs="Calibri" w:eastAsia="宋体" w:hAnsi="Calibri"/>
      <w:kern w:val="0"/>
      <w:sz w:val="22"/>
    </w:rPr>
  </w:style>
  <w:style w:customStyle="1" w:styleId="t1" w:type="character">
    <w:name w:val="t1"/>
    <w:basedOn w:val="a1"/>
    <w:uiPriority w:val="99"/>
    <w:rsid w:val="004061AC"/>
    <w:rPr>
      <w:color w:val="auto"/>
    </w:rPr>
  </w:style>
  <w:style w:styleId="afa" w:type="paragraph">
    <w:name w:val="List Paragraph"/>
    <w:basedOn w:val="a"/>
    <w:uiPriority w:val="34"/>
    <w:qFormat/>
    <w:rsid w:val="00154BE1"/>
    <w:pPr>
      <w:ind w:firstLine="420" w:firstLineChars="200"/>
    </w:pPr>
  </w:style>
  <w:style w:customStyle="1" w:styleId="Default" w:type="paragraph">
    <w:name w:val="Default"/>
    <w:rsid w:val="00275745"/>
    <w:pPr>
      <w:widowControl w:val="0"/>
      <w:autoSpaceDE w:val="0"/>
      <w:autoSpaceDN w:val="0"/>
      <w:adjustRightInd w:val="0"/>
    </w:pPr>
    <w:rPr>
      <w:rFonts w:ascii="FangSong" w:cs="FangSong" w:eastAsia="宋体" w:hAnsi="FangSong"/>
      <w:color w:val="000000"/>
      <w:kern w:val="0"/>
      <w:sz w:val="24"/>
      <w:szCs w:val="24"/>
    </w:rPr>
  </w:style>
  <w:style w:styleId="afb" w:type="character">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1.jpeg" Type="http://schemas.openxmlformats.org/officeDocument/2006/relationships/image"/>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24F61-935D-4852-8DB9-16A24A12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TotalTime>
  <Pages>24</Pages>
  <Words>3807</Words>
  <Characters>21700</Characters>
  <Application>Microsoft Office Word</Application>
  <DocSecurity>0</DocSecurity>
  <Lines>180</Lines>
  <Paragraphs>50</Paragraphs>
  <ScaleCrop>false</ScaleCrop>
  <Company/>
  <LinksUpToDate>false</LinksUpToDate>
  <CharactersWithSpaces>25457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2012-10-16T06:07:00Z</dcterms:created>
  <cp:lastModifiedBy>业务系统</cp:lastModifiedBy>
  <dcterms:modified xsi:type="dcterms:W3CDTF">2020-01-17T03:03:00Z</dcterms:modified>
  <cp:revision>600</cp:revision>
</cp:coreProperties>
</file>