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交银施罗德稳利中短债债券型证券投资基金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交银稳利中短债债券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008204</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2019年12月13日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1,042,514,159.79</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在严格控制风险和保持较高流动性的前提下，力求获得高于业绩比较基准的投资收益。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中债总财富（1-3年）指数收益率×80%+一年期定期存款利率（税后）×20%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交银稳利中短债债券A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交银稳利中短债债券C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008204</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008205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1,017,081,425.96</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25,432,733.83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(2020年10月1日-2020年12月31日)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交银稳利中短债债券A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交银稳利中短债债券C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7,677,972.69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173,125.23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3,491,250.07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-234.31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0.0036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0.0000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1,049,313,259.42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26,128,916.56</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1.0317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1.0274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交银稳利中短债债券A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0.43%</w:t>
            </w:r>
          </w:p>
        </w:tc>
        <w:tc>
          <w:tcPr>
            <w:vAlign w:val="center"/>
          </w:tcPr>
          <w:p>
            <w:pPr>
              <w:jc w:val="center"/>
            </w:pPr>
            <w:r>
              <w:rPr>
                <w:color w:val="000000"/>
                <w:sz w:val="24"/>
              </w:rPr>
              <w:t>0.06%</w:t>
            </w:r>
          </w:p>
        </w:tc>
        <w:tc>
          <w:tcPr>
            <w:vAlign w:val="center"/>
          </w:tcPr>
          <w:p>
            <w:pPr>
              <w:jc w:val="center"/>
            </w:pPr>
            <w:r>
              <w:rPr>
                <w:color w:val="000000"/>
                <w:sz w:val="24"/>
              </w:rPr>
              <w:t>0.94%</w:t>
            </w:r>
          </w:p>
        </w:tc>
        <w:tc>
          <w:tcPr>
            <w:vAlign w:val="center"/>
          </w:tcPr>
          <w:p>
            <w:pPr>
              <w:jc w:val="center"/>
            </w:pPr>
            <w:r>
              <w:rPr>
                <w:color w:val="000000"/>
                <w:sz w:val="24"/>
              </w:rPr>
              <w:t>0.03%</w:t>
            </w:r>
          </w:p>
        </w:tc>
        <w:tc>
          <w:tcPr>
            <w:vAlign w:val="center"/>
          </w:tcPr>
          <w:p>
            <w:pPr>
              <w:jc w:val="center"/>
            </w:pPr>
            <w:r>
              <w:rPr>
                <w:color w:val="000000"/>
                <w:sz w:val="24"/>
              </w:rPr>
              <w:t>-0.51%</w:t>
            </w:r>
          </w:p>
        </w:tc>
        <w:tc>
          <w:tcPr>
            <w:vAlign w:val="center"/>
          </w:tcPr>
          <w:p>
            <w:pPr>
              <w:jc w:val="center"/>
            </w:pPr>
            <w:r>
              <w:rPr>
                <w:color w:val="000000"/>
                <w:sz w:val="24"/>
              </w:rPr>
              <w:t>0.03%</w:t>
            </w:r>
          </w:p>
        </w:tc>
      </w:tr>
      <w:tr>
        <w:tc>
          <w:tcPr>
            <w:vAlign w:val="center"/>
          </w:tcPr>
          <w:p>
            <w:pPr>
              <w:jc w:val="left"/>
            </w:pPr>
            <w:r>
              <w:rPr>
                <w:color w:val="000000"/>
                <w:sz w:val="24"/>
              </w:rPr>
              <w:t>过去六个月</w:t>
            </w:r>
          </w:p>
        </w:tc>
        <w:tc>
          <w:tcPr>
            <w:vAlign w:val="center"/>
          </w:tcPr>
          <w:p>
            <w:pPr>
              <w:jc w:val="center"/>
            </w:pPr>
            <w:r>
              <w:rPr>
                <w:color w:val="000000"/>
                <w:sz w:val="24"/>
              </w:rPr>
              <w:t>0.78%</w:t>
            </w:r>
          </w:p>
        </w:tc>
        <w:tc>
          <w:tcPr>
            <w:vAlign w:val="center"/>
          </w:tcPr>
          <w:p>
            <w:pPr>
              <w:jc w:val="center"/>
            </w:pPr>
            <w:r>
              <w:rPr>
                <w:color w:val="000000"/>
                <w:sz w:val="24"/>
              </w:rPr>
              <w:t>0.06%</w:t>
            </w:r>
          </w:p>
        </w:tc>
        <w:tc>
          <w:tcPr>
            <w:vAlign w:val="center"/>
          </w:tcPr>
          <w:p>
            <w:pPr>
              <w:jc w:val="center"/>
            </w:pPr>
            <w:r>
              <w:rPr>
                <w:color w:val="000000"/>
                <w:sz w:val="24"/>
              </w:rPr>
              <w:t>0.83%</w:t>
            </w:r>
          </w:p>
        </w:tc>
        <w:tc>
          <w:tcPr>
            <w:vAlign w:val="center"/>
          </w:tcPr>
          <w:p>
            <w:pPr>
              <w:jc w:val="center"/>
            </w:pPr>
            <w:r>
              <w:rPr>
                <w:color w:val="000000"/>
                <w:sz w:val="24"/>
              </w:rPr>
              <w:t>0.04%</w:t>
            </w:r>
          </w:p>
        </w:tc>
        <w:tc>
          <w:tcPr>
            <w:vAlign w:val="center"/>
          </w:tcPr>
          <w:p>
            <w:pPr>
              <w:jc w:val="center"/>
            </w:pPr>
            <w:r>
              <w:rPr>
                <w:color w:val="000000"/>
                <w:sz w:val="24"/>
              </w:rPr>
              <w:t>-0.05%</w:t>
            </w:r>
          </w:p>
        </w:tc>
        <w:tc>
          <w:tcPr>
            <w:vAlign w:val="center"/>
          </w:tcPr>
          <w:p>
            <w:pPr>
              <w:jc w:val="center"/>
            </w:pPr>
            <w:r>
              <w:rPr>
                <w:color w:val="000000"/>
                <w:sz w:val="24"/>
              </w:rPr>
              <w:t>0.02%</w:t>
            </w:r>
          </w:p>
        </w:tc>
      </w:tr>
      <w:tr>
        <w:tc>
          <w:tcPr>
            <w:vAlign w:val="center"/>
          </w:tcPr>
          <w:p>
            <w:pPr>
              <w:jc w:val="left"/>
            </w:pPr>
            <w:r>
              <w:rPr>
                <w:color w:val="000000"/>
                <w:sz w:val="24"/>
              </w:rPr>
              <w:t>过去一年</w:t>
            </w:r>
          </w:p>
        </w:tc>
        <w:tc>
          <w:tcPr>
            <w:vAlign w:val="center"/>
          </w:tcPr>
          <w:p>
            <w:pPr>
              <w:jc w:val="center"/>
            </w:pPr>
            <w:r>
              <w:rPr>
                <w:color w:val="000000"/>
                <w:sz w:val="24"/>
              </w:rPr>
              <w:t>3.07%</w:t>
            </w:r>
          </w:p>
        </w:tc>
        <w:tc>
          <w:tcPr>
            <w:vAlign w:val="center"/>
          </w:tcPr>
          <w:p>
            <w:pPr>
              <w:jc w:val="center"/>
            </w:pPr>
            <w:r>
              <w:rPr>
                <w:color w:val="000000"/>
                <w:sz w:val="24"/>
              </w:rPr>
              <w:t>0.07%</w:t>
            </w:r>
          </w:p>
        </w:tc>
        <w:tc>
          <w:tcPr>
            <w:vAlign w:val="center"/>
          </w:tcPr>
          <w:p>
            <w:pPr>
              <w:jc w:val="center"/>
            </w:pPr>
            <w:r>
              <w:rPr>
                <w:color w:val="000000"/>
                <w:sz w:val="24"/>
              </w:rPr>
              <w:t>2.37%</w:t>
            </w:r>
          </w:p>
        </w:tc>
        <w:tc>
          <w:tcPr>
            <w:vAlign w:val="center"/>
          </w:tcPr>
          <w:p>
            <w:pPr>
              <w:jc w:val="center"/>
            </w:pPr>
            <w:r>
              <w:rPr>
                <w:color w:val="000000"/>
                <w:sz w:val="24"/>
              </w:rPr>
              <w:t>0.06%</w:t>
            </w:r>
          </w:p>
        </w:tc>
        <w:tc>
          <w:tcPr>
            <w:vAlign w:val="center"/>
          </w:tcPr>
          <w:p>
            <w:pPr>
              <w:jc w:val="center"/>
            </w:pPr>
            <w:r>
              <w:rPr>
                <w:color w:val="000000"/>
                <w:sz w:val="24"/>
              </w:rPr>
              <w:t>0.70%</w:t>
            </w:r>
          </w:p>
        </w:tc>
        <w:tc>
          <w:tcPr>
            <w:vAlign w:val="center"/>
          </w:tcPr>
          <w:p>
            <w:pPr>
              <w:jc w:val="center"/>
            </w:pPr>
            <w:r>
              <w:rPr>
                <w:color w:val="000000"/>
                <w:sz w:val="24"/>
              </w:rPr>
              <w:t>0.01%</w:t>
            </w:r>
          </w:p>
        </w:tc>
      </w:tr>
      <w:tr>
        <w:tc>
          <w:tcPr>
            <w:vAlign w:val="center"/>
          </w:tcPr>
          <w:p>
            <w:pPr>
              <w:jc w:val="left"/>
            </w:pPr>
            <w:r>
              <w:rPr>
                <w:color w:val="000000"/>
                <w:sz w:val="24"/>
              </w:rPr>
              <w:t>自基金合同生效至今</w:t>
            </w:r>
          </w:p>
        </w:tc>
        <w:tc>
          <w:tcPr>
            <w:vAlign w:val="center"/>
          </w:tcPr>
          <w:p>
            <w:pPr>
              <w:jc w:val="center"/>
            </w:pPr>
            <w:r>
              <w:rPr>
                <w:color w:val="000000"/>
                <w:sz w:val="24"/>
              </w:rPr>
              <w:t>3.17%</w:t>
            </w:r>
          </w:p>
        </w:tc>
        <w:tc>
          <w:tcPr>
            <w:vAlign w:val="center"/>
          </w:tcPr>
          <w:p>
            <w:pPr>
              <w:jc w:val="center"/>
            </w:pPr>
            <w:r>
              <w:rPr>
                <w:color w:val="000000"/>
                <w:sz w:val="24"/>
              </w:rPr>
              <w:t>0.07%</w:t>
            </w:r>
          </w:p>
        </w:tc>
        <w:tc>
          <w:tcPr>
            <w:vAlign w:val="center"/>
          </w:tcPr>
          <w:p>
            <w:pPr>
              <w:jc w:val="center"/>
            </w:pPr>
            <w:r>
              <w:rPr>
                <w:color w:val="000000"/>
                <w:sz w:val="24"/>
              </w:rPr>
              <w:t>2.78%</w:t>
            </w:r>
          </w:p>
        </w:tc>
        <w:tc>
          <w:tcPr>
            <w:vAlign w:val="center"/>
          </w:tcPr>
          <w:p>
            <w:pPr>
              <w:jc w:val="center"/>
            </w:pPr>
            <w:r>
              <w:rPr>
                <w:color w:val="000000"/>
                <w:sz w:val="24"/>
              </w:rPr>
              <w:t>0.05%</w:t>
            </w:r>
          </w:p>
        </w:tc>
        <w:tc>
          <w:tcPr>
            <w:vAlign w:val="center"/>
          </w:tcPr>
          <w:p>
            <w:pPr>
              <w:jc w:val="center"/>
            </w:pPr>
            <w:r>
              <w:rPr>
                <w:color w:val="000000"/>
                <w:sz w:val="24"/>
              </w:rPr>
              <w:t>0.39%</w:t>
            </w:r>
          </w:p>
        </w:tc>
        <w:tc>
          <w:tcPr>
            <w:vAlign w:val="center"/>
          </w:tcPr>
          <w:p>
            <w:pPr>
              <w:jc w:val="center"/>
            </w:pPr>
            <w:r>
              <w:rPr>
                <w:color w:val="000000"/>
                <w:sz w:val="24"/>
              </w:rPr>
              <w:t>0.02%</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交银稳利中短债债券C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0.33%</w:t>
            </w:r>
          </w:p>
        </w:tc>
        <w:tc>
          <w:tcPr>
            <w:vAlign w:val="center"/>
          </w:tcPr>
          <w:p>
            <w:pPr>
              <w:jc w:val="center"/>
            </w:pPr>
            <w:r>
              <w:rPr>
                <w:color w:val="000000"/>
                <w:sz w:val="24"/>
              </w:rPr>
              <w:t>0.06%</w:t>
            </w:r>
          </w:p>
        </w:tc>
        <w:tc>
          <w:tcPr>
            <w:vAlign w:val="center"/>
          </w:tcPr>
          <w:p>
            <w:pPr>
              <w:jc w:val="center"/>
            </w:pPr>
            <w:r>
              <w:rPr>
                <w:color w:val="000000"/>
                <w:sz w:val="24"/>
              </w:rPr>
              <w:t>0.94%</w:t>
            </w:r>
          </w:p>
        </w:tc>
        <w:tc>
          <w:tcPr>
            <w:vAlign w:val="center"/>
          </w:tcPr>
          <w:p>
            <w:pPr>
              <w:jc w:val="center"/>
            </w:pPr>
            <w:r>
              <w:rPr>
                <w:color w:val="000000"/>
                <w:sz w:val="24"/>
              </w:rPr>
              <w:t>0.03%</w:t>
            </w:r>
          </w:p>
        </w:tc>
        <w:tc>
          <w:tcPr>
            <w:vAlign w:val="center"/>
          </w:tcPr>
          <w:p>
            <w:pPr>
              <w:jc w:val="center"/>
            </w:pPr>
            <w:r>
              <w:rPr>
                <w:color w:val="000000"/>
                <w:sz w:val="24"/>
              </w:rPr>
              <w:t>-0.61%</w:t>
            </w:r>
          </w:p>
        </w:tc>
        <w:tc>
          <w:tcPr>
            <w:vAlign w:val="center"/>
          </w:tcPr>
          <w:p>
            <w:pPr>
              <w:jc w:val="center"/>
            </w:pPr>
            <w:r>
              <w:rPr>
                <w:color w:val="000000"/>
                <w:sz w:val="24"/>
              </w:rPr>
              <w:t>0.03%</w:t>
            </w:r>
          </w:p>
        </w:tc>
      </w:tr>
      <w:tr>
        <w:tc>
          <w:tcPr>
            <w:vAlign w:val="center"/>
          </w:tcPr>
          <w:p>
            <w:pPr>
              <w:jc w:val="left"/>
            </w:pPr>
            <w:r>
              <w:rPr>
                <w:color w:val="000000"/>
                <w:sz w:val="24"/>
              </w:rPr>
              <w:t>过去六个月</w:t>
            </w:r>
          </w:p>
        </w:tc>
        <w:tc>
          <w:tcPr>
            <w:vAlign w:val="center"/>
          </w:tcPr>
          <w:p>
            <w:pPr>
              <w:jc w:val="center"/>
            </w:pPr>
            <w:r>
              <w:rPr>
                <w:color w:val="000000"/>
                <w:sz w:val="24"/>
              </w:rPr>
              <w:t>0.58%</w:t>
            </w:r>
          </w:p>
        </w:tc>
        <w:tc>
          <w:tcPr>
            <w:vAlign w:val="center"/>
          </w:tcPr>
          <w:p>
            <w:pPr>
              <w:jc w:val="center"/>
            </w:pPr>
            <w:r>
              <w:rPr>
                <w:color w:val="000000"/>
                <w:sz w:val="24"/>
              </w:rPr>
              <w:t>0.06%</w:t>
            </w:r>
          </w:p>
        </w:tc>
        <w:tc>
          <w:tcPr>
            <w:vAlign w:val="center"/>
          </w:tcPr>
          <w:p>
            <w:pPr>
              <w:jc w:val="center"/>
            </w:pPr>
            <w:r>
              <w:rPr>
                <w:color w:val="000000"/>
                <w:sz w:val="24"/>
              </w:rPr>
              <w:t>0.83%</w:t>
            </w:r>
          </w:p>
        </w:tc>
        <w:tc>
          <w:tcPr>
            <w:vAlign w:val="center"/>
          </w:tcPr>
          <w:p>
            <w:pPr>
              <w:jc w:val="center"/>
            </w:pPr>
            <w:r>
              <w:rPr>
                <w:color w:val="000000"/>
                <w:sz w:val="24"/>
              </w:rPr>
              <w:t>0.04%</w:t>
            </w:r>
          </w:p>
        </w:tc>
        <w:tc>
          <w:tcPr>
            <w:vAlign w:val="center"/>
          </w:tcPr>
          <w:p>
            <w:pPr>
              <w:jc w:val="center"/>
            </w:pPr>
            <w:r>
              <w:rPr>
                <w:color w:val="000000"/>
                <w:sz w:val="24"/>
              </w:rPr>
              <w:t>-0.25%</w:t>
            </w:r>
          </w:p>
        </w:tc>
        <w:tc>
          <w:tcPr>
            <w:vAlign w:val="center"/>
          </w:tcPr>
          <w:p>
            <w:pPr>
              <w:jc w:val="center"/>
            </w:pPr>
            <w:r>
              <w:rPr>
                <w:color w:val="000000"/>
                <w:sz w:val="24"/>
              </w:rPr>
              <w:t>0.02%</w:t>
            </w:r>
          </w:p>
        </w:tc>
      </w:tr>
      <w:tr>
        <w:tc>
          <w:tcPr>
            <w:vAlign w:val="center"/>
          </w:tcPr>
          <w:p>
            <w:pPr>
              <w:jc w:val="left"/>
            </w:pPr>
            <w:r>
              <w:rPr>
                <w:color w:val="000000"/>
                <w:sz w:val="24"/>
              </w:rPr>
              <w:t>过去一年</w:t>
            </w:r>
          </w:p>
        </w:tc>
        <w:tc>
          <w:tcPr>
            <w:vAlign w:val="center"/>
          </w:tcPr>
          <w:p>
            <w:pPr>
              <w:jc w:val="center"/>
            </w:pPr>
            <w:r>
              <w:rPr>
                <w:color w:val="000000"/>
                <w:sz w:val="24"/>
              </w:rPr>
              <w:t>2.66%</w:t>
            </w:r>
          </w:p>
        </w:tc>
        <w:tc>
          <w:tcPr>
            <w:vAlign w:val="center"/>
          </w:tcPr>
          <w:p>
            <w:pPr>
              <w:jc w:val="center"/>
            </w:pPr>
            <w:r>
              <w:rPr>
                <w:color w:val="000000"/>
                <w:sz w:val="24"/>
              </w:rPr>
              <w:t>0.07%</w:t>
            </w:r>
          </w:p>
        </w:tc>
        <w:tc>
          <w:tcPr>
            <w:vAlign w:val="center"/>
          </w:tcPr>
          <w:p>
            <w:pPr>
              <w:jc w:val="center"/>
            </w:pPr>
            <w:r>
              <w:rPr>
                <w:color w:val="000000"/>
                <w:sz w:val="24"/>
              </w:rPr>
              <w:t>2.37%</w:t>
            </w:r>
          </w:p>
        </w:tc>
        <w:tc>
          <w:tcPr>
            <w:vAlign w:val="center"/>
          </w:tcPr>
          <w:p>
            <w:pPr>
              <w:jc w:val="center"/>
            </w:pPr>
            <w:r>
              <w:rPr>
                <w:color w:val="000000"/>
                <w:sz w:val="24"/>
              </w:rPr>
              <w:t>0.06%</w:t>
            </w:r>
          </w:p>
        </w:tc>
        <w:tc>
          <w:tcPr>
            <w:vAlign w:val="center"/>
          </w:tcPr>
          <w:p>
            <w:pPr>
              <w:jc w:val="center"/>
            </w:pPr>
            <w:r>
              <w:rPr>
                <w:color w:val="000000"/>
                <w:sz w:val="24"/>
              </w:rPr>
              <w:t>0.29%</w:t>
            </w:r>
          </w:p>
        </w:tc>
        <w:tc>
          <w:tcPr>
            <w:vAlign w:val="center"/>
          </w:tcPr>
          <w:p>
            <w:pPr>
              <w:jc w:val="center"/>
            </w:pPr>
            <w:r>
              <w:rPr>
                <w:color w:val="000000"/>
                <w:sz w:val="24"/>
              </w:rPr>
              <w:t>0.01%</w:t>
            </w:r>
          </w:p>
        </w:tc>
      </w:tr>
      <w:tr>
        <w:tc>
          <w:tcPr>
            <w:vAlign w:val="center"/>
          </w:tcPr>
          <w:p>
            <w:pPr>
              <w:jc w:val="left"/>
            </w:pPr>
            <w:r>
              <w:rPr>
                <w:color w:val="000000"/>
                <w:sz w:val="24"/>
              </w:rPr>
              <w:t>自基金合同生效至今</w:t>
            </w:r>
          </w:p>
        </w:tc>
        <w:tc>
          <w:tcPr>
            <w:vAlign w:val="center"/>
          </w:tcPr>
          <w:p>
            <w:pPr>
              <w:jc w:val="center"/>
            </w:pPr>
            <w:r>
              <w:rPr>
                <w:color w:val="000000"/>
                <w:sz w:val="24"/>
              </w:rPr>
              <w:t>2.74%</w:t>
            </w:r>
          </w:p>
        </w:tc>
        <w:tc>
          <w:tcPr>
            <w:vAlign w:val="center"/>
          </w:tcPr>
          <w:p>
            <w:pPr>
              <w:jc w:val="center"/>
            </w:pPr>
            <w:r>
              <w:rPr>
                <w:color w:val="000000"/>
                <w:sz w:val="24"/>
              </w:rPr>
              <w:t>0.07%</w:t>
            </w:r>
          </w:p>
        </w:tc>
        <w:tc>
          <w:tcPr>
            <w:vAlign w:val="center"/>
          </w:tcPr>
          <w:p>
            <w:pPr>
              <w:jc w:val="center"/>
            </w:pPr>
            <w:r>
              <w:rPr>
                <w:color w:val="000000"/>
                <w:sz w:val="24"/>
              </w:rPr>
              <w:t>2.78%</w:t>
            </w:r>
          </w:p>
        </w:tc>
        <w:tc>
          <w:tcPr>
            <w:vAlign w:val="center"/>
          </w:tcPr>
          <w:p>
            <w:pPr>
              <w:jc w:val="center"/>
            </w:pPr>
            <w:r>
              <w:rPr>
                <w:color w:val="000000"/>
                <w:sz w:val="24"/>
              </w:rPr>
              <w:t>0.05%</w:t>
            </w:r>
          </w:p>
        </w:tc>
        <w:tc>
          <w:tcPr>
            <w:vAlign w:val="center"/>
          </w:tcPr>
          <w:p>
            <w:pPr>
              <w:jc w:val="center"/>
            </w:pPr>
            <w:r>
              <w:rPr>
                <w:color w:val="000000"/>
                <w:sz w:val="24"/>
              </w:rPr>
              <w:t>-0.04%</w:t>
            </w:r>
          </w:p>
        </w:tc>
        <w:tc>
          <w:tcPr>
            <w:vAlign w:val="center"/>
          </w:tcPr>
          <w:p>
            <w:pPr>
              <w:jc w:val="center"/>
            </w:pPr>
            <w:r>
              <w:rPr>
                <w:color w:val="000000"/>
                <w:sz w:val="24"/>
              </w:rPr>
              <w:t>0.02%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交银施罗德稳利中短债债券型证券投资基金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2019年12月13日</w:t>
      </w:r>
      <w:r w:rsidR="009A045B" w:rsidRPr="007F52FA">
        <w:rPr>
          <w:rFonts w:ascii="Times New Roman" w:hAnsi="Times New Roman"/>
          <w:sz w:val="24"/>
          <w:szCs w:val="24"/>
        </w:rPr>
        <w:t>至</w:t>
      </w:r>
      <w:r w:rsidRPr="007F52FA">
        <w:rPr>
          <w:rFonts w:ascii="Times New Roman" w:hAnsi="Times New Roman"/>
          <w:sz w:val="24"/>
          <w:szCs w:val="24"/>
        </w:rPr>
        <w:t>2020年12月31日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交银稳利中短债债券A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基金合同生效日为2019年12月13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交银稳利中短债债券C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基金合同生效日为2019年12月13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vAlign w:val="center"/>
          </w:tcPr>
          <w:p>
            <w:pPr>
              <w:jc w:val="center"/>
            </w:pPr>
            <w:r>
              <w:rPr>
                <w:color w:val="000000"/>
                <w:sz w:val="24"/>
              </w:rPr>
              <w:t>2019-12-13</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2015年5月27日至2020年7月27日担任转型前的交银施罗德理财21天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收益率先在经济数据透露出“结构隐忧”和四季度供需结构优化的双重作用下，小幅下行。之后央行重提总闸门引发货币政策进一步收紧的预期，叠加部分信用债违约风险事件，信用债和短久期利率债经历了大幅下跌。11月下旬随着央行超预期投放流动性，经济工作会议精神明确不会“急转弯”，债券市场在配置力量带动下，收益率转而下行。</w:t>
      </w:r>
    </w:p>
    <w:p>
      <w:pPr>
        <w:spacing w:before="29" w:line="288" w:lineRule="auto"/>
        <w:ind w:firstLine="480" w:firstLineChars="200"/>
        <w:rPr>
          <w:color w:val="000000"/>
          <w:sz w:val="24"/>
        </w:rPr>
      </w:pPr>
      <w:r>
        <w:rPr>
          <w:color w:val="000000"/>
          <w:sz w:val="24"/>
        </w:rPr>
        <w:t>由于央行MLF的超额投放和年底大量的跨年公开市场操作，资金面年底前呈现宽松态势，股份制存款存单收益率也在11月底最高达到3.2%附近见顶后，出现明显的下行，年底下至2.6%附近。</w:t>
      </w:r>
    </w:p>
    <w:p>
      <w:pPr>
        <w:spacing w:before="29" w:line="288" w:lineRule="auto"/>
        <w:ind w:firstLine="480" w:firstLineChars="200"/>
        <w:rPr>
          <w:color w:val="000000"/>
          <w:sz w:val="24"/>
        </w:rPr>
      </w:pPr>
      <w:r>
        <w:rPr>
          <w:color w:val="000000"/>
          <w:sz w:val="24"/>
        </w:rPr>
        <w:t>基金操作方面，本基金仍然是以信用债票息策略为主，维持一个中性的久期水平。具体配置方面仍以1-3年中高等级信用债为底仓，鉴于我们对2021年信用环境偏紧缩的判断，我们适当减持了组合中长久期低等级信用债。中高等级信用债尤其是优质城投具有较好的配置价值，持有策略仍然占优，是我们配置的重点方向。</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2021年一季度，基本面延续边际改善趋势，债市核心交易要素还是资金面，在央行流动性呵护下此前超调的短债、中高等级信用债近期表现较好，需要关注通胀是否超预期上行从而引致货币政策的边际收紧。中期来看，经济依然延续改善，大宗价格明显上涨，债市仍然难现趋势性行情，但以社融见顶的逻辑推演来看，收益率已经接近顶部区域，大概率是一个磨顶的过程，但低等级信用债则需规避信用利差走扩的风险。债券的趋势性拐点则需要紧密跟踪信用收缩对实体经济的负反馈，以及海外供需缺口变化对我国出口的负面拖累。组合操作方面，组合仍将以中高等级信用债为底仓，根据对宏观经济、货币政策的判断，适时调整组合久期，采取票息策略为主的思路。在严控信用风险的基础上，对各类债券品种精耕细作，加强收益挖掘。同时，在融资成本相对较低的情况下，短端资金和资产收益利差空间仍然较为显著，我们会辅以合理杠杆水平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1,279,456,300.00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1,232,468,000.00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94.71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46,988,300.00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3.61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950,009.78</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20,884,961.18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1,301,291,270.96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59,974,000.00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5.58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59,974,000.00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5.58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29,808,000.00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2.77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50,169,000.00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4.66</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1,092,517,000.00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101.59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1,232,468,000.00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114.60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102002101</w:t>
            </w:r>
          </w:p>
        </w:tc>
        <w:tc>
          <w:tcPr>
            <w:vAlign w:val="center"/>
          </w:tcPr>
          <w:p>
            <w:pPr>
              <w:jc w:val="center"/>
            </w:pPr>
            <w:r>
              <w:rPr>
                <w:color w:val="000000"/>
                <w:sz w:val="24"/>
              </w:rPr>
              <w:t>20科学广州MTN001</w:t>
            </w:r>
          </w:p>
        </w:tc>
        <w:tc>
          <w:tcPr>
            <w:vAlign w:val="center"/>
          </w:tcPr>
          <w:p>
            <w:pPr>
              <w:jc w:val="right"/>
            </w:pPr>
            <w:r>
              <w:rPr>
                <w:color w:val="000000"/>
                <w:sz w:val="24"/>
              </w:rPr>
              <w:t>500,000</w:t>
            </w:r>
          </w:p>
        </w:tc>
        <w:tc>
          <w:tcPr>
            <w:vAlign w:val="center"/>
          </w:tcPr>
          <w:p>
            <w:pPr>
              <w:jc w:val="right"/>
            </w:pPr>
            <w:r>
              <w:rPr>
                <w:color w:val="000000"/>
                <w:sz w:val="24"/>
              </w:rPr>
              <w:t>49,835,000.00</w:t>
            </w:r>
          </w:p>
        </w:tc>
        <w:tc>
          <w:tcPr>
            <w:vAlign w:val="center"/>
          </w:tcPr>
          <w:p>
            <w:pPr>
              <w:jc w:val="right"/>
            </w:pPr>
            <w:r>
              <w:rPr>
                <w:color w:val="000000"/>
                <w:sz w:val="24"/>
              </w:rPr>
              <w:t>4.63</w:t>
            </w:r>
          </w:p>
        </w:tc>
      </w:tr>
      <w:tr>
        <w:tc>
          <w:tcPr>
            <w:vAlign w:val="center"/>
          </w:tcPr>
          <w:p>
            <w:pPr>
              <w:jc w:val="center"/>
            </w:pPr>
            <w:r>
              <w:rPr>
                <w:color w:val="000000"/>
                <w:sz w:val="24"/>
              </w:rPr>
              <w:t>2</w:t>
            </w:r>
          </w:p>
        </w:tc>
        <w:tc>
          <w:tcPr>
            <w:vAlign w:val="center"/>
          </w:tcPr>
          <w:p>
            <w:pPr>
              <w:jc w:val="center"/>
            </w:pPr>
            <w:r>
              <w:rPr>
                <w:color w:val="000000"/>
                <w:sz w:val="24"/>
              </w:rPr>
              <w:t>200309</w:t>
            </w:r>
          </w:p>
        </w:tc>
        <w:tc>
          <w:tcPr>
            <w:vAlign w:val="center"/>
          </w:tcPr>
          <w:p>
            <w:pPr>
              <w:jc w:val="center"/>
            </w:pPr>
            <w:r>
              <w:rPr>
                <w:color w:val="000000"/>
                <w:sz w:val="24"/>
              </w:rPr>
              <w:t>20进出09</w:t>
            </w:r>
          </w:p>
        </w:tc>
        <w:tc>
          <w:tcPr>
            <w:vAlign w:val="center"/>
          </w:tcPr>
          <w:p>
            <w:pPr>
              <w:jc w:val="right"/>
            </w:pPr>
            <w:r>
              <w:rPr>
                <w:color w:val="000000"/>
                <w:sz w:val="24"/>
              </w:rPr>
              <w:t>400,000</w:t>
            </w:r>
          </w:p>
        </w:tc>
        <w:tc>
          <w:tcPr>
            <w:vAlign w:val="center"/>
          </w:tcPr>
          <w:p>
            <w:pPr>
              <w:jc w:val="right"/>
            </w:pPr>
            <w:r>
              <w:rPr>
                <w:color w:val="000000"/>
                <w:sz w:val="24"/>
              </w:rPr>
              <w:t>39,992,000.00</w:t>
            </w:r>
          </w:p>
        </w:tc>
        <w:tc>
          <w:tcPr>
            <w:vAlign w:val="center"/>
          </w:tcPr>
          <w:p>
            <w:pPr>
              <w:jc w:val="right"/>
            </w:pPr>
            <w:r>
              <w:rPr>
                <w:color w:val="000000"/>
                <w:sz w:val="24"/>
              </w:rPr>
              <w:t>3.72</w:t>
            </w:r>
          </w:p>
        </w:tc>
      </w:tr>
      <w:tr>
        <w:tc>
          <w:tcPr>
            <w:vAlign w:val="center"/>
          </w:tcPr>
          <w:p>
            <w:pPr>
              <w:jc w:val="center"/>
            </w:pPr>
            <w:r>
              <w:rPr>
                <w:color w:val="000000"/>
                <w:sz w:val="24"/>
              </w:rPr>
              <w:t>3</w:t>
            </w:r>
          </w:p>
        </w:tc>
        <w:tc>
          <w:tcPr>
            <w:vAlign w:val="center"/>
          </w:tcPr>
          <w:p>
            <w:pPr>
              <w:jc w:val="center"/>
            </w:pPr>
            <w:r>
              <w:rPr>
                <w:color w:val="000000"/>
                <w:sz w:val="24"/>
              </w:rPr>
              <w:t>102001953</w:t>
            </w:r>
          </w:p>
        </w:tc>
        <w:tc>
          <w:tcPr>
            <w:vAlign w:val="center"/>
          </w:tcPr>
          <w:p>
            <w:pPr>
              <w:jc w:val="center"/>
            </w:pPr>
            <w:r>
              <w:rPr>
                <w:color w:val="000000"/>
                <w:sz w:val="24"/>
              </w:rPr>
              <w:t>20浦口康居MTN005</w:t>
            </w:r>
          </w:p>
        </w:tc>
        <w:tc>
          <w:tcPr>
            <w:vAlign w:val="center"/>
          </w:tcPr>
          <w:p>
            <w:pPr>
              <w:jc w:val="right"/>
            </w:pPr>
            <w:r>
              <w:rPr>
                <w:color w:val="000000"/>
                <w:sz w:val="24"/>
              </w:rPr>
              <w:t>400,000</w:t>
            </w:r>
          </w:p>
        </w:tc>
        <w:tc>
          <w:tcPr>
            <w:vAlign w:val="center"/>
          </w:tcPr>
          <w:p>
            <w:pPr>
              <w:jc w:val="right"/>
            </w:pPr>
            <w:r>
              <w:rPr>
                <w:color w:val="000000"/>
                <w:sz w:val="24"/>
              </w:rPr>
              <w:t>39,712,000.00</w:t>
            </w:r>
          </w:p>
        </w:tc>
        <w:tc>
          <w:tcPr>
            <w:vAlign w:val="center"/>
          </w:tcPr>
          <w:p>
            <w:pPr>
              <w:jc w:val="right"/>
            </w:pPr>
            <w:r>
              <w:rPr>
                <w:color w:val="000000"/>
                <w:sz w:val="24"/>
              </w:rPr>
              <w:t>3.69</w:t>
            </w:r>
          </w:p>
        </w:tc>
      </w:tr>
      <w:tr>
        <w:tc>
          <w:tcPr>
            <w:vAlign w:val="center"/>
          </w:tcPr>
          <w:p>
            <w:pPr>
              <w:jc w:val="center"/>
            </w:pPr>
            <w:r>
              <w:rPr>
                <w:color w:val="000000"/>
                <w:sz w:val="24"/>
              </w:rPr>
              <w:t>4</w:t>
            </w:r>
          </w:p>
        </w:tc>
        <w:tc>
          <w:tcPr>
            <w:vAlign w:val="center"/>
          </w:tcPr>
          <w:p>
            <w:pPr>
              <w:jc w:val="center"/>
            </w:pPr>
            <w:r>
              <w:rPr>
                <w:color w:val="000000"/>
                <w:sz w:val="24"/>
              </w:rPr>
              <w:t>102000560</w:t>
            </w:r>
          </w:p>
        </w:tc>
        <w:tc>
          <w:tcPr>
            <w:vAlign w:val="center"/>
          </w:tcPr>
          <w:p>
            <w:pPr>
              <w:jc w:val="center"/>
            </w:pPr>
            <w:r>
              <w:rPr>
                <w:color w:val="000000"/>
                <w:sz w:val="24"/>
              </w:rPr>
              <w:t>20镜湖开发MTN001</w:t>
            </w:r>
          </w:p>
        </w:tc>
        <w:tc>
          <w:tcPr>
            <w:vAlign w:val="center"/>
          </w:tcPr>
          <w:p>
            <w:pPr>
              <w:jc w:val="right"/>
            </w:pPr>
            <w:r>
              <w:rPr>
                <w:color w:val="000000"/>
                <w:sz w:val="24"/>
              </w:rPr>
              <w:t>400,000</w:t>
            </w:r>
          </w:p>
        </w:tc>
        <w:tc>
          <w:tcPr>
            <w:vAlign w:val="center"/>
          </w:tcPr>
          <w:p>
            <w:pPr>
              <w:jc w:val="right"/>
            </w:pPr>
            <w:r>
              <w:rPr>
                <w:color w:val="000000"/>
                <w:sz w:val="24"/>
              </w:rPr>
              <w:t>39,512,000.00</w:t>
            </w:r>
          </w:p>
        </w:tc>
        <w:tc>
          <w:tcPr>
            <w:vAlign w:val="center"/>
          </w:tcPr>
          <w:p>
            <w:pPr>
              <w:jc w:val="right"/>
            </w:pPr>
            <w:r>
              <w:rPr>
                <w:color w:val="000000"/>
                <w:sz w:val="24"/>
              </w:rPr>
              <w:t>3.67</w:t>
            </w:r>
          </w:p>
        </w:tc>
      </w:tr>
      <w:tr>
        <w:tc>
          <w:tcPr>
            <w:vAlign w:val="center"/>
          </w:tcPr>
          <w:p>
            <w:pPr>
              <w:jc w:val="center"/>
            </w:pPr>
            <w:r>
              <w:rPr>
                <w:color w:val="000000"/>
                <w:sz w:val="24"/>
              </w:rPr>
              <w:t>5</w:t>
            </w:r>
          </w:p>
        </w:tc>
        <w:tc>
          <w:tcPr>
            <w:vAlign w:val="center"/>
          </w:tcPr>
          <w:p>
            <w:pPr>
              <w:jc w:val="center"/>
            </w:pPr>
            <w:r>
              <w:rPr>
                <w:color w:val="000000"/>
                <w:sz w:val="24"/>
              </w:rPr>
              <w:t>102001966</w:t>
            </w:r>
          </w:p>
        </w:tc>
        <w:tc>
          <w:tcPr>
            <w:vAlign w:val="center"/>
          </w:tcPr>
          <w:p>
            <w:pPr>
              <w:jc w:val="center"/>
            </w:pPr>
            <w:r>
              <w:rPr>
                <w:color w:val="000000"/>
                <w:sz w:val="24"/>
              </w:rPr>
              <w:t>20连云城建MTN004</w:t>
            </w:r>
          </w:p>
        </w:tc>
        <w:tc>
          <w:tcPr>
            <w:vAlign w:val="center"/>
          </w:tcPr>
          <w:p>
            <w:pPr>
              <w:jc w:val="right"/>
            </w:pPr>
            <w:r>
              <w:rPr>
                <w:color w:val="000000"/>
                <w:sz w:val="24"/>
              </w:rPr>
              <w:t>400,000</w:t>
            </w:r>
          </w:p>
        </w:tc>
        <w:tc>
          <w:tcPr>
            <w:vAlign w:val="center"/>
          </w:tcPr>
          <w:p>
            <w:pPr>
              <w:jc w:val="right"/>
            </w:pPr>
            <w:r>
              <w:rPr>
                <w:color w:val="000000"/>
                <w:sz w:val="24"/>
              </w:rPr>
              <w:t>39,504,000.00</w:t>
            </w:r>
          </w:p>
        </w:tc>
        <w:tc>
          <w:tcPr>
            <w:vAlign w:val="center"/>
          </w:tcPr>
          <w:p>
            <w:pPr>
              <w:jc w:val="right"/>
            </w:pPr>
            <w:r>
              <w:rPr>
                <w:color w:val="000000"/>
                <w:sz w:val="24"/>
              </w:rPr>
              <w:t>3.67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085115" w:rsidR="00085115" w:rsidRDefault="00085115" w:rsidRPr="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
      </w:r>
      <w:r w:rsidRPr="00085115">
        <w:rPr>
          <w:rFonts w:hint="eastAsia"/>
          <w:color w:val="000000"/>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491"/>
        <w:gridCol w:w="1491"/>
        <w:gridCol w:w="1491"/>
        <w:gridCol w:w="1599"/>
        <w:gridCol w:w="1599"/>
        <w:gridCol w:w="1571"/>
      </w:tblGrid>
      <w:tr w:rsidR="009A0513" w:rsidRPr="007F52FA" w:rsidTr="00B236A5">
        <w:trPr>
          <w:jc w:val="center"/>
        </w:trPr>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type="dxa" w:w="1503"/>
            <w:vAlign w:val="center"/>
          </w:tcPr>
          <w:p w:rsidP="005324E6"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type="dxa" w:w="1503"/>
            <w:vAlign w:val="center"/>
          </w:tcPr>
          <w:p w:rsidP="00430A5C"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type="dxa" w:w="1503"/>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169525</w:t>
            </w:r>
          </w:p>
        </w:tc>
        <w:tc>
          <w:tcPr>
            <w:vAlign w:val="center"/>
          </w:tcPr>
          <w:p>
            <w:pPr>
              <w:jc w:val="center"/>
            </w:pPr>
            <w:r>
              <w:rPr>
                <w:color w:val="000000"/>
                <w:sz w:val="24"/>
              </w:rPr>
              <w:t>兴辰03A</w:t>
            </w:r>
          </w:p>
        </w:tc>
        <w:tc>
          <w:tcPr>
            <w:vAlign w:val="center"/>
          </w:tcPr>
          <w:p>
            <w:pPr>
              <w:jc w:val="right"/>
            </w:pPr>
            <w:r>
              <w:rPr>
                <w:color w:val="000000"/>
                <w:sz w:val="24"/>
              </w:rPr>
              <w:t>300,000</w:t>
            </w:r>
          </w:p>
        </w:tc>
        <w:tc>
          <w:tcPr>
            <w:vAlign w:val="center"/>
          </w:tcPr>
          <w:p>
            <w:pPr>
              <w:jc w:val="right"/>
            </w:pPr>
            <w:r>
              <w:rPr>
                <w:color w:val="000000"/>
                <w:sz w:val="24"/>
              </w:rPr>
              <w:t>30,027,000.00</w:t>
            </w:r>
          </w:p>
        </w:tc>
        <w:tc>
          <w:tcPr>
            <w:vAlign w:val="center"/>
          </w:tcPr>
          <w:p>
            <w:pPr>
              <w:jc w:val="right"/>
            </w:pPr>
            <w:r>
              <w:rPr>
                <w:color w:val="000000"/>
                <w:sz w:val="24"/>
              </w:rPr>
              <w:t>2.79</w:t>
            </w:r>
          </w:p>
        </w:tc>
      </w:tr>
      <w:tr>
        <w:tc>
          <w:tcPr>
            <w:vAlign w:val="center"/>
          </w:tcPr>
          <w:p>
            <w:pPr>
              <w:jc w:val="center"/>
            </w:pPr>
            <w:r>
              <w:rPr>
                <w:color w:val="000000"/>
                <w:sz w:val="24"/>
              </w:rPr>
              <w:t>2</w:t>
            </w:r>
          </w:p>
        </w:tc>
        <w:tc>
          <w:tcPr>
            <w:vAlign w:val="center"/>
          </w:tcPr>
          <w:p>
            <w:pPr>
              <w:jc w:val="center"/>
            </w:pPr>
            <w:r>
              <w:rPr>
                <w:color w:val="000000"/>
                <w:sz w:val="24"/>
              </w:rPr>
              <w:t>169616</w:t>
            </w:r>
          </w:p>
        </w:tc>
        <w:tc>
          <w:tcPr>
            <w:vAlign w:val="center"/>
          </w:tcPr>
          <w:p>
            <w:pPr>
              <w:jc w:val="center"/>
            </w:pPr>
            <w:r>
              <w:rPr>
                <w:color w:val="000000"/>
                <w:sz w:val="24"/>
              </w:rPr>
              <w:t>20安吉8A</w:t>
            </w:r>
          </w:p>
        </w:tc>
        <w:tc>
          <w:tcPr>
            <w:vAlign w:val="center"/>
          </w:tcPr>
          <w:p>
            <w:pPr>
              <w:jc w:val="right"/>
            </w:pPr>
            <w:r>
              <w:rPr>
                <w:color w:val="000000"/>
                <w:sz w:val="24"/>
              </w:rPr>
              <w:t>190,000</w:t>
            </w:r>
          </w:p>
        </w:tc>
        <w:tc>
          <w:tcPr>
            <w:vAlign w:val="center"/>
          </w:tcPr>
          <w:p>
            <w:pPr>
              <w:jc w:val="right"/>
            </w:pPr>
            <w:r>
              <w:rPr>
                <w:color w:val="000000"/>
                <w:sz w:val="24"/>
              </w:rPr>
              <w:t>16,961,300.00</w:t>
            </w:r>
          </w:p>
        </w:tc>
        <w:tc>
          <w:tcPr>
            <w:vAlign w:val="center"/>
          </w:tcPr>
          <w:p>
            <w:pPr>
              <w:jc w:val="right"/>
            </w:pPr>
            <w:r>
              <w:rPr>
                <w:color w:val="000000"/>
                <w:sz w:val="24"/>
              </w:rPr>
              <w:t>1.58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18,964,357.77</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1,920,603.41</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20,884,961.18</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交银稳利中短债债券A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交银稳利中短债债券C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880,945,854.33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26,699,948.61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276,366,450.76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21,706,156.40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140,230,879.13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22,973,371.18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1,017,081,425.96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25,432,733.83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2020/10/1-2020/12/31</w:t>
            </w:r>
          </w:p>
        </w:tc>
        <w:tc>
          <w:tcPr>
            <w:vAlign w:val="center"/>
          </w:tcPr>
          <w:p>
            <w:pPr>
              <w:jc w:val="center"/>
            </w:pPr>
            <w:r>
              <w:rPr>
                <w:rFonts w:ascii="宋体" w:hAnsi="宋体" w:hint="eastAsia"/>
                <w:color w:val="000000"/>
                <w:kern w:val="0"/>
                <w:szCs w:val="21"/>
              </w:rPr>
              <w:t>292,767,639.31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292,767,639.31</w:t>
            </w:r>
          </w:p>
        </w:tc>
        <w:tc>
          <w:tcPr>
            <w:vAlign w:val="center"/>
          </w:tcPr>
          <w:p>
            <w:pPr>
              <w:jc w:val="center"/>
            </w:pPr>
            <w:r>
              <w:rPr>
                <w:rFonts w:ascii="宋体" w:hAnsi="宋体" w:hint="eastAsia"/>
                <w:color w:val="000000"/>
                <w:kern w:val="0"/>
                <w:szCs w:val="21"/>
              </w:rPr>
              <w:t>28.08%</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2020/10/1-2020/12/31</w:t>
            </w:r>
          </w:p>
        </w:tc>
        <w:tc>
          <w:tcPr>
            <w:vAlign w:val="center"/>
          </w:tcPr>
          <w:p>
            <w:pPr>
              <w:jc w:val="center"/>
            </w:pPr>
            <w:r>
              <w:rPr>
                <w:rFonts w:ascii="宋体" w:hAnsi="宋体" w:hint="eastAsia"/>
                <w:color w:val="000000"/>
                <w:kern w:val="0"/>
                <w:szCs w:val="21"/>
              </w:rPr>
              <w:t>215,082,396.33</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215,082,396.33</w:t>
            </w:r>
          </w:p>
        </w:tc>
        <w:tc>
          <w:tcPr>
            <w:vAlign w:val="center"/>
          </w:tcPr>
          <w:p>
            <w:pPr>
              <w:jc w:val="center"/>
            </w:pPr>
            <w:r>
              <w:rPr>
                <w:rFonts w:ascii="宋体" w:hAnsi="宋体" w:hint="eastAsia"/>
                <w:color w:val="000000"/>
                <w:kern w:val="0"/>
                <w:szCs w:val="21"/>
              </w:rPr>
              <w:t>20.63%</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1、中国证监会准予交银施罗德稳利中短债债券型证券投资基金募集注册的文件；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2、《交银施罗德稳利中短债债券型证券投资基金基金合同》；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3、《交银施罗德稳利中短债债券型证券投资基金招募说明书》；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4、《交银施罗德稳利中短债债券型证券投资基金托管协议》；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5、关于申请募集注册交银施罗德稳利中短债债券型证券投资基金的法律意见书；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8、报告期内交银施罗德稳利中短债债券型证券投资基金在指定报刊上各项公告的原稿。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交银施罗德稳利中短债债券型证券投资基金2020年第4季度报告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