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2014年1月28日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6,232,779.38</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交银强化回报债券A/B</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交银强化回报债券C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519733</w:t>
            </w:r>
            <w:r w:rsidRPr="007F52FA">
              <w:rPr>
                <w:color w:themeColor="text1" w:val="000000"/>
                <w:sz w:val="24"/>
              </w:rPr>
              <w:t>（前端）、</w:t>
            </w:r>
            <w:r w:rsidRPr="007F52FA">
              <w:rPr>
                <w:color w:themeColor="text1" w:val="000000"/>
                <w:sz w:val="24"/>
              </w:rPr>
              <w:t>519734</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519735</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3,783,686.22</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2,449,093.16</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注：本基金A类基金份额采用前端收费模式，B类基金份额采用后端收费模式，前端交易代码即为A类基金份额交易代码，后端交易代码即为B类基金份额交易代码。</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(2020年10月1日-2020年12月31日)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交银强化回报债券A/B</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交银强化回报债券C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7,645.10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8,814.41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273,548.78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170,937.09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0.0635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0.0663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4,388,793.74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2,787,400.43</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1.1599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1.1381</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交银强化回报债券A/B</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6.78%</w:t>
            </w:r>
          </w:p>
        </w:tc>
        <w:tc>
          <w:tcPr>
            <w:vAlign w:val="center"/>
          </w:tcPr>
          <w:p>
            <w:pPr>
              <w:jc w:val="center"/>
            </w:pPr>
            <w:r>
              <w:rPr>
                <w:color w:val="000000"/>
                <w:sz w:val="24"/>
              </w:rPr>
              <w:t>0.75%</w:t>
            </w:r>
          </w:p>
        </w:tc>
        <w:tc>
          <w:tcPr>
            <w:vAlign w:val="center"/>
          </w:tcPr>
          <w:p>
            <w:pPr>
              <w:jc w:val="center"/>
            </w:pPr>
            <w:r>
              <w:rPr>
                <w:color w:val="000000"/>
                <w:sz w:val="24"/>
              </w:rPr>
              <w:t>0.64%</w:t>
            </w:r>
          </w:p>
        </w:tc>
        <w:tc>
          <w:tcPr>
            <w:vAlign w:val="center"/>
          </w:tcPr>
          <w:p>
            <w:pPr>
              <w:jc w:val="center"/>
            </w:pPr>
            <w:r>
              <w:rPr>
                <w:color w:val="000000"/>
                <w:sz w:val="24"/>
              </w:rPr>
              <w:t>0.04%</w:t>
            </w:r>
          </w:p>
        </w:tc>
        <w:tc>
          <w:tcPr>
            <w:vAlign w:val="center"/>
          </w:tcPr>
          <w:p>
            <w:pPr>
              <w:jc w:val="center"/>
            </w:pPr>
            <w:r>
              <w:rPr>
                <w:color w:val="000000"/>
                <w:sz w:val="24"/>
              </w:rPr>
              <w:t>6.14%</w:t>
            </w:r>
          </w:p>
        </w:tc>
        <w:tc>
          <w:tcPr>
            <w:vAlign w:val="center"/>
          </w:tcPr>
          <w:p>
            <w:pPr>
              <w:jc w:val="center"/>
            </w:pPr>
            <w:r>
              <w:rPr>
                <w:color w:val="000000"/>
                <w:sz w:val="24"/>
              </w:rPr>
              <w:t>0.71%</w:t>
            </w:r>
          </w:p>
        </w:tc>
      </w:tr>
      <w:tr>
        <w:tc>
          <w:tcPr>
            <w:vAlign w:val="center"/>
          </w:tcPr>
          <w:p>
            <w:pPr>
              <w:jc w:val="left"/>
            </w:pPr>
            <w:r>
              <w:rPr>
                <w:color w:val="000000"/>
                <w:sz w:val="24"/>
              </w:rPr>
              <w:t>过去六个月</w:t>
            </w:r>
          </w:p>
        </w:tc>
        <w:tc>
          <w:tcPr>
            <w:vAlign w:val="center"/>
          </w:tcPr>
          <w:p>
            <w:pPr>
              <w:jc w:val="center"/>
            </w:pPr>
            <w:r>
              <w:rPr>
                <w:color w:val="000000"/>
                <w:sz w:val="24"/>
              </w:rPr>
              <w:t>3.47%</w:t>
            </w:r>
          </w:p>
        </w:tc>
        <w:tc>
          <w:tcPr>
            <w:vAlign w:val="center"/>
          </w:tcPr>
          <w:p>
            <w:pPr>
              <w:jc w:val="center"/>
            </w:pPr>
            <w:r>
              <w:rPr>
                <w:color w:val="000000"/>
                <w:sz w:val="24"/>
              </w:rPr>
              <w:t>0.76%</w:t>
            </w:r>
          </w:p>
        </w:tc>
        <w:tc>
          <w:tcPr>
            <w:vAlign w:val="center"/>
          </w:tcPr>
          <w:p>
            <w:pPr>
              <w:jc w:val="center"/>
            </w:pPr>
            <w:r>
              <w:rPr>
                <w:color w:val="000000"/>
                <w:sz w:val="24"/>
              </w:rPr>
              <w:t>-0.85%</w:t>
            </w:r>
          </w:p>
        </w:tc>
        <w:tc>
          <w:tcPr>
            <w:vAlign w:val="center"/>
          </w:tcPr>
          <w:p>
            <w:pPr>
              <w:jc w:val="center"/>
            </w:pPr>
            <w:r>
              <w:rPr>
                <w:color w:val="000000"/>
                <w:sz w:val="24"/>
              </w:rPr>
              <w:t>0.07%</w:t>
            </w:r>
          </w:p>
        </w:tc>
        <w:tc>
          <w:tcPr>
            <w:vAlign w:val="center"/>
          </w:tcPr>
          <w:p>
            <w:pPr>
              <w:jc w:val="center"/>
            </w:pPr>
            <w:r>
              <w:rPr>
                <w:color w:val="000000"/>
                <w:sz w:val="24"/>
              </w:rPr>
              <w:t>4.32%</w:t>
            </w:r>
          </w:p>
        </w:tc>
        <w:tc>
          <w:tcPr>
            <w:vAlign w:val="center"/>
          </w:tcPr>
          <w:p>
            <w:pPr>
              <w:jc w:val="center"/>
            </w:pPr>
            <w:r>
              <w:rPr>
                <w:color w:val="000000"/>
                <w:sz w:val="24"/>
              </w:rPr>
              <w:t>0.69%</w:t>
            </w:r>
          </w:p>
        </w:tc>
      </w:tr>
      <w:tr>
        <w:tc>
          <w:tcPr>
            <w:vAlign w:val="center"/>
          </w:tcPr>
          <w:p>
            <w:pPr>
              <w:jc w:val="left"/>
            </w:pPr>
            <w:r>
              <w:rPr>
                <w:color w:val="000000"/>
                <w:sz w:val="24"/>
              </w:rPr>
              <w:t>过去一年</w:t>
            </w:r>
          </w:p>
        </w:tc>
        <w:tc>
          <w:tcPr>
            <w:vAlign w:val="center"/>
          </w:tcPr>
          <w:p>
            <w:pPr>
              <w:jc w:val="center"/>
            </w:pPr>
            <w:r>
              <w:rPr>
                <w:color w:val="000000"/>
                <w:sz w:val="24"/>
              </w:rPr>
              <w:t>6.41%</w:t>
            </w:r>
          </w:p>
        </w:tc>
        <w:tc>
          <w:tcPr>
            <w:vAlign w:val="center"/>
          </w:tcPr>
          <w:p>
            <w:pPr>
              <w:jc w:val="center"/>
            </w:pPr>
            <w:r>
              <w:rPr>
                <w:color w:val="000000"/>
                <w:sz w:val="24"/>
              </w:rPr>
              <w:t>0.57%</w:t>
            </w:r>
          </w:p>
        </w:tc>
        <w:tc>
          <w:tcPr>
            <w:vAlign w:val="center"/>
          </w:tcPr>
          <w:p>
            <w:pPr>
              <w:jc w:val="center"/>
            </w:pPr>
            <w:r>
              <w:rPr>
                <w:color w:val="000000"/>
                <w:sz w:val="24"/>
              </w:rPr>
              <w:t>-0.07%</w:t>
            </w:r>
          </w:p>
        </w:tc>
        <w:tc>
          <w:tcPr>
            <w:vAlign w:val="center"/>
          </w:tcPr>
          <w:p>
            <w:pPr>
              <w:jc w:val="center"/>
            </w:pPr>
            <w:r>
              <w:rPr>
                <w:color w:val="000000"/>
                <w:sz w:val="24"/>
              </w:rPr>
              <w:t>0.09%</w:t>
            </w:r>
          </w:p>
        </w:tc>
        <w:tc>
          <w:tcPr>
            <w:vAlign w:val="center"/>
          </w:tcPr>
          <w:p>
            <w:pPr>
              <w:jc w:val="center"/>
            </w:pPr>
            <w:r>
              <w:rPr>
                <w:color w:val="000000"/>
                <w:sz w:val="24"/>
              </w:rPr>
              <w:t>6.48%</w:t>
            </w:r>
          </w:p>
        </w:tc>
        <w:tc>
          <w:tcPr>
            <w:vAlign w:val="center"/>
          </w:tcPr>
          <w:p>
            <w:pPr>
              <w:jc w:val="center"/>
            </w:pPr>
            <w:r>
              <w:rPr>
                <w:color w:val="000000"/>
                <w:sz w:val="24"/>
              </w:rPr>
              <w:t>0.48%</w:t>
            </w:r>
          </w:p>
        </w:tc>
      </w:tr>
      <w:tr>
        <w:tc>
          <w:tcPr>
            <w:vAlign w:val="center"/>
          </w:tcPr>
          <w:p>
            <w:pPr>
              <w:jc w:val="left"/>
            </w:pPr>
            <w:r>
              <w:rPr>
                <w:color w:val="000000"/>
                <w:sz w:val="24"/>
              </w:rPr>
              <w:t>过去三年</w:t>
            </w:r>
          </w:p>
        </w:tc>
        <w:tc>
          <w:tcPr>
            <w:vAlign w:val="center"/>
          </w:tcPr>
          <w:p>
            <w:pPr>
              <w:jc w:val="center"/>
            </w:pPr>
            <w:r>
              <w:rPr>
                <w:color w:val="000000"/>
                <w:sz w:val="24"/>
              </w:rPr>
              <w:t>15.18%</w:t>
            </w:r>
          </w:p>
        </w:tc>
        <w:tc>
          <w:tcPr>
            <w:vAlign w:val="center"/>
          </w:tcPr>
          <w:p>
            <w:pPr>
              <w:jc w:val="center"/>
            </w:pPr>
            <w:r>
              <w:rPr>
                <w:color w:val="000000"/>
                <w:sz w:val="24"/>
              </w:rPr>
              <w:t>0.40%</w:t>
            </w:r>
          </w:p>
        </w:tc>
        <w:tc>
          <w:tcPr>
            <w:vAlign w:val="center"/>
          </w:tcPr>
          <w:p>
            <w:pPr>
              <w:jc w:val="center"/>
            </w:pPr>
            <w:r>
              <w:rPr>
                <w:color w:val="000000"/>
                <w:sz w:val="24"/>
              </w:rPr>
              <w:t>6.09%</w:t>
            </w:r>
          </w:p>
        </w:tc>
        <w:tc>
          <w:tcPr>
            <w:vAlign w:val="center"/>
          </w:tcPr>
          <w:p>
            <w:pPr>
              <w:jc w:val="center"/>
            </w:pPr>
            <w:r>
              <w:rPr>
                <w:color w:val="000000"/>
                <w:sz w:val="24"/>
              </w:rPr>
              <w:t>0.07%</w:t>
            </w:r>
          </w:p>
        </w:tc>
        <w:tc>
          <w:tcPr>
            <w:vAlign w:val="center"/>
          </w:tcPr>
          <w:p>
            <w:pPr>
              <w:jc w:val="center"/>
            </w:pPr>
            <w:r>
              <w:rPr>
                <w:color w:val="000000"/>
                <w:sz w:val="24"/>
              </w:rPr>
              <w:t>9.09%</w:t>
            </w:r>
          </w:p>
        </w:tc>
        <w:tc>
          <w:tcPr>
            <w:vAlign w:val="center"/>
          </w:tcPr>
          <w:p>
            <w:pPr>
              <w:jc w:val="center"/>
            </w:pPr>
            <w:r>
              <w:rPr>
                <w:color w:val="000000"/>
                <w:sz w:val="24"/>
              </w:rPr>
              <w:t>0.33%</w:t>
            </w:r>
          </w:p>
        </w:tc>
      </w:tr>
      <w:tr>
        <w:tc>
          <w:tcPr>
            <w:vAlign w:val="center"/>
          </w:tcPr>
          <w:p>
            <w:pPr>
              <w:jc w:val="left"/>
            </w:pPr>
            <w:r>
              <w:rPr>
                <w:color w:val="000000"/>
                <w:sz w:val="24"/>
              </w:rPr>
              <w:t>过去五年</w:t>
            </w:r>
          </w:p>
        </w:tc>
        <w:tc>
          <w:tcPr>
            <w:vAlign w:val="center"/>
          </w:tcPr>
          <w:p>
            <w:pPr>
              <w:jc w:val="center"/>
            </w:pPr>
            <w:r>
              <w:rPr>
                <w:color w:val="000000"/>
                <w:sz w:val="24"/>
              </w:rPr>
              <w:t>7.31%</w:t>
            </w:r>
          </w:p>
        </w:tc>
        <w:tc>
          <w:tcPr>
            <w:vAlign w:val="center"/>
          </w:tcPr>
          <w:p>
            <w:pPr>
              <w:jc w:val="center"/>
            </w:pPr>
            <w:r>
              <w:rPr>
                <w:color w:val="000000"/>
                <w:sz w:val="24"/>
              </w:rPr>
              <w:t>0.35%</w:t>
            </w:r>
          </w:p>
        </w:tc>
        <w:tc>
          <w:tcPr>
            <w:vAlign w:val="center"/>
          </w:tcPr>
          <w:p>
            <w:pPr>
              <w:jc w:val="center"/>
            </w:pPr>
            <w:r>
              <w:rPr>
                <w:color w:val="000000"/>
                <w:sz w:val="24"/>
              </w:rPr>
              <w:t>0.83%</w:t>
            </w:r>
          </w:p>
        </w:tc>
        <w:tc>
          <w:tcPr>
            <w:vAlign w:val="center"/>
          </w:tcPr>
          <w:p>
            <w:pPr>
              <w:jc w:val="center"/>
            </w:pPr>
            <w:r>
              <w:rPr>
                <w:color w:val="000000"/>
                <w:sz w:val="24"/>
              </w:rPr>
              <w:t>0.08%</w:t>
            </w:r>
          </w:p>
        </w:tc>
        <w:tc>
          <w:tcPr>
            <w:vAlign w:val="center"/>
          </w:tcPr>
          <w:p>
            <w:pPr>
              <w:jc w:val="center"/>
            </w:pPr>
            <w:r>
              <w:rPr>
                <w:color w:val="000000"/>
                <w:sz w:val="24"/>
              </w:rPr>
              <w:t>6.48%</w:t>
            </w:r>
          </w:p>
        </w:tc>
        <w:tc>
          <w:tcPr>
            <w:vAlign w:val="center"/>
          </w:tcPr>
          <w:p>
            <w:pPr>
              <w:jc w:val="center"/>
            </w:pPr>
            <w:r>
              <w:rPr>
                <w:color w:val="000000"/>
                <w:sz w:val="24"/>
              </w:rPr>
              <w:t>0.27%</w:t>
            </w:r>
          </w:p>
        </w:tc>
      </w:tr>
      <w:tr>
        <w:tc>
          <w:tcPr>
            <w:vAlign w:val="center"/>
          </w:tcPr>
          <w:p>
            <w:pPr>
              <w:jc w:val="left"/>
            </w:pPr>
            <w:r>
              <w:rPr>
                <w:color w:val="000000"/>
                <w:sz w:val="24"/>
              </w:rPr>
              <w:t>自基金合同生效至今</w:t>
            </w:r>
          </w:p>
        </w:tc>
        <w:tc>
          <w:tcPr>
            <w:vAlign w:val="center"/>
          </w:tcPr>
          <w:p>
            <w:pPr>
              <w:jc w:val="center"/>
            </w:pPr>
            <w:r>
              <w:rPr>
                <w:color w:val="000000"/>
                <w:sz w:val="24"/>
              </w:rPr>
              <w:t>39.98%</w:t>
            </w:r>
          </w:p>
        </w:tc>
        <w:tc>
          <w:tcPr>
            <w:vAlign w:val="center"/>
          </w:tcPr>
          <w:p>
            <w:pPr>
              <w:jc w:val="center"/>
            </w:pPr>
            <w:r>
              <w:rPr>
                <w:color w:val="000000"/>
                <w:sz w:val="24"/>
              </w:rPr>
              <w:t>0.34%</w:t>
            </w:r>
          </w:p>
        </w:tc>
        <w:tc>
          <w:tcPr>
            <w:vAlign w:val="center"/>
          </w:tcPr>
          <w:p>
            <w:pPr>
              <w:jc w:val="center"/>
            </w:pPr>
            <w:r>
              <w:rPr>
                <w:color w:val="000000"/>
                <w:sz w:val="24"/>
              </w:rPr>
              <w:t>11.05%</w:t>
            </w:r>
          </w:p>
        </w:tc>
        <w:tc>
          <w:tcPr>
            <w:vAlign w:val="center"/>
          </w:tcPr>
          <w:p>
            <w:pPr>
              <w:jc w:val="center"/>
            </w:pPr>
            <w:r>
              <w:rPr>
                <w:color w:val="000000"/>
                <w:sz w:val="24"/>
              </w:rPr>
              <w:t>0.08%</w:t>
            </w:r>
          </w:p>
        </w:tc>
        <w:tc>
          <w:tcPr>
            <w:vAlign w:val="center"/>
          </w:tcPr>
          <w:p>
            <w:pPr>
              <w:jc w:val="center"/>
            </w:pPr>
            <w:r>
              <w:rPr>
                <w:color w:val="000000"/>
                <w:sz w:val="24"/>
              </w:rPr>
              <w:t>28.93%</w:t>
            </w:r>
          </w:p>
        </w:tc>
        <w:tc>
          <w:tcPr>
            <w:vAlign w:val="center"/>
          </w:tcPr>
          <w:p>
            <w:pPr>
              <w:jc w:val="center"/>
            </w:pPr>
            <w:r>
              <w:rPr>
                <w:color w:val="000000"/>
                <w:sz w:val="24"/>
              </w:rPr>
              <w:t>0.26%</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交银强化回报债券C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6.66%</w:t>
            </w:r>
          </w:p>
        </w:tc>
        <w:tc>
          <w:tcPr>
            <w:vAlign w:val="center"/>
          </w:tcPr>
          <w:p>
            <w:pPr>
              <w:jc w:val="center"/>
            </w:pPr>
            <w:r>
              <w:rPr>
                <w:color w:val="000000"/>
                <w:sz w:val="24"/>
              </w:rPr>
              <w:t>0.75%</w:t>
            </w:r>
          </w:p>
        </w:tc>
        <w:tc>
          <w:tcPr>
            <w:vAlign w:val="center"/>
          </w:tcPr>
          <w:p>
            <w:pPr>
              <w:jc w:val="center"/>
            </w:pPr>
            <w:r>
              <w:rPr>
                <w:color w:val="000000"/>
                <w:sz w:val="24"/>
              </w:rPr>
              <w:t>0.64%</w:t>
            </w:r>
          </w:p>
        </w:tc>
        <w:tc>
          <w:tcPr>
            <w:vAlign w:val="center"/>
          </w:tcPr>
          <w:p>
            <w:pPr>
              <w:jc w:val="center"/>
            </w:pPr>
            <w:r>
              <w:rPr>
                <w:color w:val="000000"/>
                <w:sz w:val="24"/>
              </w:rPr>
              <w:t>0.04%</w:t>
            </w:r>
          </w:p>
        </w:tc>
        <w:tc>
          <w:tcPr>
            <w:vAlign w:val="center"/>
          </w:tcPr>
          <w:p>
            <w:pPr>
              <w:jc w:val="center"/>
            </w:pPr>
            <w:r>
              <w:rPr>
                <w:color w:val="000000"/>
                <w:sz w:val="24"/>
              </w:rPr>
              <w:t>6.02%</w:t>
            </w:r>
          </w:p>
        </w:tc>
        <w:tc>
          <w:tcPr>
            <w:vAlign w:val="center"/>
          </w:tcPr>
          <w:p>
            <w:pPr>
              <w:jc w:val="center"/>
            </w:pPr>
            <w:r>
              <w:rPr>
                <w:color w:val="000000"/>
                <w:sz w:val="24"/>
              </w:rPr>
              <w:t>0.71%</w:t>
            </w:r>
          </w:p>
        </w:tc>
      </w:tr>
      <w:tr>
        <w:tc>
          <w:tcPr>
            <w:vAlign w:val="center"/>
          </w:tcPr>
          <w:p>
            <w:pPr>
              <w:jc w:val="left"/>
            </w:pPr>
            <w:r>
              <w:rPr>
                <w:color w:val="000000"/>
                <w:sz w:val="24"/>
              </w:rPr>
              <w:t>过去六个月</w:t>
            </w:r>
          </w:p>
        </w:tc>
        <w:tc>
          <w:tcPr>
            <w:vAlign w:val="center"/>
          </w:tcPr>
          <w:p>
            <w:pPr>
              <w:jc w:val="center"/>
            </w:pPr>
            <w:r>
              <w:rPr>
                <w:color w:val="000000"/>
                <w:sz w:val="24"/>
              </w:rPr>
              <w:t>3.28%</w:t>
            </w:r>
          </w:p>
        </w:tc>
        <w:tc>
          <w:tcPr>
            <w:vAlign w:val="center"/>
          </w:tcPr>
          <w:p>
            <w:pPr>
              <w:jc w:val="center"/>
            </w:pPr>
            <w:r>
              <w:rPr>
                <w:color w:val="000000"/>
                <w:sz w:val="24"/>
              </w:rPr>
              <w:t>0.76%</w:t>
            </w:r>
          </w:p>
        </w:tc>
        <w:tc>
          <w:tcPr>
            <w:vAlign w:val="center"/>
          </w:tcPr>
          <w:p>
            <w:pPr>
              <w:jc w:val="center"/>
            </w:pPr>
            <w:r>
              <w:rPr>
                <w:color w:val="000000"/>
                <w:sz w:val="24"/>
              </w:rPr>
              <w:t>-0.85%</w:t>
            </w:r>
          </w:p>
        </w:tc>
        <w:tc>
          <w:tcPr>
            <w:vAlign w:val="center"/>
          </w:tcPr>
          <w:p>
            <w:pPr>
              <w:jc w:val="center"/>
            </w:pPr>
            <w:r>
              <w:rPr>
                <w:color w:val="000000"/>
                <w:sz w:val="24"/>
              </w:rPr>
              <w:t>0.07%</w:t>
            </w:r>
          </w:p>
        </w:tc>
        <w:tc>
          <w:tcPr>
            <w:vAlign w:val="center"/>
          </w:tcPr>
          <w:p>
            <w:pPr>
              <w:jc w:val="center"/>
            </w:pPr>
            <w:r>
              <w:rPr>
                <w:color w:val="000000"/>
                <w:sz w:val="24"/>
              </w:rPr>
              <w:t>4.13%</w:t>
            </w:r>
          </w:p>
        </w:tc>
        <w:tc>
          <w:tcPr>
            <w:vAlign w:val="center"/>
          </w:tcPr>
          <w:p>
            <w:pPr>
              <w:jc w:val="center"/>
            </w:pPr>
            <w:r>
              <w:rPr>
                <w:color w:val="000000"/>
                <w:sz w:val="24"/>
              </w:rPr>
              <w:t>0.69%</w:t>
            </w:r>
          </w:p>
        </w:tc>
      </w:tr>
      <w:tr>
        <w:tc>
          <w:tcPr>
            <w:vAlign w:val="center"/>
          </w:tcPr>
          <w:p>
            <w:pPr>
              <w:jc w:val="left"/>
            </w:pPr>
            <w:r>
              <w:rPr>
                <w:color w:val="000000"/>
                <w:sz w:val="24"/>
              </w:rPr>
              <w:t>过去一年</w:t>
            </w:r>
          </w:p>
        </w:tc>
        <w:tc>
          <w:tcPr>
            <w:vAlign w:val="center"/>
          </w:tcPr>
          <w:p>
            <w:pPr>
              <w:jc w:val="center"/>
            </w:pPr>
            <w:r>
              <w:rPr>
                <w:color w:val="000000"/>
                <w:sz w:val="24"/>
              </w:rPr>
              <w:t>5.97%</w:t>
            </w:r>
          </w:p>
        </w:tc>
        <w:tc>
          <w:tcPr>
            <w:vAlign w:val="center"/>
          </w:tcPr>
          <w:p>
            <w:pPr>
              <w:jc w:val="center"/>
            </w:pPr>
            <w:r>
              <w:rPr>
                <w:color w:val="000000"/>
                <w:sz w:val="24"/>
              </w:rPr>
              <w:t>0.57%</w:t>
            </w:r>
          </w:p>
        </w:tc>
        <w:tc>
          <w:tcPr>
            <w:vAlign w:val="center"/>
          </w:tcPr>
          <w:p>
            <w:pPr>
              <w:jc w:val="center"/>
            </w:pPr>
            <w:r>
              <w:rPr>
                <w:color w:val="000000"/>
                <w:sz w:val="24"/>
              </w:rPr>
              <w:t>-0.07%</w:t>
            </w:r>
          </w:p>
        </w:tc>
        <w:tc>
          <w:tcPr>
            <w:vAlign w:val="center"/>
          </w:tcPr>
          <w:p>
            <w:pPr>
              <w:jc w:val="center"/>
            </w:pPr>
            <w:r>
              <w:rPr>
                <w:color w:val="000000"/>
                <w:sz w:val="24"/>
              </w:rPr>
              <w:t>0.09%</w:t>
            </w:r>
          </w:p>
        </w:tc>
        <w:tc>
          <w:tcPr>
            <w:vAlign w:val="center"/>
          </w:tcPr>
          <w:p>
            <w:pPr>
              <w:jc w:val="center"/>
            </w:pPr>
            <w:r>
              <w:rPr>
                <w:color w:val="000000"/>
                <w:sz w:val="24"/>
              </w:rPr>
              <w:t>6.04%</w:t>
            </w:r>
          </w:p>
        </w:tc>
        <w:tc>
          <w:tcPr>
            <w:vAlign w:val="center"/>
          </w:tcPr>
          <w:p>
            <w:pPr>
              <w:jc w:val="center"/>
            </w:pPr>
            <w:r>
              <w:rPr>
                <w:color w:val="000000"/>
                <w:sz w:val="24"/>
              </w:rPr>
              <w:t>0.48%</w:t>
            </w:r>
          </w:p>
        </w:tc>
      </w:tr>
      <w:tr>
        <w:tc>
          <w:tcPr>
            <w:vAlign w:val="center"/>
          </w:tcPr>
          <w:p>
            <w:pPr>
              <w:jc w:val="left"/>
            </w:pPr>
            <w:r>
              <w:rPr>
                <w:color w:val="000000"/>
                <w:sz w:val="24"/>
              </w:rPr>
              <w:t>过去三年</w:t>
            </w:r>
          </w:p>
        </w:tc>
        <w:tc>
          <w:tcPr>
            <w:vAlign w:val="center"/>
          </w:tcPr>
          <w:p>
            <w:pPr>
              <w:jc w:val="center"/>
            </w:pPr>
            <w:r>
              <w:rPr>
                <w:color w:val="000000"/>
                <w:sz w:val="24"/>
              </w:rPr>
              <w:t>13.70%</w:t>
            </w:r>
          </w:p>
        </w:tc>
        <w:tc>
          <w:tcPr>
            <w:vAlign w:val="center"/>
          </w:tcPr>
          <w:p>
            <w:pPr>
              <w:jc w:val="center"/>
            </w:pPr>
            <w:r>
              <w:rPr>
                <w:color w:val="000000"/>
                <w:sz w:val="24"/>
              </w:rPr>
              <w:t>0.40%</w:t>
            </w:r>
          </w:p>
        </w:tc>
        <w:tc>
          <w:tcPr>
            <w:vAlign w:val="center"/>
          </w:tcPr>
          <w:p>
            <w:pPr>
              <w:jc w:val="center"/>
            </w:pPr>
            <w:r>
              <w:rPr>
                <w:color w:val="000000"/>
                <w:sz w:val="24"/>
              </w:rPr>
              <w:t>6.09%</w:t>
            </w:r>
          </w:p>
        </w:tc>
        <w:tc>
          <w:tcPr>
            <w:vAlign w:val="center"/>
          </w:tcPr>
          <w:p>
            <w:pPr>
              <w:jc w:val="center"/>
            </w:pPr>
            <w:r>
              <w:rPr>
                <w:color w:val="000000"/>
                <w:sz w:val="24"/>
              </w:rPr>
              <w:t>0.07%</w:t>
            </w:r>
          </w:p>
        </w:tc>
        <w:tc>
          <w:tcPr>
            <w:vAlign w:val="center"/>
          </w:tcPr>
          <w:p>
            <w:pPr>
              <w:jc w:val="center"/>
            </w:pPr>
            <w:r>
              <w:rPr>
                <w:color w:val="000000"/>
                <w:sz w:val="24"/>
              </w:rPr>
              <w:t>7.61%</w:t>
            </w:r>
          </w:p>
        </w:tc>
        <w:tc>
          <w:tcPr>
            <w:vAlign w:val="center"/>
          </w:tcPr>
          <w:p>
            <w:pPr>
              <w:jc w:val="center"/>
            </w:pPr>
            <w:r>
              <w:rPr>
                <w:color w:val="000000"/>
                <w:sz w:val="24"/>
              </w:rPr>
              <w:t>0.33%</w:t>
            </w:r>
          </w:p>
        </w:tc>
      </w:tr>
      <w:tr>
        <w:tc>
          <w:tcPr>
            <w:vAlign w:val="center"/>
          </w:tcPr>
          <w:p>
            <w:pPr>
              <w:jc w:val="left"/>
            </w:pPr>
            <w:r>
              <w:rPr>
                <w:color w:val="000000"/>
                <w:sz w:val="24"/>
              </w:rPr>
              <w:t>过去五年</w:t>
            </w:r>
          </w:p>
        </w:tc>
        <w:tc>
          <w:tcPr>
            <w:vAlign w:val="center"/>
          </w:tcPr>
          <w:p>
            <w:pPr>
              <w:jc w:val="center"/>
            </w:pPr>
            <w:r>
              <w:rPr>
                <w:color w:val="000000"/>
                <w:sz w:val="24"/>
              </w:rPr>
              <w:t>4.93%</w:t>
            </w:r>
          </w:p>
        </w:tc>
        <w:tc>
          <w:tcPr>
            <w:vAlign w:val="center"/>
          </w:tcPr>
          <w:p>
            <w:pPr>
              <w:jc w:val="center"/>
            </w:pPr>
            <w:r>
              <w:rPr>
                <w:color w:val="000000"/>
                <w:sz w:val="24"/>
              </w:rPr>
              <w:t>0.35%</w:t>
            </w:r>
          </w:p>
        </w:tc>
        <w:tc>
          <w:tcPr>
            <w:vAlign w:val="center"/>
          </w:tcPr>
          <w:p>
            <w:pPr>
              <w:jc w:val="center"/>
            </w:pPr>
            <w:r>
              <w:rPr>
                <w:color w:val="000000"/>
                <w:sz w:val="24"/>
              </w:rPr>
              <w:t>0.83%</w:t>
            </w:r>
          </w:p>
        </w:tc>
        <w:tc>
          <w:tcPr>
            <w:vAlign w:val="center"/>
          </w:tcPr>
          <w:p>
            <w:pPr>
              <w:jc w:val="center"/>
            </w:pPr>
            <w:r>
              <w:rPr>
                <w:color w:val="000000"/>
                <w:sz w:val="24"/>
              </w:rPr>
              <w:t>0.08%</w:t>
            </w:r>
          </w:p>
        </w:tc>
        <w:tc>
          <w:tcPr>
            <w:vAlign w:val="center"/>
          </w:tcPr>
          <w:p>
            <w:pPr>
              <w:jc w:val="center"/>
            </w:pPr>
            <w:r>
              <w:rPr>
                <w:color w:val="000000"/>
                <w:sz w:val="24"/>
              </w:rPr>
              <w:t>4.10%</w:t>
            </w:r>
          </w:p>
        </w:tc>
        <w:tc>
          <w:tcPr>
            <w:vAlign w:val="center"/>
          </w:tcPr>
          <w:p>
            <w:pPr>
              <w:jc w:val="center"/>
            </w:pPr>
            <w:r>
              <w:rPr>
                <w:color w:val="000000"/>
                <w:sz w:val="24"/>
              </w:rPr>
              <w:t>0.27%</w:t>
            </w:r>
          </w:p>
        </w:tc>
      </w:tr>
      <w:tr>
        <w:tc>
          <w:tcPr>
            <w:vAlign w:val="center"/>
          </w:tcPr>
          <w:p>
            <w:pPr>
              <w:jc w:val="left"/>
            </w:pPr>
            <w:r>
              <w:rPr>
                <w:color w:val="000000"/>
                <w:sz w:val="24"/>
              </w:rPr>
              <w:t>自基金合同生效至今</w:t>
            </w:r>
          </w:p>
        </w:tc>
        <w:tc>
          <w:tcPr>
            <w:vAlign w:val="center"/>
          </w:tcPr>
          <w:p>
            <w:pPr>
              <w:jc w:val="center"/>
            </w:pPr>
            <w:r>
              <w:rPr>
                <w:color w:val="000000"/>
                <w:sz w:val="24"/>
              </w:rPr>
              <w:t>36.12%</w:t>
            </w:r>
          </w:p>
        </w:tc>
        <w:tc>
          <w:tcPr>
            <w:vAlign w:val="center"/>
          </w:tcPr>
          <w:p>
            <w:pPr>
              <w:jc w:val="center"/>
            </w:pPr>
            <w:r>
              <w:rPr>
                <w:color w:val="000000"/>
                <w:sz w:val="24"/>
              </w:rPr>
              <w:t>0.34%</w:t>
            </w:r>
          </w:p>
        </w:tc>
        <w:tc>
          <w:tcPr>
            <w:vAlign w:val="center"/>
          </w:tcPr>
          <w:p>
            <w:pPr>
              <w:jc w:val="center"/>
            </w:pPr>
            <w:r>
              <w:rPr>
                <w:color w:val="000000"/>
                <w:sz w:val="24"/>
              </w:rPr>
              <w:t>11.05%</w:t>
            </w:r>
          </w:p>
        </w:tc>
        <w:tc>
          <w:tcPr>
            <w:vAlign w:val="center"/>
          </w:tcPr>
          <w:p>
            <w:pPr>
              <w:jc w:val="center"/>
            </w:pPr>
            <w:r>
              <w:rPr>
                <w:color w:val="000000"/>
                <w:sz w:val="24"/>
              </w:rPr>
              <w:t>0.08%</w:t>
            </w:r>
          </w:p>
        </w:tc>
        <w:tc>
          <w:tcPr>
            <w:vAlign w:val="center"/>
          </w:tcPr>
          <w:p>
            <w:pPr>
              <w:jc w:val="center"/>
            </w:pPr>
            <w:r>
              <w:rPr>
                <w:color w:val="000000"/>
                <w:sz w:val="24"/>
              </w:rPr>
              <w:t>25.07%</w:t>
            </w:r>
          </w:p>
        </w:tc>
        <w:tc>
          <w:tcPr>
            <w:vAlign w:val="center"/>
          </w:tcPr>
          <w:p>
            <w:pPr>
              <w:jc w:val="center"/>
            </w:pPr>
            <w:r>
              <w:rPr>
                <w:color w:val="000000"/>
                <w:sz w:val="24"/>
              </w:rPr>
              <w:t>0.26%</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交银施罗德强化回报债券型证券投资基金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2014年1月28日</w:t>
      </w:r>
      <w:r w:rsidR="009A045B" w:rsidRPr="007F52FA">
        <w:rPr>
          <w:rFonts w:ascii="Times New Roman" w:hAnsi="Times New Roman"/>
          <w:sz w:val="24"/>
          <w:szCs w:val="24"/>
        </w:rPr>
        <w:t>至</w:t>
      </w:r>
      <w:r w:rsidRPr="007F52FA">
        <w:rPr>
          <w:rFonts w:ascii="Times New Roman" w:hAnsi="Times New Roman"/>
          <w:sz w:val="24"/>
          <w:szCs w:val="24"/>
        </w:rPr>
        <w:t>2020年12月31日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交银强化回报债券A/B</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交银强化回报债券C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唐赟</w:t>
            </w:r>
          </w:p>
        </w:tc>
        <w:tc>
          <w:tcPr>
            <w:vAlign w:val="center"/>
          </w:tcPr>
          <w:p>
            <w:pPr>
              <w:jc w:val="center"/>
            </w:pPr>
            <w:r>
              <w:rPr>
                <w:color w:val="000000"/>
                <w:sz w:val="24"/>
              </w:rPr>
              <w:t>交银信用添利债券(LOF)、交银双利债券、交银双轮动债券、交银定期支付月月丰债券、交银增强收益债券、交银强化回报债券、交银荣鑫灵活配置混合、交银稳固收益债券的基金经理</w:t>
            </w:r>
          </w:p>
        </w:tc>
        <w:tc>
          <w:tcPr>
            <w:vAlign w:val="center"/>
          </w:tcPr>
          <w:p>
            <w:pPr>
              <w:jc w:val="center"/>
            </w:pPr>
            <w:r>
              <w:rPr>
                <w:color w:val="000000"/>
                <w:sz w:val="24"/>
              </w:rPr>
              <w:t>2020-07-14</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2017年3月31日至2019年10月23日担任交银施罗德裕通纯债债券型证券投资基金的基金经理。2018年6月2日至2019年12月13日担任交银施罗德安心收益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2020年四季度债券市场总体呈现出收益率先上后下的震荡行情。进入十月后，央行重提总闸门引发货币政策进一步收紧的预期，收益率小幅震荡上行。十一月上旬，部分信用债超预期违约事件爆发，引起市场对于弱资质国企信用风险的一致担忧，信用债和利率债均经历了一波大幅下跌。当月下旬开始到年底，随着金稳委出面强调坚决打击逃废债行为，央行配合超预期投放流动性，加上经济工作会议表态不会出现政策“急转弯”，债券市场在配置和交易力量的共同带动下，收益率转而下行，市场情绪明显缓和。权益类资产方面，市场在报告期内大部分时间处于窄幅震荡行情，新能源车、光伏等部分行业有结构性行情。</w:t>
      </w:r>
    </w:p>
    <w:p>
      <w:pPr>
        <w:spacing w:before="29" w:line="288" w:lineRule="auto"/>
        <w:ind w:firstLine="480" w:firstLineChars="200"/>
        <w:rPr>
          <w:color w:val="000000"/>
          <w:sz w:val="24"/>
        </w:rPr>
      </w:pPr>
      <w:r>
        <w:rPr>
          <w:color w:val="000000"/>
          <w:sz w:val="24"/>
        </w:rPr>
        <w:t>报告期内，组合的债券资产维持短久期低仓位配置。权益资产则维持在中性仓位附近，行业配置上以消费、新能源板块等行业为主。</w:t>
      </w:r>
    </w:p>
    <w:p>
      <w:pPr>
        <w:spacing w:before="29" w:line="288" w:lineRule="auto"/>
        <w:ind w:firstLine="480" w:firstLineChars="200"/>
        <w:rPr>
          <w:color w:val="000000"/>
          <w:sz w:val="24"/>
        </w:rPr>
      </w:pPr>
      <w:r>
        <w:rPr>
          <w:color w:val="000000"/>
          <w:sz w:val="24"/>
        </w:rPr>
        <w:t>展望2021年一季度，经济增长动能将从疫情后以基建、地产等逆周期因素拉动，继续逐步切换到以消费、制造业为支柱的顺周期方向，同时出口受到疫苗接种和海外复苏影响，韧性相对较强，预计2021年的经济运行将回归正常轨道。节奏上，环比增长预计先稳后弱，下半年增长压力或将大于上半年。宏观政策方面，在稳定宏观杠杆率和政策不急转弯的大环境下，2021年或呈现信用环境边际收紧、货币条件先紧后松、通胀趋势先上后稳的格局。对于债券市场，我们认为明年整体机会大于风险。节奏上，预计在二季度前后，经济环比增长动力将边际趋弱，届时债券市场的趋势性配置价值或将显现。同时，2021年信用环境边际收缩、叠加信用债到期压力较大，预计低等级信用债券的信用利差存在持续走扩压力。</w:t>
      </w:r>
    </w:p>
    <w:p w:rsidP="007C14DF" w:rsidR="00952A72" w:rsidRDefault="00323F25" w:rsidRPr="007F52FA">
      <w:pPr>
        <w:spacing w:before="29" w:line="288" w:lineRule="auto"/>
        <w:ind w:firstLine="480" w:firstLineChars="200"/>
        <w:rPr>
          <w:color w:val="000000"/>
          <w:sz w:val="24"/>
        </w:rPr>
      </w:pPr>
      <w:r w:rsidRPr="007F52FA">
        <w:rPr>
          <w:color w:val="000000"/>
          <w:sz w:val="24"/>
        </w:rPr>
        <w:t>组合策略方面，我们将保持债券资产相对偏低的杠杆和久期，适当关注长端利率的波段交易机会。权益资产方面，我们将寻找未来一段时间景气度较高的行业及行业地位明确、增长确定性较高的公司，在控制组合回撤的前提下，积极把握权益类资产可能带来的增厚组合收益的机会。</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本基金本报告期内连续六十个工作日出现基金资产净值低于5000万元的情形，截至本报告期末，本基金基金资产净值仍低于5000万元。</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1,316,352.00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15.87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1,316,352.00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15.87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5,897,446.80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71.10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5,897,446.80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71.10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793,231.11</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9.56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287,527.61</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3.47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8,294,557.52</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1,316,352.00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18.34</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1,316,352.00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18.34</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100</w:t>
            </w:r>
          </w:p>
        </w:tc>
        <w:tc>
          <w:tcPr>
            <w:vAlign w:val="center"/>
          </w:tcPr>
          <w:p>
            <w:pPr>
              <w:jc w:val="right"/>
            </w:pPr>
            <w:r>
              <w:rPr>
                <w:color w:val="000000"/>
                <w:sz w:val="24"/>
              </w:rPr>
              <w:t>199,800.00</w:t>
            </w:r>
          </w:p>
        </w:tc>
        <w:tc>
          <w:tcPr>
            <w:vAlign w:val="center"/>
          </w:tcPr>
          <w:p>
            <w:pPr>
              <w:jc w:val="right"/>
            </w:pPr>
            <w:r>
              <w:rPr>
                <w:color w:val="000000"/>
                <w:sz w:val="24"/>
              </w:rPr>
              <w:t>2.78</w:t>
            </w:r>
          </w:p>
        </w:tc>
      </w:tr>
      <w:tr>
        <w:tc>
          <w:tcPr>
            <w:vAlign w:val="center"/>
          </w:tcPr>
          <w:p>
            <w:pPr>
              <w:jc w:val="center"/>
            </w:pPr>
            <w:r>
              <w:rPr>
                <w:color w:val="000000"/>
                <w:sz w:val="24"/>
              </w:rPr>
              <w:t>2</w:t>
            </w:r>
          </w:p>
        </w:tc>
        <w:tc>
          <w:tcPr>
            <w:vAlign w:val="center"/>
          </w:tcPr>
          <w:p>
            <w:pPr>
              <w:jc w:val="center"/>
            </w:pPr>
            <w:r>
              <w:rPr>
                <w:color w:val="000000"/>
                <w:sz w:val="24"/>
              </w:rPr>
              <w:t>002304</w:t>
            </w:r>
          </w:p>
        </w:tc>
        <w:tc>
          <w:tcPr>
            <w:vAlign w:val="center"/>
          </w:tcPr>
          <w:p>
            <w:pPr>
              <w:jc w:val="center"/>
            </w:pPr>
            <w:r>
              <w:rPr>
                <w:color w:val="000000"/>
                <w:sz w:val="24"/>
              </w:rPr>
              <w:t>洋河股份</w:t>
            </w:r>
          </w:p>
        </w:tc>
        <w:tc>
          <w:tcPr>
            <w:vAlign w:val="center"/>
          </w:tcPr>
          <w:p>
            <w:pPr>
              <w:jc w:val="right"/>
            </w:pPr>
            <w:r>
              <w:rPr>
                <w:color w:val="000000"/>
                <w:sz w:val="24"/>
              </w:rPr>
              <w:t>800</w:t>
            </w:r>
          </w:p>
        </w:tc>
        <w:tc>
          <w:tcPr>
            <w:vAlign w:val="center"/>
          </w:tcPr>
          <w:p>
            <w:pPr>
              <w:jc w:val="right"/>
            </w:pPr>
            <w:r>
              <w:rPr>
                <w:color w:val="000000"/>
                <w:sz w:val="24"/>
              </w:rPr>
              <w:t>188,792.00</w:t>
            </w:r>
          </w:p>
        </w:tc>
        <w:tc>
          <w:tcPr>
            <w:vAlign w:val="center"/>
          </w:tcPr>
          <w:p>
            <w:pPr>
              <w:jc w:val="right"/>
            </w:pPr>
            <w:r>
              <w:rPr>
                <w:color w:val="000000"/>
                <w:sz w:val="24"/>
              </w:rPr>
              <w:t>2.63</w:t>
            </w:r>
          </w:p>
        </w:tc>
      </w:tr>
      <w:tr>
        <w:tc>
          <w:tcPr>
            <w:vAlign w:val="center"/>
          </w:tcPr>
          <w:p>
            <w:pPr>
              <w:jc w:val="center"/>
            </w:pPr>
            <w:r>
              <w:rPr>
                <w:color w:val="000000"/>
                <w:sz w:val="24"/>
              </w:rPr>
              <w:t>3</w:t>
            </w:r>
          </w:p>
        </w:tc>
        <w:tc>
          <w:tcPr>
            <w:vAlign w:val="center"/>
          </w:tcPr>
          <w:p>
            <w:pPr>
              <w:jc w:val="center"/>
            </w:pPr>
            <w:r>
              <w:rPr>
                <w:color w:val="000000"/>
                <w:sz w:val="24"/>
              </w:rPr>
              <w:t>300124</w:t>
            </w:r>
          </w:p>
        </w:tc>
        <w:tc>
          <w:tcPr>
            <w:vAlign w:val="center"/>
          </w:tcPr>
          <w:p>
            <w:pPr>
              <w:jc w:val="center"/>
            </w:pPr>
            <w:r>
              <w:rPr>
                <w:color w:val="000000"/>
                <w:sz w:val="24"/>
              </w:rPr>
              <w:t>汇川技术</w:t>
            </w:r>
          </w:p>
        </w:tc>
        <w:tc>
          <w:tcPr>
            <w:vAlign w:val="center"/>
          </w:tcPr>
          <w:p>
            <w:pPr>
              <w:jc w:val="right"/>
            </w:pPr>
            <w:r>
              <w:rPr>
                <w:color w:val="000000"/>
                <w:sz w:val="24"/>
              </w:rPr>
              <w:t>1,800</w:t>
            </w:r>
          </w:p>
        </w:tc>
        <w:tc>
          <w:tcPr>
            <w:vAlign w:val="center"/>
          </w:tcPr>
          <w:p>
            <w:pPr>
              <w:jc w:val="right"/>
            </w:pPr>
            <w:r>
              <w:rPr>
                <w:color w:val="000000"/>
                <w:sz w:val="24"/>
              </w:rPr>
              <w:t>167,940.00</w:t>
            </w:r>
          </w:p>
        </w:tc>
        <w:tc>
          <w:tcPr>
            <w:vAlign w:val="center"/>
          </w:tcPr>
          <w:p>
            <w:pPr>
              <w:jc w:val="right"/>
            </w:pPr>
            <w:r>
              <w:rPr>
                <w:color w:val="000000"/>
                <w:sz w:val="24"/>
              </w:rPr>
              <w:t>2.34</w:t>
            </w:r>
          </w:p>
        </w:tc>
      </w:tr>
      <w:tr>
        <w:tc>
          <w:tcPr>
            <w:vAlign w:val="center"/>
          </w:tcPr>
          <w:p>
            <w:pPr>
              <w:jc w:val="center"/>
            </w:pPr>
            <w:r>
              <w:rPr>
                <w:color w:val="000000"/>
                <w:sz w:val="24"/>
              </w:rPr>
              <w:t>4</w:t>
            </w:r>
          </w:p>
        </w:tc>
        <w:tc>
          <w:tcPr>
            <w:vAlign w:val="center"/>
          </w:tcPr>
          <w:p>
            <w:pPr>
              <w:jc w:val="center"/>
            </w:pPr>
            <w:r>
              <w:rPr>
                <w:color w:val="000000"/>
                <w:sz w:val="24"/>
              </w:rPr>
              <w:t>002594</w:t>
            </w:r>
          </w:p>
        </w:tc>
        <w:tc>
          <w:tcPr>
            <w:vAlign w:val="center"/>
          </w:tcPr>
          <w:p>
            <w:pPr>
              <w:jc w:val="center"/>
            </w:pPr>
            <w:r>
              <w:rPr>
                <w:color w:val="000000"/>
                <w:sz w:val="24"/>
              </w:rPr>
              <w:t>比亚迪</w:t>
            </w:r>
          </w:p>
        </w:tc>
        <w:tc>
          <w:tcPr>
            <w:vAlign w:val="center"/>
          </w:tcPr>
          <w:p>
            <w:pPr>
              <w:jc w:val="right"/>
            </w:pPr>
            <w:r>
              <w:rPr>
                <w:color w:val="000000"/>
                <w:sz w:val="24"/>
              </w:rPr>
              <w:t>800</w:t>
            </w:r>
          </w:p>
        </w:tc>
        <w:tc>
          <w:tcPr>
            <w:vAlign w:val="center"/>
          </w:tcPr>
          <w:p>
            <w:pPr>
              <w:jc w:val="right"/>
            </w:pPr>
            <w:r>
              <w:rPr>
                <w:color w:val="000000"/>
                <w:sz w:val="24"/>
              </w:rPr>
              <w:t>155,440.00</w:t>
            </w:r>
          </w:p>
        </w:tc>
        <w:tc>
          <w:tcPr>
            <w:vAlign w:val="center"/>
          </w:tcPr>
          <w:p>
            <w:pPr>
              <w:jc w:val="right"/>
            </w:pPr>
            <w:r>
              <w:rPr>
                <w:color w:val="000000"/>
                <w:sz w:val="24"/>
              </w:rPr>
              <w:t>2.17</w:t>
            </w:r>
          </w:p>
        </w:tc>
      </w:tr>
      <w:tr>
        <w:tc>
          <w:tcPr>
            <w:vAlign w:val="center"/>
          </w:tcPr>
          <w:p>
            <w:pPr>
              <w:jc w:val="center"/>
            </w:pPr>
            <w:r>
              <w:rPr>
                <w:color w:val="000000"/>
                <w:sz w:val="24"/>
              </w:rPr>
              <w:t>5</w:t>
            </w:r>
          </w:p>
        </w:tc>
        <w:tc>
          <w:tcPr>
            <w:vAlign w:val="center"/>
          </w:tcPr>
          <w:p>
            <w:pPr>
              <w:jc w:val="center"/>
            </w:pPr>
            <w:r>
              <w:rPr>
                <w:color w:val="000000"/>
                <w:sz w:val="24"/>
              </w:rPr>
              <w:t>002709</w:t>
            </w:r>
          </w:p>
        </w:tc>
        <w:tc>
          <w:tcPr>
            <w:vAlign w:val="center"/>
          </w:tcPr>
          <w:p>
            <w:pPr>
              <w:jc w:val="center"/>
            </w:pPr>
            <w:r>
              <w:rPr>
                <w:color w:val="000000"/>
                <w:sz w:val="24"/>
              </w:rPr>
              <w:t>天赐材料</w:t>
            </w:r>
          </w:p>
        </w:tc>
        <w:tc>
          <w:tcPr>
            <w:vAlign w:val="center"/>
          </w:tcPr>
          <w:p>
            <w:pPr>
              <w:jc w:val="right"/>
            </w:pPr>
            <w:r>
              <w:rPr>
                <w:color w:val="000000"/>
                <w:sz w:val="24"/>
              </w:rPr>
              <w:t>1,200</w:t>
            </w:r>
          </w:p>
        </w:tc>
        <w:tc>
          <w:tcPr>
            <w:vAlign w:val="center"/>
          </w:tcPr>
          <w:p>
            <w:pPr>
              <w:jc w:val="right"/>
            </w:pPr>
            <w:r>
              <w:rPr>
                <w:color w:val="000000"/>
                <w:sz w:val="24"/>
              </w:rPr>
              <w:t>124,560.00</w:t>
            </w:r>
          </w:p>
        </w:tc>
        <w:tc>
          <w:tcPr>
            <w:vAlign w:val="center"/>
          </w:tcPr>
          <w:p>
            <w:pPr>
              <w:jc w:val="right"/>
            </w:pPr>
            <w:r>
              <w:rPr>
                <w:color w:val="000000"/>
                <w:sz w:val="24"/>
              </w:rPr>
              <w:t>1.74</w:t>
            </w:r>
          </w:p>
        </w:tc>
      </w:tr>
      <w:tr>
        <w:tc>
          <w:tcPr>
            <w:vAlign w:val="center"/>
          </w:tcPr>
          <w:p>
            <w:pPr>
              <w:jc w:val="center"/>
            </w:pPr>
            <w:r>
              <w:rPr>
                <w:color w:val="000000"/>
                <w:sz w:val="24"/>
              </w:rPr>
              <w:t>6</w:t>
            </w:r>
          </w:p>
        </w:tc>
        <w:tc>
          <w:tcPr>
            <w:vAlign w:val="center"/>
          </w:tcPr>
          <w:p>
            <w:pPr>
              <w:jc w:val="center"/>
            </w:pPr>
            <w:r>
              <w:rPr>
                <w:color w:val="000000"/>
                <w:sz w:val="24"/>
              </w:rPr>
              <w:t>603317</w:t>
            </w:r>
          </w:p>
        </w:tc>
        <w:tc>
          <w:tcPr>
            <w:vAlign w:val="center"/>
          </w:tcPr>
          <w:p>
            <w:pPr>
              <w:jc w:val="center"/>
            </w:pPr>
            <w:r>
              <w:rPr>
                <w:color w:val="000000"/>
                <w:sz w:val="24"/>
              </w:rPr>
              <w:t>天味食品</w:t>
            </w:r>
          </w:p>
        </w:tc>
        <w:tc>
          <w:tcPr>
            <w:vAlign w:val="center"/>
          </w:tcPr>
          <w:p>
            <w:pPr>
              <w:jc w:val="right"/>
            </w:pPr>
            <w:r>
              <w:rPr>
                <w:color w:val="000000"/>
                <w:sz w:val="24"/>
              </w:rPr>
              <w:t>1,400</w:t>
            </w:r>
          </w:p>
        </w:tc>
        <w:tc>
          <w:tcPr>
            <w:vAlign w:val="center"/>
          </w:tcPr>
          <w:p>
            <w:pPr>
              <w:jc w:val="right"/>
            </w:pPr>
            <w:r>
              <w:rPr>
                <w:color w:val="000000"/>
                <w:sz w:val="24"/>
              </w:rPr>
              <w:t>115,136.00</w:t>
            </w:r>
          </w:p>
        </w:tc>
        <w:tc>
          <w:tcPr>
            <w:vAlign w:val="center"/>
          </w:tcPr>
          <w:p>
            <w:pPr>
              <w:jc w:val="right"/>
            </w:pPr>
            <w:r>
              <w:rPr>
                <w:color w:val="000000"/>
                <w:sz w:val="24"/>
              </w:rPr>
              <w:t>1.60</w:t>
            </w:r>
          </w:p>
        </w:tc>
      </w:tr>
      <w:tr>
        <w:tc>
          <w:tcPr>
            <w:vAlign w:val="center"/>
          </w:tcPr>
          <w:p>
            <w:pPr>
              <w:jc w:val="center"/>
            </w:pPr>
            <w:r>
              <w:rPr>
                <w:color w:val="000000"/>
                <w:sz w:val="24"/>
              </w:rPr>
              <w:t>7</w:t>
            </w:r>
          </w:p>
        </w:tc>
        <w:tc>
          <w:tcPr>
            <w:vAlign w:val="center"/>
          </w:tcPr>
          <w:p>
            <w:pPr>
              <w:jc w:val="center"/>
            </w:pPr>
            <w:r>
              <w:rPr>
                <w:color w:val="000000"/>
                <w:sz w:val="24"/>
              </w:rPr>
              <w:t>603288</w:t>
            </w:r>
          </w:p>
        </w:tc>
        <w:tc>
          <w:tcPr>
            <w:vAlign w:val="center"/>
          </w:tcPr>
          <w:p>
            <w:pPr>
              <w:jc w:val="center"/>
            </w:pPr>
            <w:r>
              <w:rPr>
                <w:color w:val="000000"/>
                <w:sz w:val="24"/>
              </w:rPr>
              <w:t>海天味业</w:t>
            </w:r>
          </w:p>
        </w:tc>
        <w:tc>
          <w:tcPr>
            <w:vAlign w:val="center"/>
          </w:tcPr>
          <w:p>
            <w:pPr>
              <w:jc w:val="right"/>
            </w:pPr>
            <w:r>
              <w:rPr>
                <w:color w:val="000000"/>
                <w:sz w:val="24"/>
              </w:rPr>
              <w:t>500</w:t>
            </w:r>
          </w:p>
        </w:tc>
        <w:tc>
          <w:tcPr>
            <w:vAlign w:val="center"/>
          </w:tcPr>
          <w:p>
            <w:pPr>
              <w:jc w:val="right"/>
            </w:pPr>
            <w:r>
              <w:rPr>
                <w:color w:val="000000"/>
                <w:sz w:val="24"/>
              </w:rPr>
              <w:t>100,270.00</w:t>
            </w:r>
          </w:p>
        </w:tc>
        <w:tc>
          <w:tcPr>
            <w:vAlign w:val="center"/>
          </w:tcPr>
          <w:p>
            <w:pPr>
              <w:jc w:val="right"/>
            </w:pPr>
            <w:r>
              <w:rPr>
                <w:color w:val="000000"/>
                <w:sz w:val="24"/>
              </w:rPr>
              <w:t>1.40</w:t>
            </w:r>
          </w:p>
        </w:tc>
      </w:tr>
      <w:tr>
        <w:tc>
          <w:tcPr>
            <w:vAlign w:val="center"/>
          </w:tcPr>
          <w:p>
            <w:pPr>
              <w:jc w:val="center"/>
            </w:pPr>
            <w:r>
              <w:rPr>
                <w:color w:val="000000"/>
                <w:sz w:val="24"/>
              </w:rPr>
              <w:t>8</w:t>
            </w:r>
          </w:p>
        </w:tc>
        <w:tc>
          <w:tcPr>
            <w:vAlign w:val="center"/>
          </w:tcPr>
          <w:p>
            <w:pPr>
              <w:jc w:val="center"/>
            </w:pPr>
            <w:r>
              <w:rPr>
                <w:color w:val="000000"/>
                <w:sz w:val="24"/>
              </w:rPr>
              <w:t>002179</w:t>
            </w:r>
          </w:p>
        </w:tc>
        <w:tc>
          <w:tcPr>
            <w:vAlign w:val="center"/>
          </w:tcPr>
          <w:p>
            <w:pPr>
              <w:jc w:val="center"/>
            </w:pPr>
            <w:r>
              <w:rPr>
                <w:color w:val="000000"/>
                <w:sz w:val="24"/>
              </w:rPr>
              <w:t>中航光电</w:t>
            </w:r>
          </w:p>
        </w:tc>
        <w:tc>
          <w:tcPr>
            <w:vAlign w:val="center"/>
          </w:tcPr>
          <w:p>
            <w:pPr>
              <w:jc w:val="right"/>
            </w:pPr>
            <w:r>
              <w:rPr>
                <w:color w:val="000000"/>
                <w:sz w:val="24"/>
              </w:rPr>
              <w:t>800</w:t>
            </w:r>
          </w:p>
        </w:tc>
        <w:tc>
          <w:tcPr>
            <w:vAlign w:val="center"/>
          </w:tcPr>
          <w:p>
            <w:pPr>
              <w:jc w:val="right"/>
            </w:pPr>
            <w:r>
              <w:rPr>
                <w:color w:val="000000"/>
                <w:sz w:val="24"/>
              </w:rPr>
              <w:t>62,632.00</w:t>
            </w:r>
          </w:p>
        </w:tc>
        <w:tc>
          <w:tcPr>
            <w:vAlign w:val="center"/>
          </w:tcPr>
          <w:p>
            <w:pPr>
              <w:jc w:val="right"/>
            </w:pPr>
            <w:r>
              <w:rPr>
                <w:color w:val="000000"/>
                <w:sz w:val="24"/>
              </w:rPr>
              <w:t>0.87</w:t>
            </w:r>
          </w:p>
        </w:tc>
      </w:tr>
      <w:tr>
        <w:tc>
          <w:tcPr>
            <w:vAlign w:val="center"/>
          </w:tcPr>
          <w:p>
            <w:pPr>
              <w:jc w:val="center"/>
            </w:pPr>
            <w:r>
              <w:rPr>
                <w:color w:val="000000"/>
                <w:sz w:val="24"/>
              </w:rPr>
              <w:t>9</w:t>
            </w:r>
          </w:p>
        </w:tc>
        <w:tc>
          <w:tcPr>
            <w:vAlign w:val="center"/>
          </w:tcPr>
          <w:p>
            <w:pPr>
              <w:jc w:val="center"/>
            </w:pPr>
            <w:r>
              <w:rPr>
                <w:color w:val="000000"/>
                <w:sz w:val="24"/>
              </w:rPr>
              <w:t>688002</w:t>
            </w:r>
          </w:p>
        </w:tc>
        <w:tc>
          <w:tcPr>
            <w:vAlign w:val="center"/>
          </w:tcPr>
          <w:p>
            <w:pPr>
              <w:jc w:val="center"/>
            </w:pPr>
            <w:r>
              <w:rPr>
                <w:color w:val="000000"/>
                <w:sz w:val="24"/>
              </w:rPr>
              <w:t>睿创微纳</w:t>
            </w:r>
          </w:p>
        </w:tc>
        <w:tc>
          <w:tcPr>
            <w:vAlign w:val="center"/>
          </w:tcPr>
          <w:p>
            <w:pPr>
              <w:jc w:val="right"/>
            </w:pPr>
            <w:r>
              <w:rPr>
                <w:color w:val="000000"/>
                <w:sz w:val="24"/>
              </w:rPr>
              <w:t>493</w:t>
            </w:r>
          </w:p>
        </w:tc>
        <w:tc>
          <w:tcPr>
            <w:vAlign w:val="center"/>
          </w:tcPr>
          <w:p>
            <w:pPr>
              <w:jc w:val="right"/>
            </w:pPr>
            <w:r>
              <w:rPr>
                <w:color w:val="000000"/>
                <w:sz w:val="24"/>
              </w:rPr>
              <w:t>54,723.00</w:t>
            </w:r>
          </w:p>
        </w:tc>
        <w:tc>
          <w:tcPr>
            <w:vAlign w:val="center"/>
          </w:tcPr>
          <w:p>
            <w:pPr>
              <w:jc w:val="right"/>
            </w:pPr>
            <w:r>
              <w:rPr>
                <w:color w:val="000000"/>
                <w:sz w:val="24"/>
              </w:rPr>
              <w:t>0.76</w:t>
            </w:r>
          </w:p>
        </w:tc>
      </w:tr>
      <w:tr>
        <w:tc>
          <w:tcPr>
            <w:vAlign w:val="center"/>
          </w:tcPr>
          <w:p>
            <w:pPr>
              <w:jc w:val="center"/>
            </w:pPr>
            <w:r>
              <w:rPr>
                <w:color w:val="000000"/>
                <w:sz w:val="24"/>
              </w:rPr>
              <w:t>10</w:t>
            </w:r>
          </w:p>
        </w:tc>
        <w:tc>
          <w:tcPr>
            <w:vAlign w:val="center"/>
          </w:tcPr>
          <w:p>
            <w:pPr>
              <w:jc w:val="center"/>
            </w:pPr>
            <w:r>
              <w:rPr>
                <w:color w:val="000000"/>
                <w:sz w:val="24"/>
              </w:rPr>
              <w:t>600309</w:t>
            </w:r>
          </w:p>
        </w:tc>
        <w:tc>
          <w:tcPr>
            <w:vAlign w:val="center"/>
          </w:tcPr>
          <w:p>
            <w:pPr>
              <w:jc w:val="center"/>
            </w:pPr>
            <w:r>
              <w:rPr>
                <w:color w:val="000000"/>
                <w:sz w:val="24"/>
              </w:rPr>
              <w:t>万华化学</w:t>
            </w:r>
          </w:p>
        </w:tc>
        <w:tc>
          <w:tcPr>
            <w:vAlign w:val="center"/>
          </w:tcPr>
          <w:p>
            <w:pPr>
              <w:jc w:val="right"/>
            </w:pPr>
            <w:r>
              <w:rPr>
                <w:color w:val="000000"/>
                <w:sz w:val="24"/>
              </w:rPr>
              <w:t>600</w:t>
            </w:r>
          </w:p>
        </w:tc>
        <w:tc>
          <w:tcPr>
            <w:vAlign w:val="center"/>
          </w:tcPr>
          <w:p>
            <w:pPr>
              <w:jc w:val="right"/>
            </w:pPr>
            <w:r>
              <w:rPr>
                <w:color w:val="000000"/>
                <w:sz w:val="24"/>
              </w:rPr>
              <w:t>54,624.00</w:t>
            </w:r>
          </w:p>
        </w:tc>
        <w:tc>
          <w:tcPr>
            <w:vAlign w:val="center"/>
          </w:tcPr>
          <w:p>
            <w:pPr>
              <w:jc w:val="right"/>
            </w:pPr>
            <w:r>
              <w:rPr>
                <w:color w:val="000000"/>
                <w:sz w:val="24"/>
              </w:rPr>
              <w:t>0.76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3,130,073.10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43.62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187,109.60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2.61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187,109.60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2.61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2,580,264.10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35.96</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5,897,446.80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82.18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010107</w:t>
            </w:r>
          </w:p>
        </w:tc>
        <w:tc>
          <w:tcPr>
            <w:vAlign w:val="center"/>
          </w:tcPr>
          <w:p>
            <w:pPr>
              <w:jc w:val="center"/>
            </w:pPr>
            <w:r>
              <w:rPr>
                <w:color w:val="000000"/>
                <w:sz w:val="24"/>
              </w:rPr>
              <w:t>21国债⑺</w:t>
            </w:r>
          </w:p>
        </w:tc>
        <w:tc>
          <w:tcPr>
            <w:vAlign w:val="center"/>
          </w:tcPr>
          <w:p>
            <w:pPr>
              <w:jc w:val="right"/>
            </w:pPr>
            <w:r>
              <w:rPr>
                <w:color w:val="000000"/>
                <w:sz w:val="24"/>
              </w:rPr>
              <w:t>16,000</w:t>
            </w:r>
          </w:p>
        </w:tc>
        <w:tc>
          <w:tcPr>
            <w:vAlign w:val="center"/>
          </w:tcPr>
          <w:p>
            <w:pPr>
              <w:jc w:val="right"/>
            </w:pPr>
            <w:r>
              <w:rPr>
                <w:color w:val="000000"/>
                <w:sz w:val="24"/>
              </w:rPr>
              <w:t>1,619,040.00</w:t>
            </w:r>
          </w:p>
        </w:tc>
        <w:tc>
          <w:tcPr>
            <w:vAlign w:val="center"/>
          </w:tcPr>
          <w:p>
            <w:pPr>
              <w:jc w:val="right"/>
            </w:pPr>
            <w:r>
              <w:rPr>
                <w:color w:val="000000"/>
                <w:sz w:val="24"/>
              </w:rPr>
              <w:t>22.56</w:t>
            </w:r>
          </w:p>
        </w:tc>
      </w:tr>
      <w:tr>
        <w:tc>
          <w:tcPr>
            <w:vAlign w:val="center"/>
          </w:tcPr>
          <w:p>
            <w:pPr>
              <w:jc w:val="center"/>
            </w:pPr>
            <w:r>
              <w:rPr>
                <w:color w:val="000000"/>
                <w:sz w:val="24"/>
              </w:rPr>
              <w:t>2</w:t>
            </w:r>
          </w:p>
        </w:tc>
        <w:tc>
          <w:tcPr>
            <w:vAlign w:val="center"/>
          </w:tcPr>
          <w:p>
            <w:pPr>
              <w:jc w:val="center"/>
            </w:pPr>
            <w:r>
              <w:rPr>
                <w:color w:val="000000"/>
                <w:sz w:val="24"/>
              </w:rPr>
              <w:t>019640</w:t>
            </w:r>
          </w:p>
        </w:tc>
        <w:tc>
          <w:tcPr>
            <w:vAlign w:val="center"/>
          </w:tcPr>
          <w:p>
            <w:pPr>
              <w:jc w:val="center"/>
            </w:pPr>
            <w:r>
              <w:rPr>
                <w:color w:val="000000"/>
                <w:sz w:val="24"/>
              </w:rPr>
              <w:t>20国债10</w:t>
            </w:r>
          </w:p>
        </w:tc>
        <w:tc>
          <w:tcPr>
            <w:vAlign w:val="center"/>
          </w:tcPr>
          <w:p>
            <w:pPr>
              <w:jc w:val="right"/>
            </w:pPr>
            <w:r>
              <w:rPr>
                <w:color w:val="000000"/>
                <w:sz w:val="24"/>
              </w:rPr>
              <w:t>15,130</w:t>
            </w:r>
          </w:p>
        </w:tc>
        <w:tc>
          <w:tcPr>
            <w:vAlign w:val="center"/>
          </w:tcPr>
          <w:p>
            <w:pPr>
              <w:jc w:val="right"/>
            </w:pPr>
            <w:r>
              <w:rPr>
                <w:color w:val="000000"/>
                <w:sz w:val="24"/>
              </w:rPr>
              <w:t>1,511,033.10</w:t>
            </w:r>
          </w:p>
        </w:tc>
        <w:tc>
          <w:tcPr>
            <w:vAlign w:val="center"/>
          </w:tcPr>
          <w:p>
            <w:pPr>
              <w:jc w:val="right"/>
            </w:pPr>
            <w:r>
              <w:rPr>
                <w:color w:val="000000"/>
                <w:sz w:val="24"/>
              </w:rPr>
              <w:t>21.06</w:t>
            </w:r>
          </w:p>
        </w:tc>
      </w:tr>
      <w:tr>
        <w:tc>
          <w:tcPr>
            <w:vAlign w:val="center"/>
          </w:tcPr>
          <w:p>
            <w:pPr>
              <w:jc w:val="center"/>
            </w:pPr>
            <w:r>
              <w:rPr>
                <w:color w:val="000000"/>
                <w:sz w:val="24"/>
              </w:rPr>
              <w:t>3</w:t>
            </w:r>
          </w:p>
        </w:tc>
        <w:tc>
          <w:tcPr>
            <w:vAlign w:val="center"/>
          </w:tcPr>
          <w:p>
            <w:pPr>
              <w:jc w:val="center"/>
            </w:pPr>
            <w:r>
              <w:rPr>
                <w:color w:val="000000"/>
                <w:sz w:val="24"/>
              </w:rPr>
              <w:t>113582</w:t>
            </w:r>
          </w:p>
        </w:tc>
        <w:tc>
          <w:tcPr>
            <w:vAlign w:val="center"/>
          </w:tcPr>
          <w:p>
            <w:pPr>
              <w:jc w:val="center"/>
            </w:pPr>
            <w:r>
              <w:rPr>
                <w:color w:val="000000"/>
                <w:sz w:val="24"/>
              </w:rPr>
              <w:t>火炬转债</w:t>
            </w:r>
          </w:p>
        </w:tc>
        <w:tc>
          <w:tcPr>
            <w:vAlign w:val="center"/>
          </w:tcPr>
          <w:p>
            <w:pPr>
              <w:jc w:val="right"/>
            </w:pPr>
            <w:r>
              <w:rPr>
                <w:color w:val="000000"/>
                <w:sz w:val="24"/>
              </w:rPr>
              <w:t>1,980</w:t>
            </w:r>
          </w:p>
        </w:tc>
        <w:tc>
          <w:tcPr>
            <w:vAlign w:val="center"/>
          </w:tcPr>
          <w:p>
            <w:pPr>
              <w:jc w:val="right"/>
            </w:pPr>
            <w:r>
              <w:rPr>
                <w:color w:val="000000"/>
                <w:sz w:val="24"/>
              </w:rPr>
              <w:t>581,506.20</w:t>
            </w:r>
          </w:p>
        </w:tc>
        <w:tc>
          <w:tcPr>
            <w:vAlign w:val="center"/>
          </w:tcPr>
          <w:p>
            <w:pPr>
              <w:jc w:val="right"/>
            </w:pPr>
            <w:r>
              <w:rPr>
                <w:color w:val="000000"/>
                <w:sz w:val="24"/>
              </w:rPr>
              <w:t>8.10</w:t>
            </w:r>
          </w:p>
        </w:tc>
      </w:tr>
      <w:tr>
        <w:tc>
          <w:tcPr>
            <w:vAlign w:val="center"/>
          </w:tcPr>
          <w:p>
            <w:pPr>
              <w:jc w:val="center"/>
            </w:pPr>
            <w:r>
              <w:rPr>
                <w:color w:val="000000"/>
                <w:sz w:val="24"/>
              </w:rPr>
              <w:t>4</w:t>
            </w:r>
          </w:p>
        </w:tc>
        <w:tc>
          <w:tcPr>
            <w:vAlign w:val="center"/>
          </w:tcPr>
          <w:p>
            <w:pPr>
              <w:jc w:val="center"/>
            </w:pPr>
            <w:r>
              <w:rPr>
                <w:color w:val="000000"/>
                <w:sz w:val="24"/>
              </w:rPr>
              <w:t>128034</w:t>
            </w:r>
          </w:p>
        </w:tc>
        <w:tc>
          <w:tcPr>
            <w:vAlign w:val="center"/>
          </w:tcPr>
          <w:p>
            <w:pPr>
              <w:jc w:val="center"/>
            </w:pPr>
            <w:r>
              <w:rPr>
                <w:color w:val="000000"/>
                <w:sz w:val="24"/>
              </w:rPr>
              <w:t>江银转债</w:t>
            </w:r>
          </w:p>
        </w:tc>
        <w:tc>
          <w:tcPr>
            <w:vAlign w:val="center"/>
          </w:tcPr>
          <w:p>
            <w:pPr>
              <w:jc w:val="right"/>
            </w:pPr>
            <w:r>
              <w:rPr>
                <w:color w:val="000000"/>
                <w:sz w:val="24"/>
              </w:rPr>
              <w:t>4,480</w:t>
            </w:r>
          </w:p>
        </w:tc>
        <w:tc>
          <w:tcPr>
            <w:vAlign w:val="center"/>
          </w:tcPr>
          <w:p>
            <w:pPr>
              <w:jc w:val="right"/>
            </w:pPr>
            <w:r>
              <w:rPr>
                <w:color w:val="000000"/>
                <w:sz w:val="24"/>
              </w:rPr>
              <w:t>484,556.80</w:t>
            </w:r>
          </w:p>
        </w:tc>
        <w:tc>
          <w:tcPr>
            <w:vAlign w:val="center"/>
          </w:tcPr>
          <w:p>
            <w:pPr>
              <w:jc w:val="right"/>
            </w:pPr>
            <w:r>
              <w:rPr>
                <w:color w:val="000000"/>
                <w:sz w:val="24"/>
              </w:rPr>
              <w:t>6.75</w:t>
            </w:r>
          </w:p>
        </w:tc>
      </w:tr>
      <w:tr>
        <w:tc>
          <w:tcPr>
            <w:vAlign w:val="center"/>
          </w:tcPr>
          <w:p>
            <w:pPr>
              <w:jc w:val="center"/>
            </w:pPr>
            <w:r>
              <w:rPr>
                <w:color w:val="000000"/>
                <w:sz w:val="24"/>
              </w:rPr>
              <w:t>5</w:t>
            </w:r>
          </w:p>
        </w:tc>
        <w:tc>
          <w:tcPr>
            <w:vAlign w:val="center"/>
          </w:tcPr>
          <w:p>
            <w:pPr>
              <w:jc w:val="center"/>
            </w:pPr>
            <w:r>
              <w:rPr>
                <w:color w:val="000000"/>
                <w:sz w:val="24"/>
              </w:rPr>
              <w:t>113516</w:t>
            </w:r>
          </w:p>
        </w:tc>
        <w:tc>
          <w:tcPr>
            <w:vAlign w:val="center"/>
          </w:tcPr>
          <w:p>
            <w:pPr>
              <w:jc w:val="center"/>
            </w:pPr>
            <w:r>
              <w:rPr>
                <w:color w:val="000000"/>
                <w:sz w:val="24"/>
              </w:rPr>
              <w:t>苏农转债</w:t>
            </w:r>
          </w:p>
        </w:tc>
        <w:tc>
          <w:tcPr>
            <w:vAlign w:val="center"/>
          </w:tcPr>
          <w:p>
            <w:pPr>
              <w:jc w:val="right"/>
            </w:pPr>
            <w:r>
              <w:rPr>
                <w:color w:val="000000"/>
                <w:sz w:val="24"/>
              </w:rPr>
              <w:t>4,450</w:t>
            </w:r>
          </w:p>
        </w:tc>
        <w:tc>
          <w:tcPr>
            <w:vAlign w:val="center"/>
          </w:tcPr>
          <w:p>
            <w:pPr>
              <w:jc w:val="right"/>
            </w:pPr>
            <w:r>
              <w:rPr>
                <w:color w:val="000000"/>
                <w:sz w:val="24"/>
              </w:rPr>
              <w:t>479,843.50</w:t>
            </w:r>
          </w:p>
        </w:tc>
        <w:tc>
          <w:tcPr>
            <w:vAlign w:val="center"/>
          </w:tcPr>
          <w:p>
            <w:pPr>
              <w:jc w:val="right"/>
            </w:pPr>
            <w:r>
              <w:rPr>
                <w:color w:val="000000"/>
                <w:sz w:val="24"/>
              </w:rPr>
              <w:t>6.69</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14,844.43</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197,526.11</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54,725.98</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20,431.09</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287,527.61</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9765C1" w:rsidR="009765C1" w:rsidRDefault="009765C1" w:rsidRPr="007F52FA">
      <w:pPr>
        <w:autoSpaceDE w:val="0"/>
        <w:autoSpaceDN w:val="0"/>
        <w:adjustRightInd w:val="0"/>
        <w:spacing w:before="29" w:line="288" w:lineRule="auto"/>
        <w:jc w:val="right"/>
        <w:rPr>
          <w:kern w:val="0"/>
          <w:sz w:val="24"/>
        </w:rPr>
      </w:pPr>
      <w:r w:rsidRPr="009765C1">
        <w:rPr>
          <w:rFonts w:hint="eastAsia"/>
          <w:kern w:val="0"/>
          <w:sz w:val="24"/>
        </w:rPr>
        <w:t/>
      </w:r>
      <w:r w:rsidRPr="009765C1">
        <w:rPr>
          <w:rFonts w:hint="eastAsia"/>
          <w:kern w:val="0"/>
          <w:sz w:val="24"/>
        </w:rPr>
        <w:t>金额单位：人民币元</w:t>
      </w:r>
    </w:p>
    <w:tbl>
      <w:tblPr>
        <w:tblStyle w:val="af2"/>
        <w:tblW w:type="dxa" w:w="8868"/>
        <w:jc w:val="center"/>
        <w:tblCellMar>
          <w:top w:type="dxa" w:w="57"/>
          <w:bottom w:type="dxa" w:w="57"/>
        </w:tblCellMar>
        <w:tblLook w:firstColumn="1" w:firstRow="1" w:lastColumn="0" w:lastRow="0" w:noHBand="0" w:noVBand="1" w:val="04A0"/>
      </w:tblPr>
      <w:tblGrid>
        <w:gridCol w:w="1162"/>
        <w:gridCol w:w="2639"/>
        <w:gridCol w:w="1813"/>
        <w:gridCol w:w="1783"/>
        <w:gridCol w:w="1845"/>
      </w:tblGrid>
      <w:tr w:rsidR="001D5CD0" w:rsidRPr="007F52FA" w:rsidTr="00837861">
        <w:trPr>
          <w:jc w:val="center"/>
        </w:trPr>
        <w:tc>
          <w:tcPr>
            <w:tcW w:type="dxa" w:w="944"/>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type="dxa" w:w="2568"/>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type="dxa" w:w="1665"/>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type="dxa" w:w="1727"/>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type="dxa" w:w="1609"/>
            <w:vAlign w:val="center"/>
          </w:tcPr>
          <w:p w:rsidP="007C14DF" w:rsidR="001D5CD0" w:rsidRDefault="001D5CD0" w:rsidRPr="007F52FA">
            <w:pPr>
              <w:spacing w:before="29" w:line="288" w:lineRule="auto"/>
              <w:ind w:left="17"/>
              <w:jc w:val="center"/>
              <w:rPr>
                <w:rFonts w:eastAsiaTheme="minorEastAsia"/>
                <w:color w:val="000000"/>
                <w:sz w:val="24"/>
              </w:rPr>
            </w:pPr>
            <w:bookmarkStart w:id="2" w:name="_GoBack"/>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bookmarkEnd w:id="2"/>
          </w:p>
        </w:tc>
      </w:tr>
      <w:tr>
        <w:tc>
          <w:tcPr>
            <w:vAlign w:val="center"/>
          </w:tcPr>
          <w:p>
            <w:pPr>
              <w:jc w:val="center"/>
            </w:pPr>
            <w:r>
              <w:rPr>
                <w:rFonts w:eastAsiaTheme="minorEastAsia"/>
                <w:color w:val="000000"/>
                <w:sz w:val="24"/>
              </w:rPr>
              <w:t>1</w:t>
            </w:r>
          </w:p>
        </w:tc>
        <w:tc>
          <w:tcPr>
            <w:vAlign w:val="center"/>
          </w:tcPr>
          <w:p>
            <w:pPr>
              <w:jc w:val="center"/>
            </w:pPr>
            <w:r>
              <w:rPr>
                <w:rFonts w:eastAsiaTheme="minorEastAsia"/>
                <w:color w:val="000000"/>
                <w:sz w:val="24"/>
              </w:rPr>
              <w:t>113582</w:t>
            </w:r>
          </w:p>
        </w:tc>
        <w:tc>
          <w:tcPr>
            <w:vAlign w:val="center"/>
          </w:tcPr>
          <w:p>
            <w:pPr>
              <w:jc w:val="center"/>
            </w:pPr>
            <w:r>
              <w:rPr>
                <w:rFonts w:eastAsiaTheme="minorEastAsia"/>
                <w:color w:val="000000"/>
                <w:sz w:val="24"/>
              </w:rPr>
              <w:t>火炬转债</w:t>
            </w:r>
          </w:p>
        </w:tc>
        <w:tc>
          <w:tcPr>
            <w:vAlign w:val="center"/>
          </w:tcPr>
          <w:p>
            <w:pPr>
              <w:jc w:val="right"/>
            </w:pPr>
            <w:r>
              <w:rPr>
                <w:rFonts w:eastAsiaTheme="minorEastAsia"/>
                <w:color w:val="000000"/>
                <w:sz w:val="24"/>
              </w:rPr>
              <w:t>581,506.20</w:t>
            </w:r>
          </w:p>
        </w:tc>
        <w:tc>
          <w:tcPr>
            <w:vAlign w:val="center"/>
          </w:tcPr>
          <w:p>
            <w:pPr>
              <w:jc w:val="right"/>
            </w:pPr>
            <w:r>
              <w:rPr>
                <w:rFonts w:eastAsiaTheme="minorEastAsia"/>
                <w:color w:val="000000"/>
                <w:sz w:val="24"/>
              </w:rPr>
              <w:t>8.10</w:t>
            </w:r>
          </w:p>
        </w:tc>
      </w:tr>
      <w:tr>
        <w:tc>
          <w:tcPr>
            <w:vAlign w:val="center"/>
          </w:tcPr>
          <w:p>
            <w:pPr>
              <w:jc w:val="center"/>
            </w:pPr>
            <w:r>
              <w:rPr>
                <w:rFonts w:eastAsiaTheme="minorEastAsia"/>
                <w:color w:val="000000"/>
                <w:sz w:val="24"/>
              </w:rPr>
              <w:t>2</w:t>
            </w:r>
          </w:p>
        </w:tc>
        <w:tc>
          <w:tcPr>
            <w:vAlign w:val="center"/>
          </w:tcPr>
          <w:p>
            <w:pPr>
              <w:jc w:val="center"/>
            </w:pPr>
            <w:r>
              <w:rPr>
                <w:rFonts w:eastAsiaTheme="minorEastAsia"/>
                <w:color w:val="000000"/>
                <w:sz w:val="24"/>
              </w:rPr>
              <w:t>128034</w:t>
            </w:r>
          </w:p>
        </w:tc>
        <w:tc>
          <w:tcPr>
            <w:vAlign w:val="center"/>
          </w:tcPr>
          <w:p>
            <w:pPr>
              <w:jc w:val="center"/>
            </w:pPr>
            <w:r>
              <w:rPr>
                <w:rFonts w:eastAsiaTheme="minorEastAsia"/>
                <w:color w:val="000000"/>
                <w:sz w:val="24"/>
              </w:rPr>
              <w:t>江银转债</w:t>
            </w:r>
          </w:p>
        </w:tc>
        <w:tc>
          <w:tcPr>
            <w:vAlign w:val="center"/>
          </w:tcPr>
          <w:p>
            <w:pPr>
              <w:jc w:val="right"/>
            </w:pPr>
            <w:r>
              <w:rPr>
                <w:rFonts w:eastAsiaTheme="minorEastAsia"/>
                <w:color w:val="000000"/>
                <w:sz w:val="24"/>
              </w:rPr>
              <w:t>484,556.80</w:t>
            </w:r>
          </w:p>
        </w:tc>
        <w:tc>
          <w:tcPr>
            <w:vAlign w:val="center"/>
          </w:tcPr>
          <w:p>
            <w:pPr>
              <w:jc w:val="right"/>
            </w:pPr>
            <w:r>
              <w:rPr>
                <w:rFonts w:eastAsiaTheme="minorEastAsia"/>
                <w:color w:val="000000"/>
                <w:sz w:val="24"/>
              </w:rPr>
              <w:t>6.75</w:t>
            </w:r>
          </w:p>
        </w:tc>
      </w:tr>
      <w:tr>
        <w:tc>
          <w:tcPr>
            <w:vAlign w:val="center"/>
          </w:tcPr>
          <w:p>
            <w:pPr>
              <w:jc w:val="center"/>
            </w:pPr>
            <w:r>
              <w:rPr>
                <w:rFonts w:eastAsiaTheme="minorEastAsia"/>
                <w:color w:val="000000"/>
                <w:sz w:val="24"/>
              </w:rPr>
              <w:t>3</w:t>
            </w:r>
          </w:p>
        </w:tc>
        <w:tc>
          <w:tcPr>
            <w:vAlign w:val="center"/>
          </w:tcPr>
          <w:p>
            <w:pPr>
              <w:jc w:val="center"/>
            </w:pPr>
            <w:r>
              <w:rPr>
                <w:rFonts w:eastAsiaTheme="minorEastAsia"/>
                <w:color w:val="000000"/>
                <w:sz w:val="24"/>
              </w:rPr>
              <w:t>113516</w:t>
            </w:r>
          </w:p>
        </w:tc>
        <w:tc>
          <w:tcPr>
            <w:vAlign w:val="center"/>
          </w:tcPr>
          <w:p>
            <w:pPr>
              <w:jc w:val="center"/>
            </w:pPr>
            <w:r>
              <w:rPr>
                <w:rFonts w:eastAsiaTheme="minorEastAsia"/>
                <w:color w:val="000000"/>
                <w:sz w:val="24"/>
              </w:rPr>
              <w:t>苏农转债</w:t>
            </w:r>
          </w:p>
        </w:tc>
        <w:tc>
          <w:tcPr>
            <w:vAlign w:val="center"/>
          </w:tcPr>
          <w:p>
            <w:pPr>
              <w:jc w:val="right"/>
            </w:pPr>
            <w:r>
              <w:rPr>
                <w:rFonts w:eastAsiaTheme="minorEastAsia"/>
                <w:color w:val="000000"/>
                <w:sz w:val="24"/>
              </w:rPr>
              <w:t>479,843.50</w:t>
            </w:r>
          </w:p>
        </w:tc>
        <w:tc>
          <w:tcPr>
            <w:vAlign w:val="center"/>
          </w:tcPr>
          <w:p>
            <w:pPr>
              <w:jc w:val="right"/>
            </w:pPr>
            <w:r>
              <w:rPr>
                <w:rFonts w:eastAsiaTheme="minorEastAsia"/>
                <w:color w:val="000000"/>
                <w:sz w:val="24"/>
              </w:rPr>
              <w:t>6.69</w:t>
            </w:r>
          </w:p>
        </w:tc>
      </w:tr>
      <w:tr>
        <w:tc>
          <w:tcPr>
            <w:vAlign w:val="center"/>
          </w:tcPr>
          <w:p>
            <w:pPr>
              <w:jc w:val="center"/>
            </w:pPr>
            <w:r>
              <w:rPr>
                <w:rFonts w:eastAsiaTheme="minorEastAsia"/>
                <w:color w:val="000000"/>
                <w:sz w:val="24"/>
              </w:rPr>
              <w:t>4</w:t>
            </w:r>
          </w:p>
        </w:tc>
        <w:tc>
          <w:tcPr>
            <w:vAlign w:val="center"/>
          </w:tcPr>
          <w:p>
            <w:pPr>
              <w:jc w:val="center"/>
            </w:pPr>
            <w:r>
              <w:rPr>
                <w:rFonts w:eastAsiaTheme="minorEastAsia"/>
                <w:color w:val="000000"/>
                <w:sz w:val="24"/>
              </w:rPr>
              <w:t>128095</w:t>
            </w:r>
          </w:p>
        </w:tc>
        <w:tc>
          <w:tcPr>
            <w:vAlign w:val="center"/>
          </w:tcPr>
          <w:p>
            <w:pPr>
              <w:jc w:val="center"/>
            </w:pPr>
            <w:r>
              <w:rPr>
                <w:rFonts w:eastAsiaTheme="minorEastAsia"/>
                <w:color w:val="000000"/>
                <w:sz w:val="24"/>
              </w:rPr>
              <w:t>恩捷转债</w:t>
            </w:r>
          </w:p>
        </w:tc>
        <w:tc>
          <w:tcPr>
            <w:vAlign w:val="center"/>
          </w:tcPr>
          <w:p>
            <w:pPr>
              <w:jc w:val="right"/>
            </w:pPr>
            <w:r>
              <w:rPr>
                <w:rFonts w:eastAsiaTheme="minorEastAsia"/>
                <w:color w:val="000000"/>
                <w:sz w:val="24"/>
              </w:rPr>
              <w:t>142,818.00</w:t>
            </w:r>
          </w:p>
        </w:tc>
        <w:tc>
          <w:tcPr>
            <w:vAlign w:val="center"/>
          </w:tcPr>
          <w:p>
            <w:pPr>
              <w:jc w:val="right"/>
            </w:pPr>
            <w:r>
              <w:rPr>
                <w:rFonts w:eastAsiaTheme="minorEastAsia"/>
                <w:color w:val="000000"/>
                <w:sz w:val="24"/>
              </w:rPr>
              <w:t>1.99</w:t>
            </w:r>
          </w:p>
        </w:tc>
      </w:tr>
    </w:tbl>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交银强化回报债券A/B</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交银强化回报债券C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4,893,124.18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2,570,773.77</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460,862.40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889,346.78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1,570,300.36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1,011,027.39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3,783,686.22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2,449,093.16</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1、中国证监会准予交银施罗德强化回报债券型证券投资基金募集注册的文件；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2、《交银施罗德强化回报债券型证券投资基金基金合同》；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3、《交银施罗德强化回报债券型证券投资基金招募说明书》；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4、《交银施罗德强化回报债券型证券投资基金托管协议》；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5、关于募集交银施罗德强化回报债券型证券投资基金之法律意见书；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8、报告期内交银施罗德强化回报债券型证券投资基金在指定报刊上各项公告的原稿。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8.2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1A" w:rsidRDefault="00B86B1A">
      <w:r>
        <w:separator/>
      </w:r>
    </w:p>
  </w:endnote>
  <w:endnote w:type="continuationSeparator" w:id="0">
    <w:p w:rsidR="00B86B1A" w:rsidRDefault="00B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00E04">
      <w:rPr>
        <w:noProof/>
        <w:kern w:val="0"/>
        <w:szCs w:val="21"/>
      </w:rPr>
      <w:t>20</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00E04">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B86B1A" w:rsidRDefault="00B86B1A">
      <w:r>
        <w:separator/>
      </w:r>
    </w:p>
  </w:footnote>
  <w:footnote w:id="0" w:type="continuationSeparator">
    <w:p w:rsidR="00B86B1A" w:rsidRDefault="00B86B1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交银施罗德强化回报债券型证券投资基金2020年第4季度报告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58FC-C285-488F-ADBD-197F096C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241</TotalTime>
  <Pages>1</Pages>
  <Words>4278</Words>
  <Characters>24388</Characters>
  <Application>Microsoft Office Word</Application>
  <DocSecurity>0</DocSecurity>
  <Lines>203</Lines>
  <Paragraphs>57</Paragraphs>
  <ScaleCrop>false</ScaleCrop>
  <Company>TRT. Ltd. Co.</Company>
  <LinksUpToDate>false</LinksUpToDate>
  <CharactersWithSpaces>28609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2020-03-05T08:02:00Z</dcterms:modified>
  <cp:revision>404</cp:revision>
</cp:coreProperties>
</file>