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交银施罗德科技创新灵活配置混合型证券投资基金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2016年5月5日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151,304,314.30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21,675,215.79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42,109,620.92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0.2778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327,207,162.72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14.69%</w:t>
            </w:r>
          </w:p>
        </w:tc>
        <w:tc>
          <w:tcPr>
            <w:vAlign w:val="center"/>
          </w:tcPr>
          <w:p>
            <w:pPr>
              <w:jc w:val="center"/>
            </w:pPr>
            <w:r>
              <w:rPr>
                <w:color w:val="000000"/>
                <w:sz w:val="24"/>
                <w:szCs w:val="24"/>
              </w:rPr>
              <w:t>1.25%</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6.14%</w:t>
            </w:r>
          </w:p>
        </w:tc>
        <w:tc>
          <w:tcPr>
            <w:vAlign w:val="center"/>
          </w:tcPr>
          <w:p>
            <w:pPr>
              <w:jc w:val="center"/>
            </w:pPr>
            <w:r>
              <w:rPr>
                <w:color w:val="000000"/>
                <w:sz w:val="24"/>
                <w:szCs w:val="24"/>
              </w:rPr>
              <w:t>0.66%</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30.62%</w:t>
            </w:r>
          </w:p>
        </w:tc>
        <w:tc>
          <w:tcPr>
            <w:vAlign w:val="center"/>
          </w:tcPr>
          <w:p>
            <w:pPr>
              <w:jc w:val="center"/>
            </w:pPr>
            <w:r>
              <w:rPr>
                <w:color w:val="000000"/>
                <w:sz w:val="24"/>
                <w:szCs w:val="24"/>
              </w:rPr>
              <w:t>1.58%</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15.60%</w:t>
            </w:r>
          </w:p>
        </w:tc>
        <w:tc>
          <w:tcPr>
            <w:vAlign w:val="center"/>
          </w:tcPr>
          <w:p>
            <w:pPr>
              <w:jc w:val="center"/>
            </w:pPr>
            <w:r>
              <w:rPr>
                <w:color w:val="000000"/>
                <w:sz w:val="24"/>
                <w:szCs w:val="24"/>
              </w:rPr>
              <w:t>0.78%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62.14%</w:t>
            </w:r>
          </w:p>
        </w:tc>
        <w:tc>
          <w:tcPr>
            <w:vAlign w:val="center"/>
          </w:tcPr>
          <w:p>
            <w:pPr>
              <w:jc w:val="center"/>
            </w:pPr>
            <w:r>
              <w:rPr>
                <w:color w:val="000000"/>
                <w:sz w:val="24"/>
                <w:szCs w:val="24"/>
              </w:rPr>
              <w:t>1.75%</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44.51%</w:t>
            </w:r>
          </w:p>
        </w:tc>
        <w:tc>
          <w:tcPr>
            <w:vAlign w:val="center"/>
          </w:tcPr>
          <w:p>
            <w:pPr>
              <w:jc w:val="center"/>
            </w:pPr>
            <w:r>
              <w:rPr>
                <w:color w:val="000000"/>
                <w:sz w:val="24"/>
                <w:szCs w:val="24"/>
              </w:rPr>
              <w:t>0.90%</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132.83%</w:t>
            </w:r>
          </w:p>
        </w:tc>
        <w:tc>
          <w:tcPr>
            <w:vAlign w:val="center"/>
          </w:tcPr>
          <w:p>
            <w:pPr>
              <w:jc w:val="center"/>
            </w:pPr>
            <w:r>
              <w:rPr>
                <w:color w:val="000000"/>
                <w:sz w:val="24"/>
                <w:szCs w:val="24"/>
              </w:rPr>
              <w:t>1.79%</w:t>
            </w:r>
          </w:p>
        </w:tc>
        <w:tc>
          <w:tcPr>
            <w:vAlign w:val="center"/>
          </w:tcPr>
          <w:p>
            <w:pPr>
              <w:jc w:val="center"/>
            </w:pPr>
            <w:r>
              <w:rPr>
                <w:color w:val="000000"/>
                <w:sz w:val="24"/>
                <w:szCs w:val="24"/>
              </w:rPr>
              <w:t>26.08%</w:t>
            </w:r>
          </w:p>
        </w:tc>
        <w:tc>
          <w:tcPr>
            <w:vAlign w:val="center"/>
          </w:tcPr>
          <w:p>
            <w:pPr>
              <w:jc w:val="center"/>
            </w:pPr>
            <w:r>
              <w:rPr>
                <w:color w:val="000000"/>
                <w:sz w:val="24"/>
                <w:szCs w:val="24"/>
              </w:rPr>
              <w:t>0.80%</w:t>
            </w:r>
          </w:p>
        </w:tc>
        <w:tc>
          <w:tcPr>
            <w:vAlign w:val="center"/>
          </w:tcPr>
          <w:p>
            <w:pPr>
              <w:jc w:val="center"/>
            </w:pPr>
            <w:r>
              <w:rPr>
                <w:color w:val="000000"/>
                <w:sz w:val="24"/>
                <w:szCs w:val="24"/>
              </w:rPr>
              <w:t>106.75%</w:t>
            </w:r>
          </w:p>
        </w:tc>
        <w:tc>
          <w:tcPr>
            <w:vAlign w:val="center"/>
          </w:tcPr>
          <w:p>
            <w:pPr>
              <w:jc w:val="center"/>
            </w:pPr>
            <w:r>
              <w:rPr>
                <w:color w:val="000000"/>
                <w:sz w:val="24"/>
                <w:szCs w:val="24"/>
              </w:rPr>
              <w:t>0.99%</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118.39%</w:t>
            </w:r>
          </w:p>
        </w:tc>
        <w:tc>
          <w:tcPr>
            <w:vAlign w:val="center"/>
          </w:tcPr>
          <w:p>
            <w:pPr>
              <w:jc w:val="center"/>
            </w:pPr>
            <w:r>
              <w:rPr>
                <w:color w:val="000000"/>
                <w:sz w:val="24"/>
                <w:szCs w:val="24"/>
              </w:rPr>
              <w:t>1.62%</w:t>
            </w:r>
          </w:p>
        </w:tc>
        <w:tc>
          <w:tcPr>
            <w:vAlign w:val="center"/>
          </w:tcPr>
          <w:p>
            <w:pPr>
              <w:jc w:val="center"/>
            </w:pPr>
            <w:r>
              <w:rPr>
                <w:color w:val="000000"/>
                <w:sz w:val="24"/>
                <w:szCs w:val="24"/>
              </w:rPr>
              <w:t>45.91%</w:t>
            </w:r>
          </w:p>
        </w:tc>
        <w:tc>
          <w:tcPr>
            <w:vAlign w:val="center"/>
          </w:tcPr>
          <w:p>
            <w:pPr>
              <w:jc w:val="center"/>
            </w:pPr>
            <w:r>
              <w:rPr>
                <w:color w:val="000000"/>
                <w:sz w:val="24"/>
                <w:szCs w:val="24"/>
              </w:rPr>
              <w:t>0.69%</w:t>
            </w:r>
          </w:p>
        </w:tc>
        <w:tc>
          <w:tcPr>
            <w:vAlign w:val="center"/>
          </w:tcPr>
          <w:p>
            <w:pPr>
              <w:jc w:val="center"/>
            </w:pPr>
            <w:r>
              <w:rPr>
                <w:color w:val="000000"/>
                <w:sz w:val="24"/>
                <w:szCs w:val="24"/>
              </w:rPr>
              <w:t>72.48%</w:t>
            </w:r>
          </w:p>
        </w:tc>
        <w:tc>
          <w:tcPr>
            <w:vAlign w:val="center"/>
          </w:tcPr>
          <w:p>
            <w:pPr>
              <w:jc w:val="center"/>
            </w:pPr>
            <w:r>
              <w:rPr>
                <w:color w:val="000000"/>
                <w:sz w:val="24"/>
                <w:szCs w:val="24"/>
              </w:rPr>
              <w:t>0.93%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交银施罗德科技创新灵活配置混合型证券投资基金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2016年5月5日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交银科技创新灵活配置混合的基金经理</w:t>
            </w:r>
          </w:p>
        </w:tc>
        <w:tc>
          <w:tcPr>
            <w:vAlign w:val="center"/>
          </w:tcPr>
          <w:p>
            <w:pPr>
              <w:jc w:val="center"/>
            </w:pPr>
            <w:r>
              <w:rPr>
                <w:color w:val="000000"/>
                <w:sz w:val="24"/>
                <w:szCs w:val="24"/>
              </w:rPr>
              <w:t>2016-05-05</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2015年5月18日至2020年7月14日担任交银施罗德先锋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随着冬季到来，国内疫情偶有散发情况出现，国外病毒新变种出现同时伴随冬季到来，感染数再次大幅攀升。四季度A股市场继续上涨，创业板涨幅大于主板。行业层面，新能源，光伏，军工以及白酒涨幅居前，其余板块和二线品种大幅调整。</w:t>
      </w:r>
    </w:p>
    <w:p>
      <w:pPr>
        <w:spacing w:before="29" w:line="288" w:lineRule="auto"/>
        <w:ind w:firstLine="480" w:firstLineChars="200"/>
        <w:rPr>
          <w:color w:val="000000"/>
          <w:sz w:val="24"/>
          <w:szCs w:val="24"/>
        </w:rPr>
      </w:pPr>
      <w:r>
        <w:rPr>
          <w:color w:val="000000"/>
          <w:sz w:val="24"/>
          <w:szCs w:val="24"/>
        </w:rPr>
        <w:t xml:space="preserve">本基金在四季度保持中性偏高仓位，保持了军工，电子，消费，计算机和部分顺周期的仓位，减持了医药的仓位。从整个季度表现来看，本基金跑赢业绩比较基准。 </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对A股市场维持谨慎乐观的态度。考虑到当前的经济状况和利率水平，我们认为大类资产配置中权益仍然最优。由于2020年的低基数，我们预计顺周期公司的业绩增速在接下来的一到三个季度都会有较好的表现，值得重点关注。同时高景气度的行业也值得持续跟踪。本基金后续拟保持中性略高仓位，按照成长为主、兼顾控回撤的配置思路。我们将关注科技、顺周期等低估值龙头，坚守能力圈，做中长期布局，努力为持有人带来稳健持续的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285,338,868.40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285,338,868.40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40,388,606.28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4,011,095.54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329,738,570.22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206,933,974.76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13,622.27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21,967,749.86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31,555,926.27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15,155,917.08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8,975.14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12,295.80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12,809.85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9,677,597.37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285,338,868.40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87.20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374,900</w:t>
            </w:r>
          </w:p>
        </w:tc>
        <w:tc>
          <w:tcPr>
            <w:vAlign w:val="center"/>
          </w:tcPr>
          <w:p>
            <w:pPr>
              <w:jc w:val="right"/>
            </w:pPr>
            <w:r>
              <w:rPr>
                <w:color w:val="000000"/>
                <w:sz w:val="24"/>
                <w:szCs w:val="24"/>
              </w:rPr>
              <w:t>23,221,306.00</w:t>
            </w:r>
          </w:p>
        </w:tc>
        <w:tc>
          <w:tcPr>
            <w:vAlign w:val="center"/>
          </w:tcPr>
          <w:p>
            <w:pPr>
              <w:jc w:val="right"/>
            </w:pPr>
            <w:r>
              <w:rPr>
                <w:color w:val="000000"/>
                <w:sz w:val="24"/>
                <w:szCs w:val="24"/>
              </w:rPr>
              <w:t>7.10</w:t>
            </w:r>
          </w:p>
        </w:tc>
      </w:tr>
      <w:tr>
        <w:tc>
          <w:tcPr>
            <w:vAlign w:val="center"/>
          </w:tcPr>
          <w:p>
            <w:pPr>
              <w:jc w:val="center"/>
            </w:pPr>
            <w:r>
              <w:rPr>
                <w:color w:val="000000"/>
                <w:sz w:val="24"/>
                <w:szCs w:val="24"/>
              </w:rPr>
              <w:t>2</w:t>
            </w:r>
          </w:p>
        </w:tc>
        <w:tc>
          <w:tcPr>
            <w:vAlign w:val="center"/>
          </w:tcPr>
          <w:p>
            <w:pPr>
              <w:jc w:val="center"/>
            </w:pPr>
            <w:r>
              <w:rPr>
                <w:color w:val="000000"/>
                <w:sz w:val="24"/>
                <w:szCs w:val="24"/>
              </w:rPr>
              <w:t>603678</w:t>
            </w:r>
          </w:p>
        </w:tc>
        <w:tc>
          <w:tcPr>
            <w:vAlign w:val="center"/>
          </w:tcPr>
          <w:p>
            <w:pPr>
              <w:jc w:val="center"/>
            </w:pPr>
            <w:r>
              <w:rPr>
                <w:color w:val="000000"/>
                <w:sz w:val="24"/>
                <w:szCs w:val="24"/>
              </w:rPr>
              <w:t>火炬电子</w:t>
            </w:r>
          </w:p>
        </w:tc>
        <w:tc>
          <w:tcPr>
            <w:vAlign w:val="center"/>
          </w:tcPr>
          <w:p>
            <w:pPr>
              <w:jc w:val="right"/>
            </w:pPr>
            <w:r>
              <w:rPr>
                <w:color w:val="000000"/>
                <w:sz w:val="24"/>
                <w:szCs w:val="24"/>
              </w:rPr>
              <w:t>315,000</w:t>
            </w:r>
          </w:p>
        </w:tc>
        <w:tc>
          <w:tcPr>
            <w:vAlign w:val="center"/>
          </w:tcPr>
          <w:p>
            <w:pPr>
              <w:jc w:val="right"/>
            </w:pPr>
            <w:r>
              <w:rPr>
                <w:color w:val="000000"/>
                <w:sz w:val="24"/>
                <w:szCs w:val="24"/>
              </w:rPr>
              <w:t>22,774,500.00</w:t>
            </w:r>
          </w:p>
        </w:tc>
        <w:tc>
          <w:tcPr>
            <w:vAlign w:val="center"/>
          </w:tcPr>
          <w:p>
            <w:pPr>
              <w:jc w:val="right"/>
            </w:pPr>
            <w:r>
              <w:rPr>
                <w:color w:val="000000"/>
                <w:sz w:val="24"/>
                <w:szCs w:val="24"/>
              </w:rPr>
              <w:t>6.96</w:t>
            </w:r>
          </w:p>
        </w:tc>
      </w:tr>
      <w:tr>
        <w:tc>
          <w:tcPr>
            <w:vAlign w:val="center"/>
          </w:tcPr>
          <w:p>
            <w:pPr>
              <w:jc w:val="center"/>
            </w:pPr>
            <w:r>
              <w:rPr>
                <w:color w:val="000000"/>
                <w:sz w:val="24"/>
                <w:szCs w:val="24"/>
              </w:rPr>
              <w:t>3</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541,038</w:t>
            </w:r>
          </w:p>
        </w:tc>
        <w:tc>
          <w:tcPr>
            <w:vAlign w:val="center"/>
          </w:tcPr>
          <w:p>
            <w:pPr>
              <w:jc w:val="right"/>
            </w:pPr>
            <w:r>
              <w:rPr>
                <w:color w:val="000000"/>
                <w:sz w:val="24"/>
                <w:szCs w:val="24"/>
              </w:rPr>
              <w:t>22,117,633.44</w:t>
            </w:r>
          </w:p>
        </w:tc>
        <w:tc>
          <w:tcPr>
            <w:vAlign w:val="center"/>
          </w:tcPr>
          <w:p>
            <w:pPr>
              <w:jc w:val="right"/>
            </w:pPr>
            <w:r>
              <w:rPr>
                <w:color w:val="000000"/>
                <w:sz w:val="24"/>
                <w:szCs w:val="24"/>
              </w:rPr>
              <w:t>6.76</w:t>
            </w:r>
          </w:p>
        </w:tc>
      </w:tr>
      <w:tr>
        <w:tc>
          <w:tcPr>
            <w:vAlign w:val="center"/>
          </w:tcPr>
          <w:p>
            <w:pPr>
              <w:jc w:val="center"/>
            </w:pPr>
            <w:r>
              <w:rPr>
                <w:color w:val="000000"/>
                <w:sz w:val="24"/>
                <w:szCs w:val="24"/>
              </w:rPr>
              <w:t>4</w:t>
            </w:r>
          </w:p>
        </w:tc>
        <w:tc>
          <w:tcPr>
            <w:vAlign w:val="center"/>
          </w:tcPr>
          <w:p>
            <w:pPr>
              <w:jc w:val="center"/>
            </w:pPr>
            <w:r>
              <w:rPr>
                <w:color w:val="000000"/>
                <w:sz w:val="24"/>
                <w:szCs w:val="24"/>
              </w:rPr>
              <w:t>600456</w:t>
            </w:r>
          </w:p>
        </w:tc>
        <w:tc>
          <w:tcPr>
            <w:vAlign w:val="center"/>
          </w:tcPr>
          <w:p>
            <w:pPr>
              <w:jc w:val="center"/>
            </w:pPr>
            <w:r>
              <w:rPr>
                <w:color w:val="000000"/>
                <w:sz w:val="24"/>
                <w:szCs w:val="24"/>
              </w:rPr>
              <w:t>宝钛股份</w:t>
            </w:r>
          </w:p>
        </w:tc>
        <w:tc>
          <w:tcPr>
            <w:vAlign w:val="center"/>
          </w:tcPr>
          <w:p>
            <w:pPr>
              <w:jc w:val="right"/>
            </w:pPr>
            <w:r>
              <w:rPr>
                <w:color w:val="000000"/>
                <w:sz w:val="24"/>
                <w:szCs w:val="24"/>
              </w:rPr>
              <w:t>371,800</w:t>
            </w:r>
          </w:p>
        </w:tc>
        <w:tc>
          <w:tcPr>
            <w:vAlign w:val="center"/>
          </w:tcPr>
          <w:p>
            <w:pPr>
              <w:jc w:val="right"/>
            </w:pPr>
            <w:r>
              <w:rPr>
                <w:color w:val="000000"/>
                <w:sz w:val="24"/>
                <w:szCs w:val="24"/>
              </w:rPr>
              <w:t>19,367,062.00</w:t>
            </w:r>
          </w:p>
        </w:tc>
        <w:tc>
          <w:tcPr>
            <w:vAlign w:val="center"/>
          </w:tcPr>
          <w:p>
            <w:pPr>
              <w:jc w:val="right"/>
            </w:pPr>
            <w:r>
              <w:rPr>
                <w:color w:val="000000"/>
                <w:sz w:val="24"/>
                <w:szCs w:val="24"/>
              </w:rPr>
              <w:t>5.92</w:t>
            </w:r>
          </w:p>
        </w:tc>
      </w:tr>
      <w:tr>
        <w:tc>
          <w:tcPr>
            <w:vAlign w:val="center"/>
          </w:tcPr>
          <w:p>
            <w:pPr>
              <w:jc w:val="center"/>
            </w:pPr>
            <w:r>
              <w:rPr>
                <w:color w:val="000000"/>
                <w:sz w:val="24"/>
                <w:szCs w:val="24"/>
              </w:rPr>
              <w:t>5</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139,328</w:t>
            </w:r>
          </w:p>
        </w:tc>
        <w:tc>
          <w:tcPr>
            <w:vAlign w:val="center"/>
          </w:tcPr>
          <w:p>
            <w:pPr>
              <w:jc w:val="right"/>
            </w:pPr>
            <w:r>
              <w:rPr>
                <w:color w:val="000000"/>
                <w:sz w:val="24"/>
                <w:szCs w:val="24"/>
              </w:rPr>
              <w:t>18,643,479.68</w:t>
            </w:r>
          </w:p>
        </w:tc>
        <w:tc>
          <w:tcPr>
            <w:vAlign w:val="center"/>
          </w:tcPr>
          <w:p>
            <w:pPr>
              <w:jc w:val="right"/>
            </w:pPr>
            <w:r>
              <w:rPr>
                <w:color w:val="000000"/>
                <w:sz w:val="24"/>
                <w:szCs w:val="24"/>
              </w:rPr>
              <w:t>5.70</w:t>
            </w:r>
          </w:p>
        </w:tc>
      </w:tr>
      <w:tr>
        <w:tc>
          <w:tcPr>
            <w:vAlign w:val="center"/>
          </w:tcPr>
          <w:p>
            <w:pPr>
              <w:jc w:val="center"/>
            </w:pPr>
            <w:r>
              <w:rPr>
                <w:color w:val="000000"/>
                <w:sz w:val="24"/>
                <w:szCs w:val="24"/>
              </w:rPr>
              <w:t>6</w:t>
            </w:r>
          </w:p>
        </w:tc>
        <w:tc>
          <w:tcPr>
            <w:vAlign w:val="center"/>
          </w:tcPr>
          <w:p>
            <w:pPr>
              <w:jc w:val="center"/>
            </w:pPr>
            <w:r>
              <w:rPr>
                <w:color w:val="000000"/>
                <w:sz w:val="24"/>
                <w:szCs w:val="24"/>
              </w:rPr>
              <w:t>601233</w:t>
            </w:r>
          </w:p>
        </w:tc>
        <w:tc>
          <w:tcPr>
            <w:vAlign w:val="center"/>
          </w:tcPr>
          <w:p>
            <w:pPr>
              <w:jc w:val="center"/>
            </w:pPr>
            <w:r>
              <w:rPr>
                <w:color w:val="000000"/>
                <w:sz w:val="24"/>
                <w:szCs w:val="24"/>
              </w:rPr>
              <w:t>桐昆股份</w:t>
            </w:r>
          </w:p>
        </w:tc>
        <w:tc>
          <w:tcPr>
            <w:vAlign w:val="center"/>
          </w:tcPr>
          <w:p>
            <w:pPr>
              <w:jc w:val="right"/>
            </w:pPr>
            <w:r>
              <w:rPr>
                <w:color w:val="000000"/>
                <w:sz w:val="24"/>
                <w:szCs w:val="24"/>
              </w:rPr>
              <w:t>858,500</w:t>
            </w:r>
          </w:p>
        </w:tc>
        <w:tc>
          <w:tcPr>
            <w:vAlign w:val="center"/>
          </w:tcPr>
          <w:p>
            <w:pPr>
              <w:jc w:val="right"/>
            </w:pPr>
            <w:r>
              <w:rPr>
                <w:color w:val="000000"/>
                <w:sz w:val="24"/>
                <w:szCs w:val="24"/>
              </w:rPr>
              <w:t>17,676,515.00</w:t>
            </w:r>
          </w:p>
        </w:tc>
        <w:tc>
          <w:tcPr>
            <w:vAlign w:val="center"/>
          </w:tcPr>
          <w:p>
            <w:pPr>
              <w:jc w:val="right"/>
            </w:pPr>
            <w:r>
              <w:rPr>
                <w:color w:val="000000"/>
                <w:sz w:val="24"/>
                <w:szCs w:val="24"/>
              </w:rPr>
              <w:t>5.40</w:t>
            </w:r>
          </w:p>
        </w:tc>
      </w:tr>
      <w:tr>
        <w:tc>
          <w:tcPr>
            <w:vAlign w:val="center"/>
          </w:tcPr>
          <w:p>
            <w:pPr>
              <w:jc w:val="center"/>
            </w:pPr>
            <w:r>
              <w:rPr>
                <w:color w:val="000000"/>
                <w:sz w:val="24"/>
                <w:szCs w:val="24"/>
              </w:rPr>
              <w:t>7</w:t>
            </w:r>
          </w:p>
        </w:tc>
        <w:tc>
          <w:tcPr>
            <w:vAlign w:val="center"/>
          </w:tcPr>
          <w:p>
            <w:pPr>
              <w:jc w:val="center"/>
            </w:pPr>
            <w:r>
              <w:rPr>
                <w:color w:val="000000"/>
                <w:sz w:val="24"/>
                <w:szCs w:val="24"/>
              </w:rPr>
              <w:t>300782</w:t>
            </w:r>
          </w:p>
        </w:tc>
        <w:tc>
          <w:tcPr>
            <w:vAlign w:val="center"/>
          </w:tcPr>
          <w:p>
            <w:pPr>
              <w:jc w:val="center"/>
            </w:pPr>
            <w:r>
              <w:rPr>
                <w:color w:val="000000"/>
                <w:sz w:val="24"/>
                <w:szCs w:val="24"/>
              </w:rPr>
              <w:t>卓胜微</w:t>
            </w:r>
          </w:p>
        </w:tc>
        <w:tc>
          <w:tcPr>
            <w:vAlign w:val="center"/>
          </w:tcPr>
          <w:p>
            <w:pPr>
              <w:jc w:val="right"/>
            </w:pPr>
            <w:r>
              <w:rPr>
                <w:color w:val="000000"/>
                <w:sz w:val="24"/>
                <w:szCs w:val="24"/>
              </w:rPr>
              <w:t>27,088</w:t>
            </w:r>
          </w:p>
        </w:tc>
        <w:tc>
          <w:tcPr>
            <w:vAlign w:val="center"/>
          </w:tcPr>
          <w:p>
            <w:pPr>
              <w:jc w:val="right"/>
            </w:pPr>
            <w:r>
              <w:rPr>
                <w:color w:val="000000"/>
                <w:sz w:val="24"/>
                <w:szCs w:val="24"/>
              </w:rPr>
              <w:t>15,454,787.52</w:t>
            </w:r>
          </w:p>
        </w:tc>
        <w:tc>
          <w:tcPr>
            <w:vAlign w:val="center"/>
          </w:tcPr>
          <w:p>
            <w:pPr>
              <w:jc w:val="right"/>
            </w:pPr>
            <w:r>
              <w:rPr>
                <w:color w:val="000000"/>
                <w:sz w:val="24"/>
                <w:szCs w:val="24"/>
              </w:rPr>
              <w:t>4.72</w:t>
            </w:r>
          </w:p>
        </w:tc>
      </w:tr>
      <w:tr>
        <w:tc>
          <w:tcPr>
            <w:vAlign w:val="center"/>
          </w:tcPr>
          <w:p>
            <w:pPr>
              <w:jc w:val="center"/>
            </w:pPr>
            <w:r>
              <w:rPr>
                <w:color w:val="000000"/>
                <w:sz w:val="24"/>
                <w:szCs w:val="24"/>
              </w:rPr>
              <w:t>8</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174,246</w:t>
            </w:r>
          </w:p>
        </w:tc>
        <w:tc>
          <w:tcPr>
            <w:vAlign w:val="center"/>
          </w:tcPr>
          <w:p>
            <w:pPr>
              <w:jc w:val="right"/>
            </w:pPr>
            <w:r>
              <w:rPr>
                <w:color w:val="000000"/>
                <w:sz w:val="24"/>
                <w:szCs w:val="24"/>
              </w:rPr>
              <w:t>15,155,917.08</w:t>
            </w:r>
          </w:p>
        </w:tc>
        <w:tc>
          <w:tcPr>
            <w:vAlign w:val="center"/>
          </w:tcPr>
          <w:p>
            <w:pPr>
              <w:jc w:val="right"/>
            </w:pPr>
            <w:r>
              <w:rPr>
                <w:color w:val="000000"/>
                <w:sz w:val="24"/>
                <w:szCs w:val="24"/>
              </w:rPr>
              <w:t>4.63</w:t>
            </w:r>
          </w:p>
        </w:tc>
      </w:tr>
      <w:tr>
        <w:tc>
          <w:tcPr>
            <w:vAlign w:val="center"/>
          </w:tcPr>
          <w:p>
            <w:pPr>
              <w:jc w:val="center"/>
            </w:pPr>
            <w:r>
              <w:rPr>
                <w:color w:val="000000"/>
                <w:sz w:val="24"/>
                <w:szCs w:val="24"/>
              </w:rPr>
              <w:t>9</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249,059</w:t>
            </w:r>
          </w:p>
        </w:tc>
        <w:tc>
          <w:tcPr>
            <w:vAlign w:val="center"/>
          </w:tcPr>
          <w:p>
            <w:pPr>
              <w:jc w:val="right"/>
            </w:pPr>
            <w:r>
              <w:rPr>
                <w:color w:val="000000"/>
                <w:sz w:val="24"/>
                <w:szCs w:val="24"/>
              </w:rPr>
              <w:t>14,901,199.97</w:t>
            </w:r>
          </w:p>
        </w:tc>
        <w:tc>
          <w:tcPr>
            <w:vAlign w:val="center"/>
          </w:tcPr>
          <w:p>
            <w:pPr>
              <w:jc w:val="right"/>
            </w:pPr>
            <w:r>
              <w:rPr>
                <w:color w:val="000000"/>
                <w:sz w:val="24"/>
                <w:szCs w:val="24"/>
              </w:rPr>
              <w:t>4.55</w:t>
            </w:r>
          </w:p>
        </w:tc>
      </w:tr>
      <w:tr>
        <w:tc>
          <w:tcPr>
            <w:vAlign w:val="center"/>
          </w:tcPr>
          <w:p>
            <w:pPr>
              <w:jc w:val="center"/>
            </w:pPr>
            <w:r>
              <w:rPr>
                <w:color w:val="000000"/>
                <w:sz w:val="24"/>
                <w:szCs w:val="24"/>
              </w:rPr>
              <w:t>10</w:t>
            </w:r>
          </w:p>
        </w:tc>
        <w:tc>
          <w:tcPr>
            <w:vAlign w:val="center"/>
          </w:tcPr>
          <w:p>
            <w:pPr>
              <w:jc w:val="center"/>
            </w:pPr>
            <w:r>
              <w:rPr>
                <w:color w:val="000000"/>
                <w:sz w:val="24"/>
                <w:szCs w:val="24"/>
              </w:rPr>
              <w:t>300036</w:t>
            </w:r>
          </w:p>
        </w:tc>
        <w:tc>
          <w:tcPr>
            <w:vAlign w:val="center"/>
          </w:tcPr>
          <w:p>
            <w:pPr>
              <w:jc w:val="center"/>
            </w:pPr>
            <w:r>
              <w:rPr>
                <w:color w:val="000000"/>
                <w:sz w:val="24"/>
                <w:szCs w:val="24"/>
              </w:rPr>
              <w:t>超图软件</w:t>
            </w:r>
          </w:p>
        </w:tc>
        <w:tc>
          <w:tcPr>
            <w:vAlign w:val="center"/>
          </w:tcPr>
          <w:p>
            <w:pPr>
              <w:jc w:val="right"/>
            </w:pPr>
            <w:r>
              <w:rPr>
                <w:color w:val="000000"/>
                <w:sz w:val="24"/>
                <w:szCs w:val="24"/>
              </w:rPr>
              <w:t>700,969</w:t>
            </w:r>
          </w:p>
        </w:tc>
        <w:tc>
          <w:tcPr>
            <w:vAlign w:val="center"/>
          </w:tcPr>
          <w:p>
            <w:pPr>
              <w:jc w:val="right"/>
            </w:pPr>
            <w:r>
              <w:rPr>
                <w:color w:val="000000"/>
                <w:sz w:val="24"/>
                <w:szCs w:val="24"/>
              </w:rPr>
              <w:t>12,925,868.36</w:t>
            </w:r>
          </w:p>
        </w:tc>
        <w:tc>
          <w:tcPr>
            <w:vAlign w:val="center"/>
          </w:tcPr>
          <w:p>
            <w:pPr>
              <w:jc w:val="right"/>
            </w:pPr>
            <w:r>
              <w:rPr>
                <w:color w:val="000000"/>
                <w:sz w:val="24"/>
                <w:szCs w:val="24"/>
              </w:rPr>
              <w:t>3.95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150,790.72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3,452,307.95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3,600.78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404,396.09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4,011,095.54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152,819,586.14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16,638,567.70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18,153,839.54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151,304,314.30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2020/10/1-2020/12/31</w:t>
            </w:r>
          </w:p>
        </w:tc>
        <w:tc>
          <w:tcPr>
            <w:vAlign w:val="center"/>
          </w:tcPr>
          <w:p>
            <w:pPr>
              <w:jc w:val="center"/>
            </w:pPr>
            <w:r>
              <w:rPr>
                <w:rFonts w:ascii="宋体" w:hAnsi="宋体"/>
                <w:color w:val="000000"/>
                <w:kern w:val="0"/>
              </w:rPr>
              <w:t>35,575,989.78</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35,575,989.78</w:t>
            </w:r>
          </w:p>
        </w:tc>
        <w:tc>
          <w:tcPr>
            <w:vAlign w:val="center"/>
          </w:tcPr>
          <w:p>
            <w:pPr>
              <w:jc w:val="center"/>
            </w:pPr>
            <w:r>
              <w:rPr>
                <w:rFonts w:ascii="宋体" w:hAnsi="宋体"/>
                <w:color w:val="000000"/>
                <w:kern w:val="0"/>
              </w:rPr>
              <w:t>23.51%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1、中国证监会准予交银施罗德科技创新灵活配置混合型证券投资基金募集注册的文件；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2、《交银施罗德科技创新灵活配置混合型证券投资基金基金合同》；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3、《交银施罗德科技创新灵活配置混合型证券投资基金招募说明书》；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4、《交银施罗德科技创新灵活配置混合型证券投资基金托管协议》；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5、关于申请募集注册交银施罗德科技创新灵活配置混合型证券投资基金的法律意见书；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8、报告期内交银施罗德科技创新灵活配置混合型证券投资基金在指定报刊上各项公告的原稿。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交银施罗德科技创新灵活配置混合型证券投资基金2020年第4季度报告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