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交银施罗德周期回报灵活配置混合型证券投资基金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3515BD" w:rsidRDefault="00A9146D">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515BD" w:rsidRDefault="00A9146D">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2021</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515BD" w:rsidRDefault="00A9146D">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515BD" w:rsidRDefault="00A9146D">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515BD" w:rsidRDefault="00A9146D">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交银周期回报灵活配置混合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1,010,086,710.61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本基金是一只混合型基金，其长期平均风险和预期收益高于债券型基金和货币市场基金，低于股票型基金。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519738</w:t>
            </w:r>
            <w:r w:rsidRPr="007F52FA">
              <w:rPr>
                <w:color w:val="000000" w:themeColor="text1"/>
                <w:sz w:val="24"/>
              </w:rPr>
              <w:t>（前端）、</w:t>
            </w:r>
            <w:r w:rsidRPr="007F52FA">
              <w:rPr>
                <w:color w:val="000000" w:themeColor="text1"/>
                <w:sz w:val="24"/>
              </w:rPr>
              <w:t>519739</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519759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748,102,351.27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261,984,359.34</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13,228,877.70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3,380,018.63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35,901,906.86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9,237,796.92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0.0479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0.0475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961,974,714.77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334,663,836.97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1.286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1.277</w:t>
            </w:r>
          </w:p>
        </w:tc>
      </w:tr>
    </w:tbl>
    <w:p w:rsidR="003515BD" w:rsidRDefault="00A9146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交银周期回报灵活配置混合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w:t>
            </w:r>
            <w:r w:rsidRPr="007F52FA">
              <w:rPr>
                <w:color w:val="000000"/>
                <w:sz w:val="24"/>
              </w:rPr>
              <w:lastRenderedPageBreak/>
              <w:t>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净值增长</w:t>
            </w:r>
            <w:r w:rsidRPr="007F52FA">
              <w:rPr>
                <w:color w:val="000000"/>
                <w:sz w:val="24"/>
              </w:rPr>
              <w:lastRenderedPageBreak/>
              <w:t>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515BD">
        <w:trPr>
          <w:jc w:val="center"/>
        </w:trPr>
        <w:tc>
          <w:tcPr>
            <w:tcW w:w="1266" w:type="dxa"/>
            <w:vAlign w:val="center"/>
          </w:tcPr>
          <w:p w:rsidR="003515BD" w:rsidRDefault="00A9146D">
            <w:pPr>
              <w:jc w:val="left"/>
            </w:pPr>
            <w:r>
              <w:rPr>
                <w:color w:val="000000"/>
                <w:sz w:val="24"/>
              </w:rPr>
              <w:t>过去三个月</w:t>
            </w:r>
          </w:p>
        </w:tc>
        <w:tc>
          <w:tcPr>
            <w:tcW w:w="1267" w:type="dxa"/>
            <w:vAlign w:val="center"/>
          </w:tcPr>
          <w:p w:rsidR="003515BD" w:rsidRDefault="00A9146D">
            <w:pPr>
              <w:jc w:val="center"/>
            </w:pPr>
            <w:r>
              <w:rPr>
                <w:color w:val="000000"/>
                <w:sz w:val="24"/>
              </w:rPr>
              <w:t>3.84%</w:t>
            </w:r>
          </w:p>
        </w:tc>
        <w:tc>
          <w:tcPr>
            <w:tcW w:w="1267" w:type="dxa"/>
            <w:vAlign w:val="center"/>
          </w:tcPr>
          <w:p w:rsidR="003515BD" w:rsidRDefault="00A9146D">
            <w:pPr>
              <w:jc w:val="center"/>
            </w:pPr>
            <w:r>
              <w:rPr>
                <w:color w:val="000000"/>
                <w:sz w:val="24"/>
              </w:rPr>
              <w:t>0.17%</w:t>
            </w:r>
          </w:p>
        </w:tc>
        <w:tc>
          <w:tcPr>
            <w:tcW w:w="1267" w:type="dxa"/>
            <w:vAlign w:val="center"/>
          </w:tcPr>
          <w:p w:rsidR="003515BD" w:rsidRDefault="00A9146D">
            <w:pPr>
              <w:jc w:val="center"/>
            </w:pPr>
            <w:r>
              <w:rPr>
                <w:color w:val="000000"/>
                <w:sz w:val="24"/>
              </w:rPr>
              <w:t>7.00%</w:t>
            </w:r>
          </w:p>
        </w:tc>
        <w:tc>
          <w:tcPr>
            <w:tcW w:w="1267" w:type="dxa"/>
            <w:vAlign w:val="center"/>
          </w:tcPr>
          <w:p w:rsidR="003515BD" w:rsidRDefault="00A9146D">
            <w:pPr>
              <w:jc w:val="center"/>
            </w:pPr>
            <w:r>
              <w:rPr>
                <w:color w:val="000000"/>
                <w:sz w:val="24"/>
              </w:rPr>
              <w:t>0.50%</w:t>
            </w:r>
          </w:p>
        </w:tc>
        <w:tc>
          <w:tcPr>
            <w:tcW w:w="1267" w:type="dxa"/>
            <w:vAlign w:val="center"/>
          </w:tcPr>
          <w:p w:rsidR="003515BD" w:rsidRDefault="00A9146D">
            <w:pPr>
              <w:jc w:val="center"/>
            </w:pPr>
            <w:r>
              <w:rPr>
                <w:color w:val="000000"/>
                <w:sz w:val="24"/>
              </w:rPr>
              <w:t>-3.16%</w:t>
            </w:r>
          </w:p>
        </w:tc>
        <w:tc>
          <w:tcPr>
            <w:tcW w:w="1267" w:type="dxa"/>
            <w:vAlign w:val="center"/>
          </w:tcPr>
          <w:p w:rsidR="003515BD" w:rsidRDefault="00A9146D">
            <w:pPr>
              <w:jc w:val="center"/>
            </w:pPr>
            <w:r>
              <w:rPr>
                <w:color w:val="000000"/>
                <w:sz w:val="24"/>
              </w:rPr>
              <w:t>-0.33%</w:t>
            </w:r>
          </w:p>
        </w:tc>
      </w:tr>
      <w:tr w:rsidR="003515BD">
        <w:trPr>
          <w:jc w:val="center"/>
        </w:trPr>
        <w:tc>
          <w:tcPr>
            <w:tcW w:w="1266" w:type="dxa"/>
            <w:vAlign w:val="center"/>
          </w:tcPr>
          <w:p w:rsidR="003515BD" w:rsidRDefault="00A9146D">
            <w:pPr>
              <w:jc w:val="left"/>
            </w:pPr>
            <w:r>
              <w:rPr>
                <w:color w:val="000000"/>
                <w:sz w:val="24"/>
              </w:rPr>
              <w:t>过去六个月</w:t>
            </w:r>
          </w:p>
        </w:tc>
        <w:tc>
          <w:tcPr>
            <w:tcW w:w="1267" w:type="dxa"/>
            <w:vAlign w:val="center"/>
          </w:tcPr>
          <w:p w:rsidR="003515BD" w:rsidRDefault="00A9146D">
            <w:pPr>
              <w:jc w:val="center"/>
            </w:pPr>
            <w:r>
              <w:rPr>
                <w:color w:val="000000"/>
                <w:sz w:val="24"/>
              </w:rPr>
              <w:t>10.65%</w:t>
            </w:r>
          </w:p>
        </w:tc>
        <w:tc>
          <w:tcPr>
            <w:tcW w:w="1267" w:type="dxa"/>
            <w:vAlign w:val="center"/>
          </w:tcPr>
          <w:p w:rsidR="003515BD" w:rsidRDefault="00A9146D">
            <w:pPr>
              <w:jc w:val="center"/>
            </w:pPr>
            <w:r>
              <w:rPr>
                <w:color w:val="000000"/>
                <w:sz w:val="24"/>
              </w:rPr>
              <w:t>0.26%</w:t>
            </w:r>
          </w:p>
        </w:tc>
        <w:tc>
          <w:tcPr>
            <w:tcW w:w="1267" w:type="dxa"/>
            <w:vAlign w:val="center"/>
          </w:tcPr>
          <w:p w:rsidR="003515BD" w:rsidRDefault="00A9146D">
            <w:pPr>
              <w:jc w:val="center"/>
            </w:pPr>
            <w:r>
              <w:rPr>
                <w:color w:val="000000"/>
                <w:sz w:val="24"/>
              </w:rPr>
              <w:t>11.73%</w:t>
            </w:r>
          </w:p>
        </w:tc>
        <w:tc>
          <w:tcPr>
            <w:tcW w:w="1267" w:type="dxa"/>
            <w:vAlign w:val="center"/>
          </w:tcPr>
          <w:p w:rsidR="003515BD" w:rsidRDefault="00A9146D">
            <w:pPr>
              <w:jc w:val="center"/>
            </w:pPr>
            <w:r>
              <w:rPr>
                <w:color w:val="000000"/>
                <w:sz w:val="24"/>
              </w:rPr>
              <w:t>0.66%</w:t>
            </w:r>
          </w:p>
        </w:tc>
        <w:tc>
          <w:tcPr>
            <w:tcW w:w="1267" w:type="dxa"/>
            <w:vAlign w:val="center"/>
          </w:tcPr>
          <w:p w:rsidR="003515BD" w:rsidRDefault="00A9146D">
            <w:pPr>
              <w:jc w:val="center"/>
            </w:pPr>
            <w:r>
              <w:rPr>
                <w:color w:val="000000"/>
                <w:sz w:val="24"/>
              </w:rPr>
              <w:t>-1.08%</w:t>
            </w:r>
          </w:p>
        </w:tc>
        <w:tc>
          <w:tcPr>
            <w:tcW w:w="1267" w:type="dxa"/>
            <w:vAlign w:val="center"/>
          </w:tcPr>
          <w:p w:rsidR="003515BD" w:rsidRDefault="00A9146D">
            <w:pPr>
              <w:jc w:val="center"/>
            </w:pPr>
            <w:r>
              <w:rPr>
                <w:color w:val="000000"/>
                <w:sz w:val="24"/>
              </w:rPr>
              <w:t>-0.40%</w:t>
            </w:r>
          </w:p>
        </w:tc>
      </w:tr>
      <w:tr w:rsidR="003515BD">
        <w:trPr>
          <w:jc w:val="center"/>
        </w:trPr>
        <w:tc>
          <w:tcPr>
            <w:tcW w:w="1266" w:type="dxa"/>
            <w:vAlign w:val="center"/>
          </w:tcPr>
          <w:p w:rsidR="003515BD" w:rsidRDefault="00A9146D">
            <w:pPr>
              <w:jc w:val="left"/>
            </w:pPr>
            <w:r>
              <w:rPr>
                <w:color w:val="000000"/>
                <w:sz w:val="24"/>
              </w:rPr>
              <w:t>过去一年</w:t>
            </w:r>
          </w:p>
        </w:tc>
        <w:tc>
          <w:tcPr>
            <w:tcW w:w="1267" w:type="dxa"/>
            <w:vAlign w:val="center"/>
          </w:tcPr>
          <w:p w:rsidR="003515BD" w:rsidRDefault="00A9146D">
            <w:pPr>
              <w:jc w:val="center"/>
            </w:pPr>
            <w:r>
              <w:rPr>
                <w:color w:val="000000"/>
                <w:sz w:val="24"/>
              </w:rPr>
              <w:t>13.71%</w:t>
            </w:r>
          </w:p>
        </w:tc>
        <w:tc>
          <w:tcPr>
            <w:tcW w:w="1267" w:type="dxa"/>
            <w:vAlign w:val="center"/>
          </w:tcPr>
          <w:p w:rsidR="003515BD" w:rsidRDefault="00A9146D">
            <w:pPr>
              <w:jc w:val="center"/>
            </w:pPr>
            <w:r>
              <w:rPr>
                <w:color w:val="000000"/>
                <w:sz w:val="24"/>
              </w:rPr>
              <w:t>0.25%</w:t>
            </w:r>
          </w:p>
        </w:tc>
        <w:tc>
          <w:tcPr>
            <w:tcW w:w="1267" w:type="dxa"/>
            <w:vAlign w:val="center"/>
          </w:tcPr>
          <w:p w:rsidR="003515BD" w:rsidRDefault="00A9146D">
            <w:pPr>
              <w:jc w:val="center"/>
            </w:pPr>
            <w:r>
              <w:rPr>
                <w:color w:val="000000"/>
                <w:sz w:val="24"/>
              </w:rPr>
              <w:t>13.50%</w:t>
            </w:r>
          </w:p>
        </w:tc>
        <w:tc>
          <w:tcPr>
            <w:tcW w:w="1267" w:type="dxa"/>
            <w:vAlign w:val="center"/>
          </w:tcPr>
          <w:p w:rsidR="003515BD" w:rsidRDefault="00A9146D">
            <w:pPr>
              <w:jc w:val="center"/>
            </w:pPr>
            <w:r>
              <w:rPr>
                <w:color w:val="000000"/>
                <w:sz w:val="24"/>
              </w:rPr>
              <w:t>0.70%</w:t>
            </w:r>
          </w:p>
        </w:tc>
        <w:tc>
          <w:tcPr>
            <w:tcW w:w="1267" w:type="dxa"/>
            <w:vAlign w:val="center"/>
          </w:tcPr>
          <w:p w:rsidR="003515BD" w:rsidRDefault="00A9146D">
            <w:pPr>
              <w:jc w:val="center"/>
            </w:pPr>
            <w:r>
              <w:rPr>
                <w:color w:val="000000"/>
                <w:sz w:val="24"/>
              </w:rPr>
              <w:t>0.21%</w:t>
            </w:r>
          </w:p>
        </w:tc>
        <w:tc>
          <w:tcPr>
            <w:tcW w:w="1267" w:type="dxa"/>
            <w:vAlign w:val="center"/>
          </w:tcPr>
          <w:p w:rsidR="003515BD" w:rsidRDefault="00A9146D">
            <w:pPr>
              <w:jc w:val="center"/>
            </w:pPr>
            <w:r>
              <w:rPr>
                <w:color w:val="000000"/>
                <w:sz w:val="24"/>
              </w:rPr>
              <w:t>-0.45%</w:t>
            </w:r>
          </w:p>
        </w:tc>
      </w:tr>
      <w:tr w:rsidR="003515BD">
        <w:trPr>
          <w:jc w:val="center"/>
        </w:trPr>
        <w:tc>
          <w:tcPr>
            <w:tcW w:w="1266" w:type="dxa"/>
            <w:vAlign w:val="center"/>
          </w:tcPr>
          <w:p w:rsidR="003515BD" w:rsidRDefault="00A9146D">
            <w:pPr>
              <w:jc w:val="left"/>
            </w:pPr>
            <w:r>
              <w:rPr>
                <w:color w:val="000000"/>
                <w:sz w:val="24"/>
              </w:rPr>
              <w:t>过去三年</w:t>
            </w:r>
          </w:p>
        </w:tc>
        <w:tc>
          <w:tcPr>
            <w:tcW w:w="1267" w:type="dxa"/>
            <w:vAlign w:val="center"/>
          </w:tcPr>
          <w:p w:rsidR="003515BD" w:rsidRDefault="00A9146D">
            <w:pPr>
              <w:jc w:val="center"/>
            </w:pPr>
            <w:r>
              <w:rPr>
                <w:color w:val="000000"/>
                <w:sz w:val="24"/>
              </w:rPr>
              <w:t>28.04%</w:t>
            </w:r>
          </w:p>
        </w:tc>
        <w:tc>
          <w:tcPr>
            <w:tcW w:w="1267" w:type="dxa"/>
            <w:vAlign w:val="center"/>
          </w:tcPr>
          <w:p w:rsidR="003515BD" w:rsidRDefault="00A9146D">
            <w:pPr>
              <w:jc w:val="center"/>
            </w:pPr>
            <w:r>
              <w:rPr>
                <w:color w:val="000000"/>
                <w:sz w:val="24"/>
              </w:rPr>
              <w:t>0.23%</w:t>
            </w:r>
          </w:p>
        </w:tc>
        <w:tc>
          <w:tcPr>
            <w:tcW w:w="1267" w:type="dxa"/>
            <w:vAlign w:val="center"/>
          </w:tcPr>
          <w:p w:rsidR="003515BD" w:rsidRDefault="00A9146D">
            <w:pPr>
              <w:jc w:val="center"/>
            </w:pPr>
            <w:r>
              <w:rPr>
                <w:color w:val="000000"/>
                <w:sz w:val="24"/>
              </w:rPr>
              <w:t>19.16%</w:t>
            </w:r>
          </w:p>
        </w:tc>
        <w:tc>
          <w:tcPr>
            <w:tcW w:w="1267" w:type="dxa"/>
            <w:vAlign w:val="center"/>
          </w:tcPr>
          <w:p w:rsidR="003515BD" w:rsidRDefault="00A9146D">
            <w:pPr>
              <w:jc w:val="center"/>
            </w:pPr>
            <w:r>
              <w:rPr>
                <w:color w:val="000000"/>
                <w:sz w:val="24"/>
              </w:rPr>
              <w:t>0.66%</w:t>
            </w:r>
          </w:p>
        </w:tc>
        <w:tc>
          <w:tcPr>
            <w:tcW w:w="1267" w:type="dxa"/>
            <w:vAlign w:val="center"/>
          </w:tcPr>
          <w:p w:rsidR="003515BD" w:rsidRDefault="00A9146D">
            <w:pPr>
              <w:jc w:val="center"/>
            </w:pPr>
            <w:r>
              <w:rPr>
                <w:color w:val="000000"/>
                <w:sz w:val="24"/>
              </w:rPr>
              <w:t>8.88%</w:t>
            </w:r>
          </w:p>
        </w:tc>
        <w:tc>
          <w:tcPr>
            <w:tcW w:w="1267" w:type="dxa"/>
            <w:vAlign w:val="center"/>
          </w:tcPr>
          <w:p w:rsidR="003515BD" w:rsidRDefault="00A9146D">
            <w:pPr>
              <w:jc w:val="center"/>
            </w:pPr>
            <w:r>
              <w:rPr>
                <w:color w:val="000000"/>
                <w:sz w:val="24"/>
              </w:rPr>
              <w:t>-0.43%</w:t>
            </w:r>
          </w:p>
        </w:tc>
      </w:tr>
      <w:tr w:rsidR="003515BD">
        <w:trPr>
          <w:jc w:val="center"/>
        </w:trPr>
        <w:tc>
          <w:tcPr>
            <w:tcW w:w="1266" w:type="dxa"/>
            <w:vAlign w:val="center"/>
          </w:tcPr>
          <w:p w:rsidR="003515BD" w:rsidRDefault="00A9146D">
            <w:pPr>
              <w:jc w:val="left"/>
            </w:pPr>
            <w:r>
              <w:rPr>
                <w:color w:val="000000"/>
                <w:sz w:val="24"/>
              </w:rPr>
              <w:t>过去五年</w:t>
            </w:r>
          </w:p>
        </w:tc>
        <w:tc>
          <w:tcPr>
            <w:tcW w:w="1267" w:type="dxa"/>
            <w:vAlign w:val="center"/>
          </w:tcPr>
          <w:p w:rsidR="003515BD" w:rsidRDefault="00A9146D">
            <w:pPr>
              <w:jc w:val="center"/>
            </w:pPr>
            <w:r>
              <w:rPr>
                <w:color w:val="000000"/>
                <w:sz w:val="24"/>
              </w:rPr>
              <w:t>45.50%</w:t>
            </w:r>
          </w:p>
        </w:tc>
        <w:tc>
          <w:tcPr>
            <w:tcW w:w="1267" w:type="dxa"/>
            <w:vAlign w:val="center"/>
          </w:tcPr>
          <w:p w:rsidR="003515BD" w:rsidRDefault="00A9146D">
            <w:pPr>
              <w:jc w:val="center"/>
            </w:pPr>
            <w:r>
              <w:rPr>
                <w:color w:val="000000"/>
                <w:sz w:val="24"/>
              </w:rPr>
              <w:t>0.21%</w:t>
            </w:r>
          </w:p>
        </w:tc>
        <w:tc>
          <w:tcPr>
            <w:tcW w:w="1267" w:type="dxa"/>
            <w:vAlign w:val="center"/>
          </w:tcPr>
          <w:p w:rsidR="003515BD" w:rsidRDefault="00A9146D">
            <w:pPr>
              <w:jc w:val="center"/>
            </w:pPr>
            <w:r>
              <w:rPr>
                <w:color w:val="000000"/>
                <w:sz w:val="24"/>
              </w:rPr>
              <w:t>21.62%</w:t>
            </w:r>
          </w:p>
        </w:tc>
        <w:tc>
          <w:tcPr>
            <w:tcW w:w="1267" w:type="dxa"/>
            <w:vAlign w:val="center"/>
          </w:tcPr>
          <w:p w:rsidR="003515BD" w:rsidRDefault="00A9146D">
            <w:pPr>
              <w:jc w:val="center"/>
            </w:pPr>
            <w:r>
              <w:rPr>
                <w:color w:val="000000"/>
                <w:sz w:val="24"/>
              </w:rPr>
              <w:t>0.62%</w:t>
            </w:r>
          </w:p>
        </w:tc>
        <w:tc>
          <w:tcPr>
            <w:tcW w:w="1267" w:type="dxa"/>
            <w:vAlign w:val="center"/>
          </w:tcPr>
          <w:p w:rsidR="003515BD" w:rsidRDefault="00A9146D">
            <w:pPr>
              <w:jc w:val="center"/>
            </w:pPr>
            <w:r>
              <w:rPr>
                <w:color w:val="000000"/>
                <w:sz w:val="24"/>
              </w:rPr>
              <w:t>23.88%</w:t>
            </w:r>
          </w:p>
        </w:tc>
        <w:tc>
          <w:tcPr>
            <w:tcW w:w="1267" w:type="dxa"/>
            <w:vAlign w:val="center"/>
          </w:tcPr>
          <w:p w:rsidR="003515BD" w:rsidRDefault="00A9146D">
            <w:pPr>
              <w:jc w:val="center"/>
            </w:pPr>
            <w:r>
              <w:rPr>
                <w:color w:val="000000"/>
                <w:sz w:val="24"/>
              </w:rPr>
              <w:t>-0.41%</w:t>
            </w:r>
          </w:p>
        </w:tc>
      </w:tr>
      <w:tr w:rsidR="003515BD">
        <w:trPr>
          <w:jc w:val="center"/>
        </w:trPr>
        <w:tc>
          <w:tcPr>
            <w:tcW w:w="1266" w:type="dxa"/>
            <w:vAlign w:val="center"/>
          </w:tcPr>
          <w:p w:rsidR="003515BD" w:rsidRDefault="00A9146D">
            <w:pPr>
              <w:jc w:val="left"/>
            </w:pPr>
            <w:r>
              <w:rPr>
                <w:color w:val="000000"/>
                <w:sz w:val="24"/>
              </w:rPr>
              <w:t>自基金合同生效起至今</w:t>
            </w:r>
          </w:p>
        </w:tc>
        <w:tc>
          <w:tcPr>
            <w:tcW w:w="1267" w:type="dxa"/>
            <w:vAlign w:val="center"/>
          </w:tcPr>
          <w:p w:rsidR="003515BD" w:rsidRDefault="00A9146D">
            <w:pPr>
              <w:jc w:val="center"/>
            </w:pPr>
            <w:r>
              <w:rPr>
                <w:color w:val="000000"/>
                <w:sz w:val="24"/>
              </w:rPr>
              <w:t>97.05%</w:t>
            </w:r>
          </w:p>
        </w:tc>
        <w:tc>
          <w:tcPr>
            <w:tcW w:w="1267" w:type="dxa"/>
            <w:vAlign w:val="center"/>
          </w:tcPr>
          <w:p w:rsidR="003515BD" w:rsidRDefault="00A9146D">
            <w:pPr>
              <w:jc w:val="center"/>
            </w:pPr>
            <w:r>
              <w:rPr>
                <w:color w:val="000000"/>
                <w:sz w:val="24"/>
              </w:rPr>
              <w:t>0.26%</w:t>
            </w:r>
          </w:p>
        </w:tc>
        <w:tc>
          <w:tcPr>
            <w:tcW w:w="1267" w:type="dxa"/>
            <w:vAlign w:val="center"/>
          </w:tcPr>
          <w:p w:rsidR="003515BD" w:rsidRDefault="00A9146D">
            <w:pPr>
              <w:jc w:val="center"/>
            </w:pPr>
            <w:r>
              <w:rPr>
                <w:color w:val="000000"/>
                <w:sz w:val="24"/>
              </w:rPr>
              <w:t>70.48%</w:t>
            </w:r>
          </w:p>
        </w:tc>
        <w:tc>
          <w:tcPr>
            <w:tcW w:w="1267" w:type="dxa"/>
            <w:vAlign w:val="center"/>
          </w:tcPr>
          <w:p w:rsidR="003515BD" w:rsidRDefault="00A9146D">
            <w:pPr>
              <w:jc w:val="center"/>
            </w:pPr>
            <w:r>
              <w:rPr>
                <w:color w:val="000000"/>
                <w:sz w:val="24"/>
              </w:rPr>
              <w:t>0.75%</w:t>
            </w:r>
          </w:p>
        </w:tc>
        <w:tc>
          <w:tcPr>
            <w:tcW w:w="1267" w:type="dxa"/>
            <w:vAlign w:val="center"/>
          </w:tcPr>
          <w:p w:rsidR="003515BD" w:rsidRDefault="00A9146D">
            <w:pPr>
              <w:jc w:val="center"/>
            </w:pPr>
            <w:r>
              <w:rPr>
                <w:color w:val="000000"/>
                <w:sz w:val="24"/>
              </w:rPr>
              <w:t>26.57%</w:t>
            </w:r>
          </w:p>
        </w:tc>
        <w:tc>
          <w:tcPr>
            <w:tcW w:w="1267" w:type="dxa"/>
            <w:vAlign w:val="center"/>
          </w:tcPr>
          <w:p w:rsidR="003515BD" w:rsidRDefault="00A9146D">
            <w:pPr>
              <w:jc w:val="center"/>
            </w:pPr>
            <w:r>
              <w:rPr>
                <w:color w:val="000000"/>
                <w:sz w:val="24"/>
              </w:rPr>
              <w:t>-0.49%</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交银周期回报灵活配置混合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515BD">
        <w:trPr>
          <w:jc w:val="center"/>
        </w:trPr>
        <w:tc>
          <w:tcPr>
            <w:tcW w:w="1266" w:type="dxa"/>
            <w:vAlign w:val="center"/>
          </w:tcPr>
          <w:p w:rsidR="003515BD" w:rsidRDefault="00A9146D">
            <w:pPr>
              <w:jc w:val="left"/>
            </w:pPr>
            <w:r>
              <w:rPr>
                <w:color w:val="000000"/>
                <w:sz w:val="24"/>
              </w:rPr>
              <w:t>过去三个月</w:t>
            </w:r>
          </w:p>
        </w:tc>
        <w:tc>
          <w:tcPr>
            <w:tcW w:w="1267" w:type="dxa"/>
            <w:vAlign w:val="center"/>
          </w:tcPr>
          <w:p w:rsidR="003515BD" w:rsidRDefault="00A9146D">
            <w:pPr>
              <w:jc w:val="center"/>
            </w:pPr>
            <w:r>
              <w:rPr>
                <w:color w:val="000000"/>
                <w:sz w:val="24"/>
              </w:rPr>
              <w:t>3.78%</w:t>
            </w:r>
          </w:p>
        </w:tc>
        <w:tc>
          <w:tcPr>
            <w:tcW w:w="1267" w:type="dxa"/>
            <w:vAlign w:val="center"/>
          </w:tcPr>
          <w:p w:rsidR="003515BD" w:rsidRDefault="00A9146D">
            <w:pPr>
              <w:jc w:val="center"/>
            </w:pPr>
            <w:r>
              <w:rPr>
                <w:color w:val="000000"/>
                <w:sz w:val="24"/>
              </w:rPr>
              <w:t>0.18%</w:t>
            </w:r>
          </w:p>
        </w:tc>
        <w:tc>
          <w:tcPr>
            <w:tcW w:w="1267" w:type="dxa"/>
            <w:vAlign w:val="center"/>
          </w:tcPr>
          <w:p w:rsidR="003515BD" w:rsidRDefault="00A9146D">
            <w:pPr>
              <w:jc w:val="center"/>
            </w:pPr>
            <w:r>
              <w:rPr>
                <w:color w:val="000000"/>
                <w:sz w:val="24"/>
              </w:rPr>
              <w:t>7.00%</w:t>
            </w:r>
          </w:p>
        </w:tc>
        <w:tc>
          <w:tcPr>
            <w:tcW w:w="1267" w:type="dxa"/>
            <w:vAlign w:val="center"/>
          </w:tcPr>
          <w:p w:rsidR="003515BD" w:rsidRDefault="00A9146D">
            <w:pPr>
              <w:jc w:val="center"/>
            </w:pPr>
            <w:r>
              <w:rPr>
                <w:color w:val="000000"/>
                <w:sz w:val="24"/>
              </w:rPr>
              <w:t>0.50%</w:t>
            </w:r>
          </w:p>
        </w:tc>
        <w:tc>
          <w:tcPr>
            <w:tcW w:w="1267" w:type="dxa"/>
            <w:vAlign w:val="center"/>
          </w:tcPr>
          <w:p w:rsidR="003515BD" w:rsidRDefault="00A9146D">
            <w:pPr>
              <w:jc w:val="center"/>
            </w:pPr>
            <w:r>
              <w:rPr>
                <w:color w:val="000000"/>
                <w:sz w:val="24"/>
              </w:rPr>
              <w:t>-3.22%</w:t>
            </w:r>
          </w:p>
        </w:tc>
        <w:tc>
          <w:tcPr>
            <w:tcW w:w="1267" w:type="dxa"/>
            <w:vAlign w:val="center"/>
          </w:tcPr>
          <w:p w:rsidR="003515BD" w:rsidRDefault="00A9146D">
            <w:pPr>
              <w:jc w:val="center"/>
            </w:pPr>
            <w:r>
              <w:rPr>
                <w:color w:val="000000"/>
                <w:sz w:val="24"/>
              </w:rPr>
              <w:t>-0.32%</w:t>
            </w:r>
          </w:p>
        </w:tc>
      </w:tr>
      <w:tr w:rsidR="003515BD">
        <w:trPr>
          <w:jc w:val="center"/>
        </w:trPr>
        <w:tc>
          <w:tcPr>
            <w:tcW w:w="1266" w:type="dxa"/>
            <w:vAlign w:val="center"/>
          </w:tcPr>
          <w:p w:rsidR="003515BD" w:rsidRDefault="00A9146D">
            <w:pPr>
              <w:jc w:val="left"/>
            </w:pPr>
            <w:r>
              <w:rPr>
                <w:color w:val="000000"/>
                <w:sz w:val="24"/>
              </w:rPr>
              <w:t>过去六个月</w:t>
            </w:r>
          </w:p>
        </w:tc>
        <w:tc>
          <w:tcPr>
            <w:tcW w:w="1267" w:type="dxa"/>
            <w:vAlign w:val="center"/>
          </w:tcPr>
          <w:p w:rsidR="003515BD" w:rsidRDefault="00A9146D">
            <w:pPr>
              <w:jc w:val="center"/>
            </w:pPr>
            <w:r>
              <w:rPr>
                <w:color w:val="000000"/>
                <w:sz w:val="24"/>
              </w:rPr>
              <w:t>10.55%</w:t>
            </w:r>
          </w:p>
        </w:tc>
        <w:tc>
          <w:tcPr>
            <w:tcW w:w="1267" w:type="dxa"/>
            <w:vAlign w:val="center"/>
          </w:tcPr>
          <w:p w:rsidR="003515BD" w:rsidRDefault="00A9146D">
            <w:pPr>
              <w:jc w:val="center"/>
            </w:pPr>
            <w:r>
              <w:rPr>
                <w:color w:val="000000"/>
                <w:sz w:val="24"/>
              </w:rPr>
              <w:t>0.26%</w:t>
            </w:r>
          </w:p>
        </w:tc>
        <w:tc>
          <w:tcPr>
            <w:tcW w:w="1267" w:type="dxa"/>
            <w:vAlign w:val="center"/>
          </w:tcPr>
          <w:p w:rsidR="003515BD" w:rsidRDefault="00A9146D">
            <w:pPr>
              <w:jc w:val="center"/>
            </w:pPr>
            <w:r>
              <w:rPr>
                <w:color w:val="000000"/>
                <w:sz w:val="24"/>
              </w:rPr>
              <w:t>11.73%</w:t>
            </w:r>
          </w:p>
        </w:tc>
        <w:tc>
          <w:tcPr>
            <w:tcW w:w="1267" w:type="dxa"/>
            <w:vAlign w:val="center"/>
          </w:tcPr>
          <w:p w:rsidR="003515BD" w:rsidRDefault="00A9146D">
            <w:pPr>
              <w:jc w:val="center"/>
            </w:pPr>
            <w:r>
              <w:rPr>
                <w:color w:val="000000"/>
                <w:sz w:val="24"/>
              </w:rPr>
              <w:t>0.66%</w:t>
            </w:r>
          </w:p>
        </w:tc>
        <w:tc>
          <w:tcPr>
            <w:tcW w:w="1267" w:type="dxa"/>
            <w:vAlign w:val="center"/>
          </w:tcPr>
          <w:p w:rsidR="003515BD" w:rsidRDefault="00A9146D">
            <w:pPr>
              <w:jc w:val="center"/>
            </w:pPr>
            <w:r>
              <w:rPr>
                <w:color w:val="000000"/>
                <w:sz w:val="24"/>
              </w:rPr>
              <w:t>-1.18%</w:t>
            </w:r>
          </w:p>
        </w:tc>
        <w:tc>
          <w:tcPr>
            <w:tcW w:w="1267" w:type="dxa"/>
            <w:vAlign w:val="center"/>
          </w:tcPr>
          <w:p w:rsidR="003515BD" w:rsidRDefault="00A9146D">
            <w:pPr>
              <w:jc w:val="center"/>
            </w:pPr>
            <w:r>
              <w:rPr>
                <w:color w:val="000000"/>
                <w:sz w:val="24"/>
              </w:rPr>
              <w:t>-0.40%</w:t>
            </w:r>
          </w:p>
        </w:tc>
      </w:tr>
      <w:tr w:rsidR="003515BD">
        <w:trPr>
          <w:jc w:val="center"/>
        </w:trPr>
        <w:tc>
          <w:tcPr>
            <w:tcW w:w="1266" w:type="dxa"/>
            <w:vAlign w:val="center"/>
          </w:tcPr>
          <w:p w:rsidR="003515BD" w:rsidRDefault="00A9146D">
            <w:pPr>
              <w:jc w:val="left"/>
            </w:pPr>
            <w:r>
              <w:rPr>
                <w:color w:val="000000"/>
                <w:sz w:val="24"/>
              </w:rPr>
              <w:t>过去一年</w:t>
            </w:r>
          </w:p>
        </w:tc>
        <w:tc>
          <w:tcPr>
            <w:tcW w:w="1267" w:type="dxa"/>
            <w:vAlign w:val="center"/>
          </w:tcPr>
          <w:p w:rsidR="003515BD" w:rsidRDefault="00A9146D">
            <w:pPr>
              <w:jc w:val="center"/>
            </w:pPr>
            <w:r>
              <w:rPr>
                <w:color w:val="000000"/>
                <w:sz w:val="24"/>
              </w:rPr>
              <w:t>13.53%</w:t>
            </w:r>
          </w:p>
        </w:tc>
        <w:tc>
          <w:tcPr>
            <w:tcW w:w="1267" w:type="dxa"/>
            <w:vAlign w:val="center"/>
          </w:tcPr>
          <w:p w:rsidR="003515BD" w:rsidRDefault="00A9146D">
            <w:pPr>
              <w:jc w:val="center"/>
            </w:pPr>
            <w:r>
              <w:rPr>
                <w:color w:val="000000"/>
                <w:sz w:val="24"/>
              </w:rPr>
              <w:t>0.25%</w:t>
            </w:r>
          </w:p>
        </w:tc>
        <w:tc>
          <w:tcPr>
            <w:tcW w:w="1267" w:type="dxa"/>
            <w:vAlign w:val="center"/>
          </w:tcPr>
          <w:p w:rsidR="003515BD" w:rsidRDefault="00A9146D">
            <w:pPr>
              <w:jc w:val="center"/>
            </w:pPr>
            <w:r>
              <w:rPr>
                <w:color w:val="000000"/>
                <w:sz w:val="24"/>
              </w:rPr>
              <w:t>13.50%</w:t>
            </w:r>
          </w:p>
        </w:tc>
        <w:tc>
          <w:tcPr>
            <w:tcW w:w="1267" w:type="dxa"/>
            <w:vAlign w:val="center"/>
          </w:tcPr>
          <w:p w:rsidR="003515BD" w:rsidRDefault="00A9146D">
            <w:pPr>
              <w:jc w:val="center"/>
            </w:pPr>
            <w:r>
              <w:rPr>
                <w:color w:val="000000"/>
                <w:sz w:val="24"/>
              </w:rPr>
              <w:t>0.70%</w:t>
            </w:r>
          </w:p>
        </w:tc>
        <w:tc>
          <w:tcPr>
            <w:tcW w:w="1267" w:type="dxa"/>
            <w:vAlign w:val="center"/>
          </w:tcPr>
          <w:p w:rsidR="003515BD" w:rsidRDefault="00A9146D">
            <w:pPr>
              <w:jc w:val="center"/>
            </w:pPr>
            <w:r>
              <w:rPr>
                <w:color w:val="000000"/>
                <w:sz w:val="24"/>
              </w:rPr>
              <w:t>0.03%</w:t>
            </w:r>
          </w:p>
        </w:tc>
        <w:tc>
          <w:tcPr>
            <w:tcW w:w="1267" w:type="dxa"/>
            <w:vAlign w:val="center"/>
          </w:tcPr>
          <w:p w:rsidR="003515BD" w:rsidRDefault="00A9146D">
            <w:pPr>
              <w:jc w:val="center"/>
            </w:pPr>
            <w:r>
              <w:rPr>
                <w:color w:val="000000"/>
                <w:sz w:val="24"/>
              </w:rPr>
              <w:t>-0.45%</w:t>
            </w:r>
          </w:p>
        </w:tc>
      </w:tr>
      <w:tr w:rsidR="003515BD">
        <w:trPr>
          <w:jc w:val="center"/>
        </w:trPr>
        <w:tc>
          <w:tcPr>
            <w:tcW w:w="1266" w:type="dxa"/>
            <w:vAlign w:val="center"/>
          </w:tcPr>
          <w:p w:rsidR="003515BD" w:rsidRDefault="00A9146D">
            <w:pPr>
              <w:jc w:val="left"/>
            </w:pPr>
            <w:r>
              <w:rPr>
                <w:color w:val="000000"/>
                <w:sz w:val="24"/>
              </w:rPr>
              <w:t>过去三年</w:t>
            </w:r>
          </w:p>
        </w:tc>
        <w:tc>
          <w:tcPr>
            <w:tcW w:w="1267" w:type="dxa"/>
            <w:vAlign w:val="center"/>
          </w:tcPr>
          <w:p w:rsidR="003515BD" w:rsidRDefault="00A9146D">
            <w:pPr>
              <w:jc w:val="center"/>
            </w:pPr>
            <w:r>
              <w:rPr>
                <w:color w:val="000000"/>
                <w:sz w:val="24"/>
              </w:rPr>
              <w:t>27.72%</w:t>
            </w:r>
          </w:p>
        </w:tc>
        <w:tc>
          <w:tcPr>
            <w:tcW w:w="1267" w:type="dxa"/>
            <w:vAlign w:val="center"/>
          </w:tcPr>
          <w:p w:rsidR="003515BD" w:rsidRDefault="00A9146D">
            <w:pPr>
              <w:jc w:val="center"/>
            </w:pPr>
            <w:r>
              <w:rPr>
                <w:color w:val="000000"/>
                <w:sz w:val="24"/>
              </w:rPr>
              <w:t>0.23%</w:t>
            </w:r>
          </w:p>
        </w:tc>
        <w:tc>
          <w:tcPr>
            <w:tcW w:w="1267" w:type="dxa"/>
            <w:vAlign w:val="center"/>
          </w:tcPr>
          <w:p w:rsidR="003515BD" w:rsidRDefault="00A9146D">
            <w:pPr>
              <w:jc w:val="center"/>
            </w:pPr>
            <w:r>
              <w:rPr>
                <w:color w:val="000000"/>
                <w:sz w:val="24"/>
              </w:rPr>
              <w:t>19.16%</w:t>
            </w:r>
          </w:p>
        </w:tc>
        <w:tc>
          <w:tcPr>
            <w:tcW w:w="1267" w:type="dxa"/>
            <w:vAlign w:val="center"/>
          </w:tcPr>
          <w:p w:rsidR="003515BD" w:rsidRDefault="00A9146D">
            <w:pPr>
              <w:jc w:val="center"/>
            </w:pPr>
            <w:r>
              <w:rPr>
                <w:color w:val="000000"/>
                <w:sz w:val="24"/>
              </w:rPr>
              <w:t>0.66%</w:t>
            </w:r>
          </w:p>
        </w:tc>
        <w:tc>
          <w:tcPr>
            <w:tcW w:w="1267" w:type="dxa"/>
            <w:vAlign w:val="center"/>
          </w:tcPr>
          <w:p w:rsidR="003515BD" w:rsidRDefault="00A9146D">
            <w:pPr>
              <w:jc w:val="center"/>
            </w:pPr>
            <w:r>
              <w:rPr>
                <w:color w:val="000000"/>
                <w:sz w:val="24"/>
              </w:rPr>
              <w:t>8.56%</w:t>
            </w:r>
          </w:p>
        </w:tc>
        <w:tc>
          <w:tcPr>
            <w:tcW w:w="1267" w:type="dxa"/>
            <w:vAlign w:val="center"/>
          </w:tcPr>
          <w:p w:rsidR="003515BD" w:rsidRDefault="00A9146D">
            <w:pPr>
              <w:jc w:val="center"/>
            </w:pPr>
            <w:r>
              <w:rPr>
                <w:color w:val="000000"/>
                <w:sz w:val="24"/>
              </w:rPr>
              <w:t>-0.43%</w:t>
            </w:r>
          </w:p>
        </w:tc>
      </w:tr>
      <w:tr w:rsidR="003515BD">
        <w:trPr>
          <w:jc w:val="center"/>
        </w:trPr>
        <w:tc>
          <w:tcPr>
            <w:tcW w:w="1266" w:type="dxa"/>
            <w:vAlign w:val="center"/>
          </w:tcPr>
          <w:p w:rsidR="003515BD" w:rsidRDefault="00A9146D">
            <w:pPr>
              <w:jc w:val="left"/>
            </w:pPr>
            <w:r>
              <w:rPr>
                <w:color w:val="000000"/>
                <w:sz w:val="24"/>
              </w:rPr>
              <w:t>过去五年</w:t>
            </w:r>
          </w:p>
        </w:tc>
        <w:tc>
          <w:tcPr>
            <w:tcW w:w="1267" w:type="dxa"/>
            <w:vAlign w:val="center"/>
          </w:tcPr>
          <w:p w:rsidR="003515BD" w:rsidRDefault="00A9146D">
            <w:pPr>
              <w:jc w:val="center"/>
            </w:pPr>
            <w:r>
              <w:rPr>
                <w:color w:val="000000"/>
                <w:sz w:val="24"/>
              </w:rPr>
              <w:t>60.52%</w:t>
            </w:r>
          </w:p>
        </w:tc>
        <w:tc>
          <w:tcPr>
            <w:tcW w:w="1267" w:type="dxa"/>
            <w:vAlign w:val="center"/>
          </w:tcPr>
          <w:p w:rsidR="003515BD" w:rsidRDefault="00A9146D">
            <w:pPr>
              <w:jc w:val="center"/>
            </w:pPr>
            <w:r>
              <w:rPr>
                <w:color w:val="000000"/>
                <w:sz w:val="24"/>
              </w:rPr>
              <w:t>0.39%</w:t>
            </w:r>
          </w:p>
        </w:tc>
        <w:tc>
          <w:tcPr>
            <w:tcW w:w="1267" w:type="dxa"/>
            <w:vAlign w:val="center"/>
          </w:tcPr>
          <w:p w:rsidR="003515BD" w:rsidRDefault="00A9146D">
            <w:pPr>
              <w:jc w:val="center"/>
            </w:pPr>
            <w:r>
              <w:rPr>
                <w:color w:val="000000"/>
                <w:sz w:val="24"/>
              </w:rPr>
              <w:t>21.63%</w:t>
            </w:r>
          </w:p>
        </w:tc>
        <w:tc>
          <w:tcPr>
            <w:tcW w:w="1267" w:type="dxa"/>
            <w:vAlign w:val="center"/>
          </w:tcPr>
          <w:p w:rsidR="003515BD" w:rsidRDefault="00A9146D">
            <w:pPr>
              <w:jc w:val="center"/>
            </w:pPr>
            <w:r>
              <w:rPr>
                <w:color w:val="000000"/>
                <w:sz w:val="24"/>
              </w:rPr>
              <w:t>0.62%</w:t>
            </w:r>
          </w:p>
        </w:tc>
        <w:tc>
          <w:tcPr>
            <w:tcW w:w="1267" w:type="dxa"/>
            <w:vAlign w:val="center"/>
          </w:tcPr>
          <w:p w:rsidR="003515BD" w:rsidRDefault="00A9146D">
            <w:pPr>
              <w:jc w:val="center"/>
            </w:pPr>
            <w:r>
              <w:rPr>
                <w:color w:val="000000"/>
                <w:sz w:val="24"/>
              </w:rPr>
              <w:t>38.89%</w:t>
            </w:r>
          </w:p>
        </w:tc>
        <w:tc>
          <w:tcPr>
            <w:tcW w:w="1267" w:type="dxa"/>
            <w:vAlign w:val="center"/>
          </w:tcPr>
          <w:p w:rsidR="003515BD" w:rsidRDefault="00A9146D">
            <w:pPr>
              <w:jc w:val="center"/>
            </w:pPr>
            <w:r>
              <w:rPr>
                <w:color w:val="000000"/>
                <w:sz w:val="24"/>
              </w:rPr>
              <w:t>-0.23%</w:t>
            </w:r>
          </w:p>
        </w:tc>
      </w:tr>
      <w:tr w:rsidR="003515BD">
        <w:trPr>
          <w:jc w:val="center"/>
        </w:trPr>
        <w:tc>
          <w:tcPr>
            <w:tcW w:w="1266" w:type="dxa"/>
            <w:vAlign w:val="center"/>
          </w:tcPr>
          <w:p w:rsidR="003515BD" w:rsidRDefault="00A9146D">
            <w:pPr>
              <w:jc w:val="left"/>
            </w:pPr>
            <w:r>
              <w:rPr>
                <w:color w:val="000000"/>
                <w:sz w:val="24"/>
              </w:rPr>
              <w:t>自基金合同生效起至今</w:t>
            </w:r>
          </w:p>
        </w:tc>
        <w:tc>
          <w:tcPr>
            <w:tcW w:w="1267" w:type="dxa"/>
            <w:vAlign w:val="center"/>
          </w:tcPr>
          <w:p w:rsidR="003515BD" w:rsidRDefault="00A9146D">
            <w:pPr>
              <w:jc w:val="center"/>
            </w:pPr>
            <w:r>
              <w:rPr>
                <w:color w:val="000000"/>
                <w:sz w:val="24"/>
              </w:rPr>
              <w:t>61.63%</w:t>
            </w:r>
          </w:p>
        </w:tc>
        <w:tc>
          <w:tcPr>
            <w:tcW w:w="1267" w:type="dxa"/>
            <w:vAlign w:val="center"/>
          </w:tcPr>
          <w:p w:rsidR="003515BD" w:rsidRDefault="00A9146D">
            <w:pPr>
              <w:jc w:val="center"/>
            </w:pPr>
            <w:r>
              <w:rPr>
                <w:color w:val="000000"/>
                <w:sz w:val="24"/>
              </w:rPr>
              <w:t>0.38%</w:t>
            </w:r>
          </w:p>
        </w:tc>
        <w:tc>
          <w:tcPr>
            <w:tcW w:w="1267" w:type="dxa"/>
            <w:vAlign w:val="center"/>
          </w:tcPr>
          <w:p w:rsidR="003515BD" w:rsidRDefault="00A9146D">
            <w:pPr>
              <w:jc w:val="center"/>
            </w:pPr>
            <w:r>
              <w:rPr>
                <w:color w:val="000000"/>
                <w:sz w:val="24"/>
              </w:rPr>
              <w:t>21.94%</w:t>
            </w:r>
          </w:p>
        </w:tc>
        <w:tc>
          <w:tcPr>
            <w:tcW w:w="1267" w:type="dxa"/>
            <w:vAlign w:val="center"/>
          </w:tcPr>
          <w:p w:rsidR="003515BD" w:rsidRDefault="00A9146D">
            <w:pPr>
              <w:jc w:val="center"/>
            </w:pPr>
            <w:r>
              <w:rPr>
                <w:color w:val="000000"/>
                <w:sz w:val="24"/>
              </w:rPr>
              <w:t>0.62%</w:t>
            </w:r>
          </w:p>
        </w:tc>
        <w:tc>
          <w:tcPr>
            <w:tcW w:w="1267" w:type="dxa"/>
            <w:vAlign w:val="center"/>
          </w:tcPr>
          <w:p w:rsidR="003515BD" w:rsidRDefault="00A9146D">
            <w:pPr>
              <w:jc w:val="center"/>
            </w:pPr>
            <w:r>
              <w:rPr>
                <w:color w:val="000000"/>
                <w:sz w:val="24"/>
              </w:rPr>
              <w:t>39.69%</w:t>
            </w:r>
          </w:p>
        </w:tc>
        <w:tc>
          <w:tcPr>
            <w:tcW w:w="1267" w:type="dxa"/>
            <w:vAlign w:val="center"/>
          </w:tcPr>
          <w:p w:rsidR="003515BD" w:rsidRDefault="00A9146D">
            <w:pPr>
              <w:jc w:val="center"/>
            </w:pPr>
            <w:r>
              <w:rPr>
                <w:color w:val="000000"/>
                <w:sz w:val="24"/>
              </w:rPr>
              <w:t>-0.24%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交银施罗德周期回报灵活配置混合型证券投资基金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lastRenderedPageBreak/>
        <w:t>1</w:t>
      </w:r>
      <w:r w:rsidRPr="007F52FA">
        <w:rPr>
          <w:color w:val="000000"/>
          <w:sz w:val="24"/>
        </w:rPr>
        <w:t>．</w:t>
      </w:r>
      <w:r w:rsidR="0042785F" w:rsidRPr="007F52FA">
        <w:rPr>
          <w:color w:val="000000"/>
          <w:sz w:val="24"/>
        </w:rPr>
        <w:t>交银周期回报灵活配置混合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2014</w:t>
      </w:r>
      <w:r w:rsidRPr="007F52FA">
        <w:rPr>
          <w:color w:val="000000"/>
          <w:sz w:val="24"/>
        </w:rPr>
        <w:t>年</w:t>
      </w:r>
      <w:r w:rsidRPr="007F52FA">
        <w:rPr>
          <w:color w:val="000000"/>
          <w:sz w:val="24"/>
        </w:rPr>
        <w:t>5</w:t>
      </w:r>
      <w:r w:rsidRPr="007F52FA">
        <w:rPr>
          <w:color w:val="000000"/>
          <w:sz w:val="24"/>
        </w:rPr>
        <w:t>月</w:t>
      </w:r>
      <w:r w:rsidRPr="007F52FA">
        <w:rPr>
          <w:color w:val="000000"/>
          <w:sz w:val="24"/>
        </w:rPr>
        <w:t>22</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交银周期回报灵活配置混合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lastRenderedPageBreak/>
        <w:t>2020</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3515BD">
        <w:trPr>
          <w:jc w:val="center"/>
        </w:trPr>
        <w:tc>
          <w:tcPr>
            <w:tcW w:w="946" w:type="dxa"/>
            <w:vAlign w:val="center"/>
          </w:tcPr>
          <w:p w:rsidR="003515BD" w:rsidRDefault="00A9146D">
            <w:pPr>
              <w:jc w:val="center"/>
            </w:pPr>
            <w:r>
              <w:rPr>
                <w:color w:val="000000"/>
                <w:sz w:val="24"/>
              </w:rPr>
              <w:t>李娜</w:t>
            </w:r>
          </w:p>
        </w:tc>
        <w:tc>
          <w:tcPr>
            <w:tcW w:w="924" w:type="dxa"/>
            <w:vAlign w:val="center"/>
          </w:tcPr>
          <w:p w:rsidR="003515BD" w:rsidRDefault="00A9146D">
            <w:pPr>
              <w:jc w:val="center"/>
            </w:pPr>
            <w:r>
              <w:rPr>
                <w:color w:val="000000"/>
                <w:sz w:val="24"/>
              </w:rPr>
              <w:t>交银周期回报灵活配置混合、交银新回报灵活配置混合、交银多策略回报灵活配置混合、交银优选回报灵活配置混合、交银优择回报灵活配置混合、</w:t>
            </w:r>
            <w:r>
              <w:rPr>
                <w:color w:val="000000"/>
                <w:sz w:val="24"/>
              </w:rPr>
              <w:lastRenderedPageBreak/>
              <w:t>交银瑞鑫定期开放灵活配置混合、交银裕祥纯债债券、交银恒益灵活配置混合的基金经理</w:t>
            </w:r>
          </w:p>
        </w:tc>
        <w:tc>
          <w:tcPr>
            <w:tcW w:w="1202" w:type="dxa"/>
            <w:vAlign w:val="center"/>
          </w:tcPr>
          <w:p w:rsidR="003515BD" w:rsidRDefault="00A9146D">
            <w:pPr>
              <w:jc w:val="center"/>
            </w:pPr>
            <w:r>
              <w:rPr>
                <w:color w:val="000000"/>
                <w:sz w:val="24"/>
              </w:rPr>
              <w:lastRenderedPageBreak/>
              <w:t>2015-08-04</w:t>
            </w:r>
          </w:p>
        </w:tc>
        <w:tc>
          <w:tcPr>
            <w:tcW w:w="1300" w:type="dxa"/>
            <w:vAlign w:val="center"/>
          </w:tcPr>
          <w:p w:rsidR="003515BD" w:rsidRDefault="00A9146D">
            <w:pPr>
              <w:jc w:val="center"/>
            </w:pPr>
            <w:r>
              <w:rPr>
                <w:color w:val="000000"/>
                <w:sz w:val="24"/>
              </w:rPr>
              <w:t>2020-12-19</w:t>
            </w:r>
          </w:p>
        </w:tc>
        <w:tc>
          <w:tcPr>
            <w:tcW w:w="1245" w:type="dxa"/>
            <w:vAlign w:val="center"/>
          </w:tcPr>
          <w:p w:rsidR="003515BD" w:rsidRDefault="00A9146D">
            <w:pPr>
              <w:jc w:val="center"/>
            </w:pPr>
            <w:r>
              <w:rPr>
                <w:color w:val="000000"/>
                <w:sz w:val="24"/>
              </w:rPr>
              <w:t>10</w:t>
            </w:r>
            <w:r>
              <w:rPr>
                <w:color w:val="000000"/>
                <w:sz w:val="24"/>
              </w:rPr>
              <w:t>年</w:t>
            </w:r>
          </w:p>
        </w:tc>
        <w:tc>
          <w:tcPr>
            <w:tcW w:w="3251" w:type="dxa"/>
            <w:vAlign w:val="center"/>
          </w:tcPr>
          <w:p w:rsidR="003515BD" w:rsidRDefault="00A9146D" w:rsidP="002D07AA">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w:t>
            </w:r>
            <w:r>
              <w:rPr>
                <w:color w:val="000000"/>
                <w:sz w:val="24"/>
              </w:rPr>
              <w:t>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2020</w:t>
            </w:r>
            <w:r>
              <w:rPr>
                <w:color w:val="000000"/>
                <w:sz w:val="24"/>
              </w:rPr>
              <w:t>年</w:t>
            </w:r>
            <w:r>
              <w:rPr>
                <w:color w:val="000000"/>
                <w:sz w:val="24"/>
              </w:rPr>
              <w:t>12</w:t>
            </w:r>
            <w:r>
              <w:rPr>
                <w:color w:val="000000"/>
                <w:sz w:val="24"/>
              </w:rPr>
              <w:lastRenderedPageBreak/>
              <w:t>月</w:t>
            </w:r>
            <w:r>
              <w:rPr>
                <w:color w:val="000000"/>
                <w:sz w:val="24"/>
              </w:rPr>
              <w:t>18</w:t>
            </w:r>
            <w:r>
              <w:rPr>
                <w:color w:val="000000"/>
                <w:sz w:val="24"/>
              </w:rPr>
              <w:t>日担任交银施罗德周期回报灵活配置混合型证券投资基金、交银施罗德新回报灵活配置混合型证券投资基金、交银施罗德多策略回报灵活配置混合型证券投资基金的基金经理。</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w:t>
            </w:r>
            <w:r>
              <w:rPr>
                <w:color w:val="000000"/>
                <w:sz w:val="24"/>
              </w:rPr>
              <w:t>罗德优选回报灵活配置混合型证券投资基金、交银</w:t>
            </w:r>
            <w:r w:rsidR="002D07AA">
              <w:rPr>
                <w:rFonts w:hint="eastAsia"/>
                <w:color w:val="000000"/>
                <w:sz w:val="24"/>
              </w:rPr>
              <w:t>施罗德</w:t>
            </w:r>
            <w:r>
              <w:rPr>
                <w:color w:val="000000"/>
                <w:sz w:val="24"/>
              </w:rPr>
              <w:t>优择回报灵活配置混合型证券投资基金的基金经理。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日担任交银施罗德瑞鑫定期开放灵活配置混合型证券投资基金的基金经理。</w:t>
            </w:r>
            <w:r>
              <w:rPr>
                <w:color w:val="000000"/>
                <w:sz w:val="24"/>
              </w:rPr>
              <w:t>2018</w:t>
            </w:r>
            <w:r>
              <w:rPr>
                <w:color w:val="000000"/>
                <w:sz w:val="24"/>
              </w:rPr>
              <w:t>年</w:t>
            </w:r>
            <w:r>
              <w:rPr>
                <w:color w:val="000000"/>
                <w:sz w:val="24"/>
              </w:rPr>
              <w:t>9</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日担任交银施罗德裕祥纯债债券型证券投资基金的基金经理。</w:t>
            </w:r>
            <w:r>
              <w:rPr>
                <w:color w:val="000000"/>
                <w:sz w:val="24"/>
              </w:rPr>
              <w:t>2019</w:t>
            </w:r>
            <w:r>
              <w:rPr>
                <w:color w:val="000000"/>
                <w:sz w:val="24"/>
              </w:rPr>
              <w:t>年</w:t>
            </w:r>
            <w:r>
              <w:rPr>
                <w:color w:val="000000"/>
                <w:sz w:val="24"/>
              </w:rPr>
              <w:t>6</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日担任交银施罗德恒益灵活配置混合型证券投资基金的基金经理。</w:t>
            </w:r>
          </w:p>
        </w:tc>
      </w:tr>
      <w:tr w:rsidR="003515BD">
        <w:trPr>
          <w:jc w:val="center"/>
        </w:trPr>
        <w:tc>
          <w:tcPr>
            <w:tcW w:w="946" w:type="dxa"/>
            <w:vAlign w:val="center"/>
          </w:tcPr>
          <w:p w:rsidR="003515BD" w:rsidRDefault="00A9146D">
            <w:pPr>
              <w:jc w:val="center"/>
            </w:pPr>
            <w:r>
              <w:rPr>
                <w:color w:val="000000"/>
                <w:sz w:val="24"/>
              </w:rPr>
              <w:lastRenderedPageBreak/>
              <w:t>王艺伟</w:t>
            </w:r>
          </w:p>
        </w:tc>
        <w:tc>
          <w:tcPr>
            <w:tcW w:w="924" w:type="dxa"/>
            <w:vAlign w:val="center"/>
          </w:tcPr>
          <w:p w:rsidR="003515BD" w:rsidRDefault="00A9146D">
            <w:pPr>
              <w:jc w:val="center"/>
            </w:pPr>
            <w:r>
              <w:rPr>
                <w:color w:val="000000"/>
                <w:sz w:val="24"/>
              </w:rPr>
              <w:t>交银周期回报灵活配置混合、交银新回报灵活配置混合、交银多策略回报灵活配置混合、交银</w:t>
            </w:r>
            <w:r>
              <w:rPr>
                <w:color w:val="000000"/>
                <w:sz w:val="24"/>
              </w:rPr>
              <w:lastRenderedPageBreak/>
              <w:t>荣鑫灵活配置混合、交银优选回报灵活配置混合、交银优择回报灵活配置混合、交银瑞鑫定期</w:t>
            </w:r>
            <w:r w:rsidR="002D07AA">
              <w:rPr>
                <w:color w:val="000000"/>
                <w:sz w:val="24"/>
              </w:rPr>
              <w:t>开放灵活配置混合、交银恒益灵活配置混合、交银安心收益债券、交银</w:t>
            </w:r>
            <w:r w:rsidR="002D07AA">
              <w:rPr>
                <w:rFonts w:hint="eastAsia"/>
                <w:color w:val="000000"/>
                <w:sz w:val="24"/>
              </w:rPr>
              <w:t>臻</w:t>
            </w:r>
            <w:bookmarkStart w:id="0" w:name="_GoBack"/>
            <w:bookmarkEnd w:id="0"/>
            <w:r>
              <w:rPr>
                <w:color w:val="000000"/>
                <w:sz w:val="24"/>
              </w:rPr>
              <w:t>选回报混合的基金经理</w:t>
            </w:r>
          </w:p>
        </w:tc>
        <w:tc>
          <w:tcPr>
            <w:tcW w:w="1202" w:type="dxa"/>
            <w:vAlign w:val="center"/>
          </w:tcPr>
          <w:p w:rsidR="003515BD" w:rsidRDefault="00A9146D">
            <w:pPr>
              <w:jc w:val="center"/>
            </w:pPr>
            <w:r>
              <w:rPr>
                <w:color w:val="000000"/>
                <w:sz w:val="24"/>
              </w:rPr>
              <w:lastRenderedPageBreak/>
              <w:t>2020-07-09</w:t>
            </w:r>
          </w:p>
        </w:tc>
        <w:tc>
          <w:tcPr>
            <w:tcW w:w="1300" w:type="dxa"/>
            <w:vAlign w:val="center"/>
          </w:tcPr>
          <w:p w:rsidR="003515BD" w:rsidRDefault="00A9146D">
            <w:pPr>
              <w:jc w:val="center"/>
            </w:pPr>
            <w:r>
              <w:rPr>
                <w:color w:val="000000"/>
                <w:sz w:val="24"/>
              </w:rPr>
              <w:t>-</w:t>
            </w:r>
          </w:p>
        </w:tc>
        <w:tc>
          <w:tcPr>
            <w:tcW w:w="1245" w:type="dxa"/>
            <w:vAlign w:val="center"/>
          </w:tcPr>
          <w:p w:rsidR="003515BD" w:rsidRDefault="00A9146D">
            <w:pPr>
              <w:jc w:val="center"/>
            </w:pPr>
            <w:r>
              <w:rPr>
                <w:color w:val="000000"/>
                <w:sz w:val="24"/>
              </w:rPr>
              <w:t>8</w:t>
            </w:r>
            <w:r>
              <w:rPr>
                <w:color w:val="000000"/>
                <w:sz w:val="24"/>
              </w:rPr>
              <w:t>年</w:t>
            </w:r>
          </w:p>
        </w:tc>
        <w:tc>
          <w:tcPr>
            <w:tcW w:w="3251" w:type="dxa"/>
            <w:vAlign w:val="center"/>
          </w:tcPr>
          <w:p w:rsidR="003515BD" w:rsidRDefault="00A9146D">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lastRenderedPageBreak/>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3515BD" w:rsidRDefault="00A9146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3515BD" w:rsidRDefault="00A9146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3515BD" w:rsidRDefault="00A9146D">
      <w:pPr>
        <w:spacing w:before="29" w:line="288" w:lineRule="auto"/>
        <w:ind w:firstLineChars="200" w:firstLine="480"/>
        <w:rPr>
          <w:color w:val="000000"/>
          <w:sz w:val="24"/>
        </w:rPr>
      </w:pPr>
      <w:r>
        <w:rPr>
          <w:color w:val="000000"/>
          <w:sz w:val="24"/>
        </w:rPr>
        <w:t>公司</w:t>
      </w:r>
      <w:r>
        <w:rPr>
          <w:color w:val="000000"/>
          <w:sz w:val="24"/>
        </w:rPr>
        <w:t>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3515BD" w:rsidRDefault="00A9146D">
      <w:pPr>
        <w:spacing w:before="29" w:line="288" w:lineRule="auto"/>
        <w:ind w:firstLineChars="200" w:firstLine="480"/>
        <w:rPr>
          <w:color w:val="000000"/>
          <w:sz w:val="24"/>
        </w:rPr>
      </w:pPr>
      <w:r>
        <w:rPr>
          <w:color w:val="000000"/>
          <w:sz w:val="24"/>
        </w:rPr>
        <w:t>本报告期内，资金面、信用事件以及经济预期波动对于债市影响较大，债市收益率呈现先上后下的走势。十月，债市收益率震荡微幅向下，市场所担忧的诸如债券供给压力逐步得到缓解，资金面也略微趋宽，但是基本面和资金面均没有看到明确的利多拐点。十一月，受部分信用债违约事件冲击，债市收益率明显上行，下旬货币政策方向趋宽，利率债收</w:t>
      </w:r>
      <w:r>
        <w:rPr>
          <w:color w:val="000000"/>
          <w:sz w:val="24"/>
        </w:rPr>
        <w:t>益率下行，信用分化则持续。十二月，货币政策依然友好，叠加市场担心二次疫情冲击，债市收益率进一步下行。</w:t>
      </w:r>
    </w:p>
    <w:p w:rsidR="003515BD" w:rsidRDefault="00A9146D">
      <w:pPr>
        <w:spacing w:before="29" w:line="288" w:lineRule="auto"/>
        <w:ind w:firstLineChars="200" w:firstLine="480"/>
        <w:rPr>
          <w:color w:val="000000"/>
          <w:sz w:val="24"/>
        </w:rPr>
      </w:pPr>
      <w:r>
        <w:rPr>
          <w:color w:val="000000"/>
          <w:sz w:val="24"/>
        </w:rPr>
        <w:t>四季度，十二月市场一度演绎二次疫情逻辑，除此之外更聚焦在疫情后相关需求改善带来的投资机会。可选消费品、顺周期、军工以及新能源赛道表现相对较优，而逆周期赛道表现相对弱势。</w:t>
      </w:r>
    </w:p>
    <w:p w:rsidR="003515BD" w:rsidRDefault="00A9146D">
      <w:pPr>
        <w:spacing w:before="29" w:line="288" w:lineRule="auto"/>
        <w:ind w:firstLineChars="200" w:firstLine="480"/>
        <w:rPr>
          <w:color w:val="000000"/>
          <w:sz w:val="24"/>
        </w:rPr>
      </w:pPr>
      <w:r>
        <w:rPr>
          <w:color w:val="000000"/>
          <w:sz w:val="24"/>
        </w:rPr>
        <w:lastRenderedPageBreak/>
        <w:t>在基金操作中，债券部分我们维持中短久期高等级信用债的底仓配置，并更加关注事件性冲击对于高等级信用的配置时点，以增厚组合收益。权益方面，我们增配了业绩有改善公司资质相对较好的顺周期品种，并适当加大了金融板块的配置比例。本基金继续积极参与权益及</w:t>
      </w:r>
      <w:r>
        <w:rPr>
          <w:color w:val="000000"/>
          <w:sz w:val="24"/>
        </w:rPr>
        <w:t>转债的一级申购。</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2021</w:t>
      </w:r>
      <w:r w:rsidRPr="007F52FA">
        <w:rPr>
          <w:color w:val="000000"/>
          <w:sz w:val="24"/>
        </w:rPr>
        <w:t>年一季度，我们维持经济基本面磨底改善的判断，并且在信用风险事件冲击下，货币政策中性偏温和的概率更大。本基金将维持底仓中短久期高等级信用债品种配置，谨慎把握债券供给、避险情绪带来的长债交易性机会。权益方面，我们预计</w:t>
      </w:r>
      <w:r w:rsidRPr="007F52FA">
        <w:rPr>
          <w:color w:val="000000"/>
          <w:sz w:val="24"/>
        </w:rPr>
        <w:t>2021</w:t>
      </w:r>
      <w:r w:rsidRPr="007F52FA">
        <w:rPr>
          <w:color w:val="000000"/>
          <w:sz w:val="24"/>
        </w:rPr>
        <w:t>年市场整体估值提升空间不大，因此我们将更注重对持仓个股业绩持续性以及性价比的研究。在赛道选择上，我们更为关注顺周期和部分成长赛道中的龙头品种。此外，我们将继续积极参加权益及转债的一级申购，努力为投资者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194,911,711.43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14.90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194,911,711.43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14.90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1,018,164,010.30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77.84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1,018,164,010.30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77.84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66,000,000.00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5.05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7,517,195.15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0.57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21,412,389.74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1,308,005,306.62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1,540,625.00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0.12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109,557,208.01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8.45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10,724,096.00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0.83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16,322.72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1,782,460.88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10,719,974.64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0.83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39,719,968.47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3.06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16,074,199.14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15,649.20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4,712,946.10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lastRenderedPageBreak/>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48,261.27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194,911,711.43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15.03</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3515BD">
        <w:trPr>
          <w:jc w:val="center"/>
        </w:trPr>
        <w:tc>
          <w:tcPr>
            <w:tcW w:w="850" w:type="dxa"/>
            <w:vAlign w:val="center"/>
          </w:tcPr>
          <w:p w:rsidR="003515BD" w:rsidRDefault="00A9146D">
            <w:pPr>
              <w:jc w:val="center"/>
            </w:pPr>
            <w:r>
              <w:rPr>
                <w:color w:val="000000"/>
                <w:sz w:val="24"/>
              </w:rPr>
              <w:t>1</w:t>
            </w:r>
          </w:p>
        </w:tc>
        <w:tc>
          <w:tcPr>
            <w:tcW w:w="1327" w:type="dxa"/>
            <w:vAlign w:val="center"/>
          </w:tcPr>
          <w:p w:rsidR="003515BD" w:rsidRDefault="00A9146D">
            <w:pPr>
              <w:jc w:val="center"/>
            </w:pPr>
            <w:r>
              <w:rPr>
                <w:color w:val="000000"/>
                <w:sz w:val="24"/>
              </w:rPr>
              <w:t>002271</w:t>
            </w:r>
          </w:p>
        </w:tc>
        <w:tc>
          <w:tcPr>
            <w:tcW w:w="1769" w:type="dxa"/>
            <w:vAlign w:val="center"/>
          </w:tcPr>
          <w:p w:rsidR="003515BD" w:rsidRDefault="00A9146D">
            <w:pPr>
              <w:jc w:val="center"/>
            </w:pPr>
            <w:r>
              <w:rPr>
                <w:color w:val="000000"/>
                <w:sz w:val="24"/>
              </w:rPr>
              <w:t>东方雨虹</w:t>
            </w:r>
          </w:p>
        </w:tc>
        <w:tc>
          <w:tcPr>
            <w:tcW w:w="1327" w:type="dxa"/>
            <w:vAlign w:val="center"/>
          </w:tcPr>
          <w:p w:rsidR="003515BD" w:rsidRDefault="00A9146D">
            <w:pPr>
              <w:jc w:val="right"/>
            </w:pPr>
            <w:r>
              <w:rPr>
                <w:color w:val="000000"/>
                <w:sz w:val="24"/>
              </w:rPr>
              <w:t>339,156</w:t>
            </w:r>
          </w:p>
        </w:tc>
        <w:tc>
          <w:tcPr>
            <w:tcW w:w="1915" w:type="dxa"/>
            <w:vAlign w:val="center"/>
          </w:tcPr>
          <w:p w:rsidR="003515BD" w:rsidRDefault="00A9146D">
            <w:pPr>
              <w:jc w:val="right"/>
            </w:pPr>
            <w:r>
              <w:rPr>
                <w:color w:val="000000"/>
                <w:sz w:val="24"/>
              </w:rPr>
              <w:t>13,159,252.80</w:t>
            </w:r>
          </w:p>
        </w:tc>
        <w:tc>
          <w:tcPr>
            <w:tcW w:w="1680" w:type="dxa"/>
            <w:vAlign w:val="center"/>
          </w:tcPr>
          <w:p w:rsidR="003515BD" w:rsidRDefault="00A9146D">
            <w:pPr>
              <w:jc w:val="right"/>
            </w:pPr>
            <w:r>
              <w:rPr>
                <w:color w:val="000000"/>
                <w:sz w:val="24"/>
              </w:rPr>
              <w:t>1.01</w:t>
            </w:r>
          </w:p>
        </w:tc>
      </w:tr>
      <w:tr w:rsidR="003515BD">
        <w:trPr>
          <w:jc w:val="center"/>
        </w:trPr>
        <w:tc>
          <w:tcPr>
            <w:tcW w:w="850" w:type="dxa"/>
            <w:vAlign w:val="center"/>
          </w:tcPr>
          <w:p w:rsidR="003515BD" w:rsidRDefault="00A9146D">
            <w:pPr>
              <w:jc w:val="center"/>
            </w:pPr>
            <w:r>
              <w:rPr>
                <w:color w:val="000000"/>
                <w:sz w:val="24"/>
              </w:rPr>
              <w:t>2</w:t>
            </w:r>
          </w:p>
        </w:tc>
        <w:tc>
          <w:tcPr>
            <w:tcW w:w="1327" w:type="dxa"/>
            <w:vAlign w:val="center"/>
          </w:tcPr>
          <w:p w:rsidR="003515BD" w:rsidRDefault="00A9146D">
            <w:pPr>
              <w:jc w:val="center"/>
            </w:pPr>
            <w:r>
              <w:rPr>
                <w:color w:val="000000"/>
                <w:sz w:val="24"/>
              </w:rPr>
              <w:t>002493</w:t>
            </w:r>
          </w:p>
        </w:tc>
        <w:tc>
          <w:tcPr>
            <w:tcW w:w="1769" w:type="dxa"/>
            <w:vAlign w:val="center"/>
          </w:tcPr>
          <w:p w:rsidR="003515BD" w:rsidRDefault="00A9146D">
            <w:pPr>
              <w:jc w:val="center"/>
            </w:pPr>
            <w:r>
              <w:rPr>
                <w:color w:val="000000"/>
                <w:sz w:val="24"/>
              </w:rPr>
              <w:t>荣盛石化</w:t>
            </w:r>
          </w:p>
        </w:tc>
        <w:tc>
          <w:tcPr>
            <w:tcW w:w="1327" w:type="dxa"/>
            <w:vAlign w:val="center"/>
          </w:tcPr>
          <w:p w:rsidR="003515BD" w:rsidRDefault="00A9146D">
            <w:pPr>
              <w:jc w:val="right"/>
            </w:pPr>
            <w:r>
              <w:rPr>
                <w:color w:val="000000"/>
                <w:sz w:val="24"/>
              </w:rPr>
              <w:t>444,000</w:t>
            </w:r>
          </w:p>
        </w:tc>
        <w:tc>
          <w:tcPr>
            <w:tcW w:w="1915" w:type="dxa"/>
            <w:vAlign w:val="center"/>
          </w:tcPr>
          <w:p w:rsidR="003515BD" w:rsidRDefault="00A9146D">
            <w:pPr>
              <w:jc w:val="right"/>
            </w:pPr>
            <w:r>
              <w:rPr>
                <w:color w:val="000000"/>
                <w:sz w:val="24"/>
              </w:rPr>
              <w:t>12,258,840.00</w:t>
            </w:r>
          </w:p>
        </w:tc>
        <w:tc>
          <w:tcPr>
            <w:tcW w:w="1680" w:type="dxa"/>
            <w:vAlign w:val="center"/>
          </w:tcPr>
          <w:p w:rsidR="003515BD" w:rsidRDefault="00A9146D">
            <w:pPr>
              <w:jc w:val="right"/>
            </w:pPr>
            <w:r>
              <w:rPr>
                <w:color w:val="000000"/>
                <w:sz w:val="24"/>
              </w:rPr>
              <w:t>0.95</w:t>
            </w:r>
          </w:p>
        </w:tc>
      </w:tr>
      <w:tr w:rsidR="003515BD">
        <w:trPr>
          <w:jc w:val="center"/>
        </w:trPr>
        <w:tc>
          <w:tcPr>
            <w:tcW w:w="850" w:type="dxa"/>
            <w:vAlign w:val="center"/>
          </w:tcPr>
          <w:p w:rsidR="003515BD" w:rsidRDefault="00A9146D">
            <w:pPr>
              <w:jc w:val="center"/>
            </w:pPr>
            <w:r>
              <w:rPr>
                <w:color w:val="000000"/>
                <w:sz w:val="24"/>
              </w:rPr>
              <w:t>3</w:t>
            </w:r>
          </w:p>
        </w:tc>
        <w:tc>
          <w:tcPr>
            <w:tcW w:w="1327" w:type="dxa"/>
            <w:vAlign w:val="center"/>
          </w:tcPr>
          <w:p w:rsidR="003515BD" w:rsidRDefault="00A9146D">
            <w:pPr>
              <w:jc w:val="center"/>
            </w:pPr>
            <w:r>
              <w:rPr>
                <w:color w:val="000000"/>
                <w:sz w:val="24"/>
              </w:rPr>
              <w:t>002064</w:t>
            </w:r>
          </w:p>
        </w:tc>
        <w:tc>
          <w:tcPr>
            <w:tcW w:w="1769" w:type="dxa"/>
            <w:vAlign w:val="center"/>
          </w:tcPr>
          <w:p w:rsidR="003515BD" w:rsidRDefault="00A9146D">
            <w:pPr>
              <w:jc w:val="center"/>
            </w:pPr>
            <w:r>
              <w:rPr>
                <w:color w:val="000000"/>
                <w:sz w:val="24"/>
              </w:rPr>
              <w:t>华峰化学</w:t>
            </w:r>
          </w:p>
        </w:tc>
        <w:tc>
          <w:tcPr>
            <w:tcW w:w="1327" w:type="dxa"/>
            <w:vAlign w:val="center"/>
          </w:tcPr>
          <w:p w:rsidR="003515BD" w:rsidRDefault="00A9146D">
            <w:pPr>
              <w:jc w:val="right"/>
            </w:pPr>
            <w:r>
              <w:rPr>
                <w:color w:val="000000"/>
                <w:sz w:val="24"/>
              </w:rPr>
              <w:t>1,198,600</w:t>
            </w:r>
          </w:p>
        </w:tc>
        <w:tc>
          <w:tcPr>
            <w:tcW w:w="1915" w:type="dxa"/>
            <w:vAlign w:val="center"/>
          </w:tcPr>
          <w:p w:rsidR="003515BD" w:rsidRDefault="00A9146D">
            <w:pPr>
              <w:jc w:val="right"/>
            </w:pPr>
            <w:r>
              <w:rPr>
                <w:color w:val="000000"/>
                <w:sz w:val="24"/>
              </w:rPr>
              <w:t>12,093,874.00</w:t>
            </w:r>
          </w:p>
        </w:tc>
        <w:tc>
          <w:tcPr>
            <w:tcW w:w="1680" w:type="dxa"/>
            <w:vAlign w:val="center"/>
          </w:tcPr>
          <w:p w:rsidR="003515BD" w:rsidRDefault="00A9146D">
            <w:pPr>
              <w:jc w:val="right"/>
            </w:pPr>
            <w:r>
              <w:rPr>
                <w:color w:val="000000"/>
                <w:sz w:val="24"/>
              </w:rPr>
              <w:t>0.93</w:t>
            </w:r>
          </w:p>
        </w:tc>
      </w:tr>
      <w:tr w:rsidR="003515BD">
        <w:trPr>
          <w:jc w:val="center"/>
        </w:trPr>
        <w:tc>
          <w:tcPr>
            <w:tcW w:w="850" w:type="dxa"/>
            <w:vAlign w:val="center"/>
          </w:tcPr>
          <w:p w:rsidR="003515BD" w:rsidRDefault="00A9146D">
            <w:pPr>
              <w:jc w:val="center"/>
            </w:pPr>
            <w:r>
              <w:rPr>
                <w:color w:val="000000"/>
                <w:sz w:val="24"/>
              </w:rPr>
              <w:t>4</w:t>
            </w:r>
          </w:p>
        </w:tc>
        <w:tc>
          <w:tcPr>
            <w:tcW w:w="1327" w:type="dxa"/>
            <w:vAlign w:val="center"/>
          </w:tcPr>
          <w:p w:rsidR="003515BD" w:rsidRDefault="00A9146D">
            <w:pPr>
              <w:jc w:val="center"/>
            </w:pPr>
            <w:r>
              <w:rPr>
                <w:color w:val="000000"/>
                <w:sz w:val="24"/>
              </w:rPr>
              <w:t>601601</w:t>
            </w:r>
          </w:p>
        </w:tc>
        <w:tc>
          <w:tcPr>
            <w:tcW w:w="1769" w:type="dxa"/>
            <w:vAlign w:val="center"/>
          </w:tcPr>
          <w:p w:rsidR="003515BD" w:rsidRDefault="00A9146D">
            <w:pPr>
              <w:jc w:val="center"/>
            </w:pPr>
            <w:r>
              <w:rPr>
                <w:color w:val="000000"/>
                <w:sz w:val="24"/>
              </w:rPr>
              <w:t>中国太保</w:t>
            </w:r>
          </w:p>
        </w:tc>
        <w:tc>
          <w:tcPr>
            <w:tcW w:w="1327" w:type="dxa"/>
            <w:vAlign w:val="center"/>
          </w:tcPr>
          <w:p w:rsidR="003515BD" w:rsidRDefault="00A9146D">
            <w:pPr>
              <w:jc w:val="right"/>
            </w:pPr>
            <w:r>
              <w:rPr>
                <w:color w:val="000000"/>
                <w:sz w:val="24"/>
              </w:rPr>
              <w:t>309,213</w:t>
            </w:r>
          </w:p>
        </w:tc>
        <w:tc>
          <w:tcPr>
            <w:tcW w:w="1915" w:type="dxa"/>
            <w:vAlign w:val="center"/>
          </w:tcPr>
          <w:p w:rsidR="003515BD" w:rsidRDefault="00A9146D">
            <w:pPr>
              <w:jc w:val="right"/>
            </w:pPr>
            <w:r>
              <w:rPr>
                <w:color w:val="000000"/>
                <w:sz w:val="24"/>
              </w:rPr>
              <w:t>11,873,779.20</w:t>
            </w:r>
          </w:p>
        </w:tc>
        <w:tc>
          <w:tcPr>
            <w:tcW w:w="1680" w:type="dxa"/>
            <w:vAlign w:val="center"/>
          </w:tcPr>
          <w:p w:rsidR="003515BD" w:rsidRDefault="00A9146D">
            <w:pPr>
              <w:jc w:val="right"/>
            </w:pPr>
            <w:r>
              <w:rPr>
                <w:color w:val="000000"/>
                <w:sz w:val="24"/>
              </w:rPr>
              <w:t>0.92</w:t>
            </w:r>
          </w:p>
        </w:tc>
      </w:tr>
      <w:tr w:rsidR="003515BD">
        <w:trPr>
          <w:jc w:val="center"/>
        </w:trPr>
        <w:tc>
          <w:tcPr>
            <w:tcW w:w="850" w:type="dxa"/>
            <w:vAlign w:val="center"/>
          </w:tcPr>
          <w:p w:rsidR="003515BD" w:rsidRDefault="00A9146D">
            <w:pPr>
              <w:jc w:val="center"/>
            </w:pPr>
            <w:r>
              <w:rPr>
                <w:color w:val="000000"/>
                <w:sz w:val="24"/>
              </w:rPr>
              <w:t>5</w:t>
            </w:r>
          </w:p>
        </w:tc>
        <w:tc>
          <w:tcPr>
            <w:tcW w:w="1327" w:type="dxa"/>
            <w:vAlign w:val="center"/>
          </w:tcPr>
          <w:p w:rsidR="003515BD" w:rsidRDefault="00A9146D">
            <w:pPr>
              <w:jc w:val="center"/>
            </w:pPr>
            <w:r>
              <w:rPr>
                <w:color w:val="000000"/>
                <w:sz w:val="24"/>
              </w:rPr>
              <w:t>600048</w:t>
            </w:r>
          </w:p>
        </w:tc>
        <w:tc>
          <w:tcPr>
            <w:tcW w:w="1769" w:type="dxa"/>
            <w:vAlign w:val="center"/>
          </w:tcPr>
          <w:p w:rsidR="003515BD" w:rsidRDefault="00A9146D">
            <w:pPr>
              <w:jc w:val="center"/>
            </w:pPr>
            <w:r>
              <w:rPr>
                <w:color w:val="000000"/>
                <w:sz w:val="24"/>
              </w:rPr>
              <w:t>保利地产</w:t>
            </w:r>
          </w:p>
        </w:tc>
        <w:tc>
          <w:tcPr>
            <w:tcW w:w="1327" w:type="dxa"/>
            <w:vAlign w:val="center"/>
          </w:tcPr>
          <w:p w:rsidR="003515BD" w:rsidRDefault="00A9146D">
            <w:pPr>
              <w:jc w:val="right"/>
            </w:pPr>
            <w:r>
              <w:rPr>
                <w:color w:val="000000"/>
                <w:sz w:val="24"/>
              </w:rPr>
              <w:t>659,200</w:t>
            </w:r>
          </w:p>
        </w:tc>
        <w:tc>
          <w:tcPr>
            <w:tcW w:w="1915" w:type="dxa"/>
            <w:vAlign w:val="center"/>
          </w:tcPr>
          <w:p w:rsidR="003515BD" w:rsidRDefault="00A9146D">
            <w:pPr>
              <w:jc w:val="right"/>
            </w:pPr>
            <w:r>
              <w:rPr>
                <w:color w:val="000000"/>
                <w:sz w:val="24"/>
              </w:rPr>
              <w:t>10,428,544.00</w:t>
            </w:r>
          </w:p>
        </w:tc>
        <w:tc>
          <w:tcPr>
            <w:tcW w:w="1680" w:type="dxa"/>
            <w:vAlign w:val="center"/>
          </w:tcPr>
          <w:p w:rsidR="003515BD" w:rsidRDefault="00A9146D">
            <w:pPr>
              <w:jc w:val="right"/>
            </w:pPr>
            <w:r>
              <w:rPr>
                <w:color w:val="000000"/>
                <w:sz w:val="24"/>
              </w:rPr>
              <w:t>0.80</w:t>
            </w:r>
          </w:p>
        </w:tc>
      </w:tr>
      <w:tr w:rsidR="003515BD">
        <w:trPr>
          <w:jc w:val="center"/>
        </w:trPr>
        <w:tc>
          <w:tcPr>
            <w:tcW w:w="850" w:type="dxa"/>
            <w:vAlign w:val="center"/>
          </w:tcPr>
          <w:p w:rsidR="003515BD" w:rsidRDefault="00A9146D">
            <w:pPr>
              <w:jc w:val="center"/>
            </w:pPr>
            <w:r>
              <w:rPr>
                <w:color w:val="000000"/>
                <w:sz w:val="24"/>
              </w:rPr>
              <w:t>6</w:t>
            </w:r>
          </w:p>
        </w:tc>
        <w:tc>
          <w:tcPr>
            <w:tcW w:w="1327" w:type="dxa"/>
            <w:vAlign w:val="center"/>
          </w:tcPr>
          <w:p w:rsidR="003515BD" w:rsidRDefault="00A9146D">
            <w:pPr>
              <w:jc w:val="center"/>
            </w:pPr>
            <w:r>
              <w:rPr>
                <w:color w:val="000000"/>
                <w:sz w:val="24"/>
              </w:rPr>
              <w:t>601838</w:t>
            </w:r>
          </w:p>
        </w:tc>
        <w:tc>
          <w:tcPr>
            <w:tcW w:w="1769" w:type="dxa"/>
            <w:vAlign w:val="center"/>
          </w:tcPr>
          <w:p w:rsidR="003515BD" w:rsidRDefault="00A9146D">
            <w:pPr>
              <w:jc w:val="center"/>
            </w:pPr>
            <w:r>
              <w:rPr>
                <w:color w:val="000000"/>
                <w:sz w:val="24"/>
              </w:rPr>
              <w:t>成都银行</w:t>
            </w:r>
          </w:p>
        </w:tc>
        <w:tc>
          <w:tcPr>
            <w:tcW w:w="1327" w:type="dxa"/>
            <w:vAlign w:val="center"/>
          </w:tcPr>
          <w:p w:rsidR="003515BD" w:rsidRDefault="00A9146D">
            <w:pPr>
              <w:jc w:val="right"/>
            </w:pPr>
            <w:r>
              <w:rPr>
                <w:color w:val="000000"/>
                <w:sz w:val="24"/>
              </w:rPr>
              <w:t>762,657</w:t>
            </w:r>
          </w:p>
        </w:tc>
        <w:tc>
          <w:tcPr>
            <w:tcW w:w="1915" w:type="dxa"/>
            <w:vAlign w:val="center"/>
          </w:tcPr>
          <w:p w:rsidR="003515BD" w:rsidRDefault="00A9146D">
            <w:pPr>
              <w:jc w:val="right"/>
            </w:pPr>
            <w:r>
              <w:rPr>
                <w:color w:val="000000"/>
                <w:sz w:val="24"/>
              </w:rPr>
              <w:t>8,137,550.19</w:t>
            </w:r>
          </w:p>
        </w:tc>
        <w:tc>
          <w:tcPr>
            <w:tcW w:w="1680" w:type="dxa"/>
            <w:vAlign w:val="center"/>
          </w:tcPr>
          <w:p w:rsidR="003515BD" w:rsidRDefault="00A9146D">
            <w:pPr>
              <w:jc w:val="right"/>
            </w:pPr>
            <w:r>
              <w:rPr>
                <w:color w:val="000000"/>
                <w:sz w:val="24"/>
              </w:rPr>
              <w:t>0.63</w:t>
            </w:r>
          </w:p>
        </w:tc>
      </w:tr>
      <w:tr w:rsidR="003515BD">
        <w:trPr>
          <w:jc w:val="center"/>
        </w:trPr>
        <w:tc>
          <w:tcPr>
            <w:tcW w:w="850" w:type="dxa"/>
            <w:vAlign w:val="center"/>
          </w:tcPr>
          <w:p w:rsidR="003515BD" w:rsidRDefault="00A9146D">
            <w:pPr>
              <w:jc w:val="center"/>
            </w:pPr>
            <w:r>
              <w:rPr>
                <w:color w:val="000000"/>
                <w:sz w:val="24"/>
              </w:rPr>
              <w:t>7</w:t>
            </w:r>
          </w:p>
        </w:tc>
        <w:tc>
          <w:tcPr>
            <w:tcW w:w="1327" w:type="dxa"/>
            <w:vAlign w:val="center"/>
          </w:tcPr>
          <w:p w:rsidR="003515BD" w:rsidRDefault="00A9146D">
            <w:pPr>
              <w:jc w:val="center"/>
            </w:pPr>
            <w:r>
              <w:rPr>
                <w:color w:val="000000"/>
                <w:sz w:val="24"/>
              </w:rPr>
              <w:t>002179</w:t>
            </w:r>
          </w:p>
        </w:tc>
        <w:tc>
          <w:tcPr>
            <w:tcW w:w="1769" w:type="dxa"/>
            <w:vAlign w:val="center"/>
          </w:tcPr>
          <w:p w:rsidR="003515BD" w:rsidRDefault="00A9146D">
            <w:pPr>
              <w:jc w:val="center"/>
            </w:pPr>
            <w:r>
              <w:rPr>
                <w:color w:val="000000"/>
                <w:sz w:val="24"/>
              </w:rPr>
              <w:t>中航光电</w:t>
            </w:r>
          </w:p>
        </w:tc>
        <w:tc>
          <w:tcPr>
            <w:tcW w:w="1327" w:type="dxa"/>
            <w:vAlign w:val="center"/>
          </w:tcPr>
          <w:p w:rsidR="003515BD" w:rsidRDefault="00A9146D">
            <w:pPr>
              <w:jc w:val="right"/>
            </w:pPr>
            <w:r>
              <w:rPr>
                <w:color w:val="000000"/>
                <w:sz w:val="24"/>
              </w:rPr>
              <w:t>103,300</w:t>
            </w:r>
          </w:p>
        </w:tc>
        <w:tc>
          <w:tcPr>
            <w:tcW w:w="1915" w:type="dxa"/>
            <w:vAlign w:val="center"/>
          </w:tcPr>
          <w:p w:rsidR="003515BD" w:rsidRDefault="00A9146D">
            <w:pPr>
              <w:jc w:val="right"/>
            </w:pPr>
            <w:r>
              <w:rPr>
                <w:color w:val="000000"/>
                <w:sz w:val="24"/>
              </w:rPr>
              <w:t>8,087,357.00</w:t>
            </w:r>
          </w:p>
        </w:tc>
        <w:tc>
          <w:tcPr>
            <w:tcW w:w="1680" w:type="dxa"/>
            <w:vAlign w:val="center"/>
          </w:tcPr>
          <w:p w:rsidR="003515BD" w:rsidRDefault="00A9146D">
            <w:pPr>
              <w:jc w:val="right"/>
            </w:pPr>
            <w:r>
              <w:rPr>
                <w:color w:val="000000"/>
                <w:sz w:val="24"/>
              </w:rPr>
              <w:t>0.62</w:t>
            </w:r>
          </w:p>
        </w:tc>
      </w:tr>
      <w:tr w:rsidR="003515BD">
        <w:trPr>
          <w:jc w:val="center"/>
        </w:trPr>
        <w:tc>
          <w:tcPr>
            <w:tcW w:w="850" w:type="dxa"/>
            <w:vAlign w:val="center"/>
          </w:tcPr>
          <w:p w:rsidR="003515BD" w:rsidRDefault="00A9146D">
            <w:pPr>
              <w:jc w:val="center"/>
            </w:pPr>
            <w:r>
              <w:rPr>
                <w:color w:val="000000"/>
                <w:sz w:val="24"/>
              </w:rPr>
              <w:t>8</w:t>
            </w:r>
          </w:p>
        </w:tc>
        <w:tc>
          <w:tcPr>
            <w:tcW w:w="1327" w:type="dxa"/>
            <w:vAlign w:val="center"/>
          </w:tcPr>
          <w:p w:rsidR="003515BD" w:rsidRDefault="00A9146D">
            <w:pPr>
              <w:jc w:val="center"/>
            </w:pPr>
            <w:r>
              <w:rPr>
                <w:color w:val="000000"/>
                <w:sz w:val="24"/>
              </w:rPr>
              <w:t>002475</w:t>
            </w:r>
          </w:p>
        </w:tc>
        <w:tc>
          <w:tcPr>
            <w:tcW w:w="1769" w:type="dxa"/>
            <w:vAlign w:val="center"/>
          </w:tcPr>
          <w:p w:rsidR="003515BD" w:rsidRDefault="00A9146D">
            <w:pPr>
              <w:jc w:val="center"/>
            </w:pPr>
            <w:r>
              <w:rPr>
                <w:color w:val="000000"/>
                <w:sz w:val="24"/>
              </w:rPr>
              <w:t>立讯精密</w:t>
            </w:r>
          </w:p>
        </w:tc>
        <w:tc>
          <w:tcPr>
            <w:tcW w:w="1327" w:type="dxa"/>
            <w:vAlign w:val="center"/>
          </w:tcPr>
          <w:p w:rsidR="003515BD" w:rsidRDefault="00A9146D">
            <w:pPr>
              <w:jc w:val="right"/>
            </w:pPr>
            <w:r>
              <w:rPr>
                <w:color w:val="000000"/>
                <w:sz w:val="24"/>
              </w:rPr>
              <w:t>132,077</w:t>
            </w:r>
          </w:p>
        </w:tc>
        <w:tc>
          <w:tcPr>
            <w:tcW w:w="1915" w:type="dxa"/>
            <w:vAlign w:val="center"/>
          </w:tcPr>
          <w:p w:rsidR="003515BD" w:rsidRDefault="00A9146D">
            <w:pPr>
              <w:jc w:val="right"/>
            </w:pPr>
            <w:r>
              <w:rPr>
                <w:color w:val="000000"/>
                <w:sz w:val="24"/>
              </w:rPr>
              <w:t>7,412,161.24</w:t>
            </w:r>
          </w:p>
        </w:tc>
        <w:tc>
          <w:tcPr>
            <w:tcW w:w="1680" w:type="dxa"/>
            <w:vAlign w:val="center"/>
          </w:tcPr>
          <w:p w:rsidR="003515BD" w:rsidRDefault="00A9146D">
            <w:pPr>
              <w:jc w:val="right"/>
            </w:pPr>
            <w:r>
              <w:rPr>
                <w:color w:val="000000"/>
                <w:sz w:val="24"/>
              </w:rPr>
              <w:t>0.57</w:t>
            </w:r>
          </w:p>
        </w:tc>
      </w:tr>
      <w:tr w:rsidR="003515BD">
        <w:trPr>
          <w:jc w:val="center"/>
        </w:trPr>
        <w:tc>
          <w:tcPr>
            <w:tcW w:w="850" w:type="dxa"/>
            <w:vAlign w:val="center"/>
          </w:tcPr>
          <w:p w:rsidR="003515BD" w:rsidRDefault="00A9146D">
            <w:pPr>
              <w:jc w:val="center"/>
            </w:pPr>
            <w:r>
              <w:rPr>
                <w:color w:val="000000"/>
                <w:sz w:val="24"/>
              </w:rPr>
              <w:t>9</w:t>
            </w:r>
          </w:p>
        </w:tc>
        <w:tc>
          <w:tcPr>
            <w:tcW w:w="1327" w:type="dxa"/>
            <w:vAlign w:val="center"/>
          </w:tcPr>
          <w:p w:rsidR="003515BD" w:rsidRDefault="00A9146D">
            <w:pPr>
              <w:jc w:val="center"/>
            </w:pPr>
            <w:r>
              <w:rPr>
                <w:color w:val="000000"/>
                <w:sz w:val="24"/>
              </w:rPr>
              <w:t>601818</w:t>
            </w:r>
          </w:p>
        </w:tc>
        <w:tc>
          <w:tcPr>
            <w:tcW w:w="1769" w:type="dxa"/>
            <w:vAlign w:val="center"/>
          </w:tcPr>
          <w:p w:rsidR="003515BD" w:rsidRDefault="00A9146D">
            <w:pPr>
              <w:jc w:val="center"/>
            </w:pPr>
            <w:r>
              <w:rPr>
                <w:color w:val="000000"/>
                <w:sz w:val="24"/>
              </w:rPr>
              <w:t>光大银行</w:t>
            </w:r>
          </w:p>
        </w:tc>
        <w:tc>
          <w:tcPr>
            <w:tcW w:w="1327" w:type="dxa"/>
            <w:vAlign w:val="center"/>
          </w:tcPr>
          <w:p w:rsidR="003515BD" w:rsidRDefault="00A9146D">
            <w:pPr>
              <w:jc w:val="right"/>
            </w:pPr>
            <w:r>
              <w:rPr>
                <w:color w:val="000000"/>
                <w:sz w:val="24"/>
              </w:rPr>
              <w:t>1,690,100</w:t>
            </w:r>
          </w:p>
        </w:tc>
        <w:tc>
          <w:tcPr>
            <w:tcW w:w="1915" w:type="dxa"/>
            <w:vAlign w:val="center"/>
          </w:tcPr>
          <w:p w:rsidR="003515BD" w:rsidRDefault="00A9146D">
            <w:pPr>
              <w:jc w:val="right"/>
            </w:pPr>
            <w:r>
              <w:rPr>
                <w:color w:val="000000"/>
                <w:sz w:val="24"/>
              </w:rPr>
              <w:t>6,743,499.00</w:t>
            </w:r>
          </w:p>
        </w:tc>
        <w:tc>
          <w:tcPr>
            <w:tcW w:w="1680" w:type="dxa"/>
            <w:vAlign w:val="center"/>
          </w:tcPr>
          <w:p w:rsidR="003515BD" w:rsidRDefault="00A9146D">
            <w:pPr>
              <w:jc w:val="right"/>
            </w:pPr>
            <w:r>
              <w:rPr>
                <w:color w:val="000000"/>
                <w:sz w:val="24"/>
              </w:rPr>
              <w:t>0.52</w:t>
            </w:r>
          </w:p>
        </w:tc>
      </w:tr>
      <w:tr w:rsidR="003515BD">
        <w:trPr>
          <w:jc w:val="center"/>
        </w:trPr>
        <w:tc>
          <w:tcPr>
            <w:tcW w:w="850" w:type="dxa"/>
            <w:vAlign w:val="center"/>
          </w:tcPr>
          <w:p w:rsidR="003515BD" w:rsidRDefault="00A9146D">
            <w:pPr>
              <w:jc w:val="center"/>
            </w:pPr>
            <w:r>
              <w:rPr>
                <w:color w:val="000000"/>
                <w:sz w:val="24"/>
              </w:rPr>
              <w:t>10</w:t>
            </w:r>
          </w:p>
        </w:tc>
        <w:tc>
          <w:tcPr>
            <w:tcW w:w="1327" w:type="dxa"/>
            <w:vAlign w:val="center"/>
          </w:tcPr>
          <w:p w:rsidR="003515BD" w:rsidRDefault="00A9146D">
            <w:pPr>
              <w:jc w:val="center"/>
            </w:pPr>
            <w:r>
              <w:rPr>
                <w:color w:val="000000"/>
                <w:sz w:val="24"/>
              </w:rPr>
              <w:t>002230</w:t>
            </w:r>
          </w:p>
        </w:tc>
        <w:tc>
          <w:tcPr>
            <w:tcW w:w="1769" w:type="dxa"/>
            <w:vAlign w:val="center"/>
          </w:tcPr>
          <w:p w:rsidR="003515BD" w:rsidRDefault="00A9146D">
            <w:pPr>
              <w:jc w:val="center"/>
            </w:pPr>
            <w:r>
              <w:rPr>
                <w:color w:val="000000"/>
                <w:sz w:val="24"/>
              </w:rPr>
              <w:t>科大讯飞</w:t>
            </w:r>
          </w:p>
        </w:tc>
        <w:tc>
          <w:tcPr>
            <w:tcW w:w="1327" w:type="dxa"/>
            <w:vAlign w:val="center"/>
          </w:tcPr>
          <w:p w:rsidR="003515BD" w:rsidRDefault="00A9146D">
            <w:pPr>
              <w:jc w:val="right"/>
            </w:pPr>
            <w:r>
              <w:rPr>
                <w:color w:val="000000"/>
                <w:sz w:val="24"/>
              </w:rPr>
              <w:t>158,900</w:t>
            </w:r>
          </w:p>
        </w:tc>
        <w:tc>
          <w:tcPr>
            <w:tcW w:w="1915" w:type="dxa"/>
            <w:vAlign w:val="center"/>
          </w:tcPr>
          <w:p w:rsidR="003515BD" w:rsidRDefault="00A9146D">
            <w:pPr>
              <w:jc w:val="right"/>
            </w:pPr>
            <w:r>
              <w:rPr>
                <w:color w:val="000000"/>
                <w:sz w:val="24"/>
              </w:rPr>
              <w:t>6,494,243.00</w:t>
            </w:r>
          </w:p>
        </w:tc>
        <w:tc>
          <w:tcPr>
            <w:tcW w:w="1680" w:type="dxa"/>
            <w:vAlign w:val="center"/>
          </w:tcPr>
          <w:p w:rsidR="003515BD" w:rsidRDefault="00A9146D">
            <w:pPr>
              <w:jc w:val="right"/>
            </w:pPr>
            <w:r>
              <w:rPr>
                <w:color w:val="000000"/>
                <w:sz w:val="24"/>
              </w:rPr>
              <w:t>0.50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57,713,330.40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7,920,978.70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0.61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7,920,978.70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0.61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321,737,000.00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24.81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90,019,000.00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6.94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539,750,500.00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41.63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1,023,201.20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0.08</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lastRenderedPageBreak/>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1,018,164,010.30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78.52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3515BD">
        <w:trPr>
          <w:jc w:val="center"/>
        </w:trPr>
        <w:tc>
          <w:tcPr>
            <w:tcW w:w="1075" w:type="dxa"/>
            <w:vAlign w:val="center"/>
          </w:tcPr>
          <w:p w:rsidR="003515BD" w:rsidRDefault="00A9146D">
            <w:pPr>
              <w:jc w:val="center"/>
            </w:pPr>
            <w:r>
              <w:rPr>
                <w:color w:val="000000"/>
                <w:sz w:val="24"/>
              </w:rPr>
              <w:t>1</w:t>
            </w:r>
          </w:p>
        </w:tc>
        <w:tc>
          <w:tcPr>
            <w:tcW w:w="1533" w:type="dxa"/>
            <w:vAlign w:val="center"/>
          </w:tcPr>
          <w:p w:rsidR="003515BD" w:rsidRDefault="00A9146D">
            <w:pPr>
              <w:jc w:val="center"/>
            </w:pPr>
            <w:r>
              <w:rPr>
                <w:color w:val="000000"/>
                <w:sz w:val="24"/>
              </w:rPr>
              <w:t>101901016</w:t>
            </w:r>
          </w:p>
        </w:tc>
        <w:tc>
          <w:tcPr>
            <w:tcW w:w="1533" w:type="dxa"/>
            <w:vAlign w:val="center"/>
          </w:tcPr>
          <w:p w:rsidR="003515BD" w:rsidRDefault="00A9146D">
            <w:pPr>
              <w:jc w:val="center"/>
            </w:pPr>
            <w:r>
              <w:rPr>
                <w:color w:val="000000"/>
                <w:sz w:val="24"/>
              </w:rPr>
              <w:t>19</w:t>
            </w:r>
            <w:r>
              <w:rPr>
                <w:color w:val="000000"/>
                <w:sz w:val="24"/>
              </w:rPr>
              <w:t>王府井集</w:t>
            </w:r>
            <w:r>
              <w:rPr>
                <w:color w:val="000000"/>
                <w:sz w:val="24"/>
              </w:rPr>
              <w:t>MTN001</w:t>
            </w:r>
          </w:p>
        </w:tc>
        <w:tc>
          <w:tcPr>
            <w:tcW w:w="1394" w:type="dxa"/>
            <w:vAlign w:val="center"/>
          </w:tcPr>
          <w:p w:rsidR="003515BD" w:rsidRDefault="00A9146D">
            <w:pPr>
              <w:jc w:val="right"/>
            </w:pPr>
            <w:r>
              <w:rPr>
                <w:color w:val="000000"/>
                <w:sz w:val="24"/>
              </w:rPr>
              <w:t>400,000</w:t>
            </w:r>
          </w:p>
        </w:tc>
        <w:tc>
          <w:tcPr>
            <w:tcW w:w="1944" w:type="dxa"/>
            <w:vAlign w:val="center"/>
          </w:tcPr>
          <w:p w:rsidR="003515BD" w:rsidRDefault="00A9146D">
            <w:pPr>
              <w:jc w:val="right"/>
            </w:pPr>
            <w:r>
              <w:rPr>
                <w:color w:val="000000"/>
                <w:sz w:val="24"/>
              </w:rPr>
              <w:t>40,148,000.00</w:t>
            </w:r>
          </w:p>
        </w:tc>
        <w:tc>
          <w:tcPr>
            <w:tcW w:w="1389" w:type="dxa"/>
            <w:vAlign w:val="center"/>
          </w:tcPr>
          <w:p w:rsidR="003515BD" w:rsidRDefault="00A9146D">
            <w:pPr>
              <w:jc w:val="right"/>
            </w:pPr>
            <w:r>
              <w:rPr>
                <w:color w:val="000000"/>
                <w:sz w:val="24"/>
              </w:rPr>
              <w:t>3.10</w:t>
            </w:r>
          </w:p>
        </w:tc>
      </w:tr>
      <w:tr w:rsidR="003515BD">
        <w:trPr>
          <w:jc w:val="center"/>
        </w:trPr>
        <w:tc>
          <w:tcPr>
            <w:tcW w:w="1075" w:type="dxa"/>
            <w:vAlign w:val="center"/>
          </w:tcPr>
          <w:p w:rsidR="003515BD" w:rsidRDefault="00A9146D">
            <w:pPr>
              <w:jc w:val="center"/>
            </w:pPr>
            <w:r>
              <w:rPr>
                <w:color w:val="000000"/>
                <w:sz w:val="24"/>
              </w:rPr>
              <w:t>2</w:t>
            </w:r>
          </w:p>
        </w:tc>
        <w:tc>
          <w:tcPr>
            <w:tcW w:w="1533" w:type="dxa"/>
            <w:vAlign w:val="center"/>
          </w:tcPr>
          <w:p w:rsidR="003515BD" w:rsidRDefault="00A9146D">
            <w:pPr>
              <w:jc w:val="center"/>
            </w:pPr>
            <w:r>
              <w:rPr>
                <w:color w:val="000000"/>
                <w:sz w:val="24"/>
              </w:rPr>
              <w:t>012003759</w:t>
            </w:r>
          </w:p>
        </w:tc>
        <w:tc>
          <w:tcPr>
            <w:tcW w:w="1533" w:type="dxa"/>
            <w:vAlign w:val="center"/>
          </w:tcPr>
          <w:p w:rsidR="003515BD" w:rsidRDefault="00A9146D">
            <w:pPr>
              <w:jc w:val="center"/>
            </w:pPr>
            <w:r>
              <w:rPr>
                <w:color w:val="000000"/>
                <w:sz w:val="24"/>
              </w:rPr>
              <w:t>20</w:t>
            </w:r>
            <w:r>
              <w:rPr>
                <w:color w:val="000000"/>
                <w:sz w:val="24"/>
              </w:rPr>
              <w:t>东航股</w:t>
            </w:r>
            <w:r>
              <w:rPr>
                <w:color w:val="000000"/>
                <w:sz w:val="24"/>
              </w:rPr>
              <w:t>SCP031</w:t>
            </w:r>
          </w:p>
        </w:tc>
        <w:tc>
          <w:tcPr>
            <w:tcW w:w="1394" w:type="dxa"/>
            <w:vAlign w:val="center"/>
          </w:tcPr>
          <w:p w:rsidR="003515BD" w:rsidRDefault="00A9146D">
            <w:pPr>
              <w:jc w:val="right"/>
            </w:pPr>
            <w:r>
              <w:rPr>
                <w:color w:val="000000"/>
                <w:sz w:val="24"/>
              </w:rPr>
              <w:t>400,000</w:t>
            </w:r>
          </w:p>
        </w:tc>
        <w:tc>
          <w:tcPr>
            <w:tcW w:w="1944" w:type="dxa"/>
            <w:vAlign w:val="center"/>
          </w:tcPr>
          <w:p w:rsidR="003515BD" w:rsidRDefault="00A9146D">
            <w:pPr>
              <w:jc w:val="right"/>
            </w:pPr>
            <w:r>
              <w:rPr>
                <w:color w:val="000000"/>
                <w:sz w:val="24"/>
              </w:rPr>
              <w:t>40,012,000.00</w:t>
            </w:r>
          </w:p>
        </w:tc>
        <w:tc>
          <w:tcPr>
            <w:tcW w:w="1389" w:type="dxa"/>
            <w:vAlign w:val="center"/>
          </w:tcPr>
          <w:p w:rsidR="003515BD" w:rsidRDefault="00A9146D">
            <w:pPr>
              <w:jc w:val="right"/>
            </w:pPr>
            <w:r>
              <w:rPr>
                <w:color w:val="000000"/>
                <w:sz w:val="24"/>
              </w:rPr>
              <w:t>3.09</w:t>
            </w:r>
          </w:p>
        </w:tc>
      </w:tr>
      <w:tr w:rsidR="003515BD">
        <w:trPr>
          <w:jc w:val="center"/>
        </w:trPr>
        <w:tc>
          <w:tcPr>
            <w:tcW w:w="1075" w:type="dxa"/>
            <w:vAlign w:val="center"/>
          </w:tcPr>
          <w:p w:rsidR="003515BD" w:rsidRDefault="00A9146D">
            <w:pPr>
              <w:jc w:val="center"/>
            </w:pPr>
            <w:r>
              <w:rPr>
                <w:color w:val="000000"/>
                <w:sz w:val="24"/>
              </w:rPr>
              <w:t>3</w:t>
            </w:r>
          </w:p>
        </w:tc>
        <w:tc>
          <w:tcPr>
            <w:tcW w:w="1533" w:type="dxa"/>
            <w:vAlign w:val="center"/>
          </w:tcPr>
          <w:p w:rsidR="003515BD" w:rsidRDefault="00A9146D">
            <w:pPr>
              <w:jc w:val="center"/>
            </w:pPr>
            <w:r>
              <w:rPr>
                <w:color w:val="000000"/>
                <w:sz w:val="24"/>
              </w:rPr>
              <w:t>019627</w:t>
            </w:r>
          </w:p>
        </w:tc>
        <w:tc>
          <w:tcPr>
            <w:tcW w:w="1533" w:type="dxa"/>
            <w:vAlign w:val="center"/>
          </w:tcPr>
          <w:p w:rsidR="003515BD" w:rsidRDefault="00A9146D">
            <w:pPr>
              <w:jc w:val="center"/>
            </w:pPr>
            <w:r>
              <w:rPr>
                <w:color w:val="000000"/>
                <w:sz w:val="24"/>
              </w:rPr>
              <w:t>20</w:t>
            </w:r>
            <w:r>
              <w:rPr>
                <w:color w:val="000000"/>
                <w:sz w:val="24"/>
              </w:rPr>
              <w:t>国债</w:t>
            </w:r>
            <w:r>
              <w:rPr>
                <w:color w:val="000000"/>
                <w:sz w:val="24"/>
              </w:rPr>
              <w:t>01</w:t>
            </w:r>
          </w:p>
        </w:tc>
        <w:tc>
          <w:tcPr>
            <w:tcW w:w="1394" w:type="dxa"/>
            <w:vAlign w:val="center"/>
          </w:tcPr>
          <w:p w:rsidR="003515BD" w:rsidRDefault="00A9146D">
            <w:pPr>
              <w:jc w:val="right"/>
            </w:pPr>
            <w:r>
              <w:rPr>
                <w:color w:val="000000"/>
                <w:sz w:val="24"/>
              </w:rPr>
              <w:t>312,390</w:t>
            </w:r>
          </w:p>
        </w:tc>
        <w:tc>
          <w:tcPr>
            <w:tcW w:w="1944" w:type="dxa"/>
            <w:vAlign w:val="center"/>
          </w:tcPr>
          <w:p w:rsidR="003515BD" w:rsidRDefault="00A9146D">
            <w:pPr>
              <w:jc w:val="right"/>
            </w:pPr>
            <w:r>
              <w:rPr>
                <w:color w:val="000000"/>
                <w:sz w:val="24"/>
              </w:rPr>
              <w:t>31,235,876.10</w:t>
            </w:r>
          </w:p>
        </w:tc>
        <w:tc>
          <w:tcPr>
            <w:tcW w:w="1389" w:type="dxa"/>
            <w:vAlign w:val="center"/>
          </w:tcPr>
          <w:p w:rsidR="003515BD" w:rsidRDefault="00A9146D">
            <w:pPr>
              <w:jc w:val="right"/>
            </w:pPr>
            <w:r>
              <w:rPr>
                <w:color w:val="000000"/>
                <w:sz w:val="24"/>
              </w:rPr>
              <w:t>2.41</w:t>
            </w:r>
          </w:p>
        </w:tc>
      </w:tr>
      <w:tr w:rsidR="003515BD">
        <w:trPr>
          <w:jc w:val="center"/>
        </w:trPr>
        <w:tc>
          <w:tcPr>
            <w:tcW w:w="1075" w:type="dxa"/>
            <w:vAlign w:val="center"/>
          </w:tcPr>
          <w:p w:rsidR="003515BD" w:rsidRDefault="00A9146D">
            <w:pPr>
              <w:jc w:val="center"/>
            </w:pPr>
            <w:r>
              <w:rPr>
                <w:color w:val="000000"/>
                <w:sz w:val="24"/>
              </w:rPr>
              <w:t>4</w:t>
            </w:r>
          </w:p>
        </w:tc>
        <w:tc>
          <w:tcPr>
            <w:tcW w:w="1533" w:type="dxa"/>
            <w:vAlign w:val="center"/>
          </w:tcPr>
          <w:p w:rsidR="003515BD" w:rsidRDefault="00A9146D">
            <w:pPr>
              <w:jc w:val="center"/>
            </w:pPr>
            <w:r>
              <w:rPr>
                <w:color w:val="000000"/>
                <w:sz w:val="24"/>
              </w:rPr>
              <w:t>101900125</w:t>
            </w:r>
          </w:p>
        </w:tc>
        <w:tc>
          <w:tcPr>
            <w:tcW w:w="1533" w:type="dxa"/>
            <w:vAlign w:val="center"/>
          </w:tcPr>
          <w:p w:rsidR="003515BD" w:rsidRDefault="00A9146D">
            <w:pPr>
              <w:jc w:val="center"/>
            </w:pPr>
            <w:r>
              <w:rPr>
                <w:color w:val="000000"/>
                <w:sz w:val="24"/>
              </w:rPr>
              <w:t>19</w:t>
            </w:r>
            <w:r>
              <w:rPr>
                <w:color w:val="000000"/>
                <w:sz w:val="24"/>
              </w:rPr>
              <w:t>国电</w:t>
            </w:r>
            <w:r>
              <w:rPr>
                <w:color w:val="000000"/>
                <w:sz w:val="24"/>
              </w:rPr>
              <w:t>MTN001</w:t>
            </w:r>
          </w:p>
        </w:tc>
        <w:tc>
          <w:tcPr>
            <w:tcW w:w="1394" w:type="dxa"/>
            <w:vAlign w:val="center"/>
          </w:tcPr>
          <w:p w:rsidR="003515BD" w:rsidRDefault="00A9146D">
            <w:pPr>
              <w:jc w:val="right"/>
            </w:pPr>
            <w:r>
              <w:rPr>
                <w:color w:val="000000"/>
                <w:sz w:val="24"/>
              </w:rPr>
              <w:t>300,000</w:t>
            </w:r>
          </w:p>
        </w:tc>
        <w:tc>
          <w:tcPr>
            <w:tcW w:w="1944" w:type="dxa"/>
            <w:vAlign w:val="center"/>
          </w:tcPr>
          <w:p w:rsidR="003515BD" w:rsidRDefault="00A9146D">
            <w:pPr>
              <w:jc w:val="right"/>
            </w:pPr>
            <w:r>
              <w:rPr>
                <w:color w:val="000000"/>
                <w:sz w:val="24"/>
              </w:rPr>
              <w:t>30,315,000.00</w:t>
            </w:r>
          </w:p>
        </w:tc>
        <w:tc>
          <w:tcPr>
            <w:tcW w:w="1389" w:type="dxa"/>
            <w:vAlign w:val="center"/>
          </w:tcPr>
          <w:p w:rsidR="003515BD" w:rsidRDefault="00A9146D">
            <w:pPr>
              <w:jc w:val="right"/>
            </w:pPr>
            <w:r>
              <w:rPr>
                <w:color w:val="000000"/>
                <w:sz w:val="24"/>
              </w:rPr>
              <w:t>2.34</w:t>
            </w:r>
          </w:p>
        </w:tc>
      </w:tr>
      <w:tr w:rsidR="003515BD">
        <w:trPr>
          <w:jc w:val="center"/>
        </w:trPr>
        <w:tc>
          <w:tcPr>
            <w:tcW w:w="1075" w:type="dxa"/>
            <w:vAlign w:val="center"/>
          </w:tcPr>
          <w:p w:rsidR="003515BD" w:rsidRDefault="00A9146D">
            <w:pPr>
              <w:jc w:val="center"/>
            </w:pPr>
            <w:r>
              <w:rPr>
                <w:color w:val="000000"/>
                <w:sz w:val="24"/>
              </w:rPr>
              <w:t>5</w:t>
            </w:r>
          </w:p>
        </w:tc>
        <w:tc>
          <w:tcPr>
            <w:tcW w:w="1533" w:type="dxa"/>
            <w:vAlign w:val="center"/>
          </w:tcPr>
          <w:p w:rsidR="003515BD" w:rsidRDefault="00A9146D">
            <w:pPr>
              <w:jc w:val="center"/>
            </w:pPr>
            <w:r>
              <w:rPr>
                <w:color w:val="000000"/>
                <w:sz w:val="24"/>
              </w:rPr>
              <w:t>101800949</w:t>
            </w:r>
          </w:p>
        </w:tc>
        <w:tc>
          <w:tcPr>
            <w:tcW w:w="1533" w:type="dxa"/>
            <w:vAlign w:val="center"/>
          </w:tcPr>
          <w:p w:rsidR="003515BD" w:rsidRDefault="00A9146D">
            <w:pPr>
              <w:jc w:val="center"/>
            </w:pPr>
            <w:r>
              <w:rPr>
                <w:color w:val="000000"/>
                <w:sz w:val="24"/>
              </w:rPr>
              <w:t>18</w:t>
            </w:r>
            <w:r>
              <w:rPr>
                <w:color w:val="000000"/>
                <w:sz w:val="24"/>
              </w:rPr>
              <w:t>华润医药</w:t>
            </w:r>
            <w:r>
              <w:rPr>
                <w:color w:val="000000"/>
                <w:sz w:val="24"/>
              </w:rPr>
              <w:t>MTN001</w:t>
            </w:r>
          </w:p>
        </w:tc>
        <w:tc>
          <w:tcPr>
            <w:tcW w:w="1394" w:type="dxa"/>
            <w:vAlign w:val="center"/>
          </w:tcPr>
          <w:p w:rsidR="003515BD" w:rsidRDefault="00A9146D">
            <w:pPr>
              <w:jc w:val="right"/>
            </w:pPr>
            <w:r>
              <w:rPr>
                <w:color w:val="000000"/>
                <w:sz w:val="24"/>
              </w:rPr>
              <w:t>300,000</w:t>
            </w:r>
          </w:p>
        </w:tc>
        <w:tc>
          <w:tcPr>
            <w:tcW w:w="1944" w:type="dxa"/>
            <w:vAlign w:val="center"/>
          </w:tcPr>
          <w:p w:rsidR="003515BD" w:rsidRDefault="00A9146D">
            <w:pPr>
              <w:jc w:val="right"/>
            </w:pPr>
            <w:r>
              <w:rPr>
                <w:color w:val="000000"/>
                <w:sz w:val="24"/>
              </w:rPr>
              <w:t>30,303,000.00</w:t>
            </w:r>
          </w:p>
        </w:tc>
        <w:tc>
          <w:tcPr>
            <w:tcW w:w="1389" w:type="dxa"/>
            <w:vAlign w:val="center"/>
          </w:tcPr>
          <w:p w:rsidR="003515BD" w:rsidRDefault="00A9146D">
            <w:pPr>
              <w:jc w:val="right"/>
            </w:pPr>
            <w:r>
              <w:rPr>
                <w:color w:val="000000"/>
                <w:sz w:val="24"/>
              </w:rPr>
              <w:t>2.34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lastRenderedPageBreak/>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87,027.64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14,906,007.00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6,419,355.10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21,412,389.74</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744,882,496.52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140,782,458.14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230,165,073.59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151,762,761.21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226,945,218.84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30,560,860.01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748,102,351.27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261,984,359.34</w:t>
            </w:r>
          </w:p>
        </w:tc>
      </w:tr>
    </w:tbl>
    <w:p w:rsidR="003515BD" w:rsidRDefault="00A9146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3515BD" w:rsidRDefault="00A9146D">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、中国证监会核准交银施罗德周期回报灵活配置混合型证券投资基金募集的文件；</w:t>
      </w:r>
      <w:r>
        <w:rPr>
          <w:rFonts w:eastAsiaTheme="minorEastAsia"/>
          <w:color w:val="000000"/>
          <w:sz w:val="24"/>
        </w:rPr>
        <w:t xml:space="preserve"> </w:t>
      </w:r>
    </w:p>
    <w:p w:rsidR="003515BD" w:rsidRDefault="00A9146D">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、《交银施罗德周期回报灵活配置混合型证券投资基金基金合同》；</w:t>
      </w:r>
    </w:p>
    <w:p w:rsidR="003515BD" w:rsidRDefault="00A9146D">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、《交银施罗德周期回报灵活配置混合型证券投资基金招募说明书》；</w:t>
      </w:r>
    </w:p>
    <w:p w:rsidR="003515BD" w:rsidRDefault="00A9146D">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、《交银施罗德周期回报灵活配置混合型证券投资基金托管协议》；</w:t>
      </w:r>
    </w:p>
    <w:p w:rsidR="003515BD" w:rsidRDefault="00A9146D">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、关于申请募集交银施罗德周期回报灵活配置混合型证券投资基金之法律意见书；</w:t>
      </w:r>
    </w:p>
    <w:p w:rsidR="003515BD" w:rsidRDefault="00A9146D">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p>
    <w:p w:rsidR="003515BD" w:rsidRDefault="00A9146D">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lastRenderedPageBreak/>
        <w:t>8</w:t>
      </w:r>
      <w:r w:rsidRPr="007F52FA">
        <w:rPr>
          <w:rFonts w:eastAsiaTheme="minorEastAsia"/>
          <w:color w:val="000000"/>
          <w:sz w:val="24"/>
        </w:rPr>
        <w:t>、报告期内交银施罗德周期回报灵活配置混合型证券投资基金在指定报刊上各项公告的原稿。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3515BD" w:rsidRDefault="00A9146D">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w:t>
      </w:r>
      <w:r>
        <w:rPr>
          <w:rFonts w:eastAsiaTheme="minorEastAsia"/>
          <w:color w:val="000000"/>
          <w:sz w:val="24"/>
        </w:rPr>
        <w:t>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46D" w:rsidRDefault="00A9146D">
      <w:r>
        <w:separator/>
      </w:r>
    </w:p>
  </w:endnote>
  <w:endnote w:type="continuationSeparator" w:id="0">
    <w:p w:rsidR="00A9146D" w:rsidRDefault="00A9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2D07AA">
      <w:rPr>
        <w:noProof/>
        <w:kern w:val="0"/>
        <w:szCs w:val="21"/>
      </w:rPr>
      <w:t>8</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2D07AA">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46D" w:rsidRDefault="00A9146D">
      <w:r>
        <w:separator/>
      </w:r>
    </w:p>
  </w:footnote>
  <w:footnote w:type="continuationSeparator" w:id="0">
    <w:p w:rsidR="00A9146D" w:rsidRDefault="00A91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交银施罗德周期回报灵活配置混合型证券投资基金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07AA"/>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5BD"/>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146D"/>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347BB-1A0E-4AD1-9C48-8A28E24C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241</TotalTime>
  <Pages>16</Pages>
  <Words>1400</Words>
  <Characters>7984</Characters>
  <Application>Microsoft Office Word</Application>
  <DocSecurity>0</DocSecurity>
  <Lines>66</Lines>
  <Paragraphs>18</Paragraphs>
  <ScaleCrop>false</ScaleCrop>
  <Company>TRT. Ltd. Co.</Company>
  <LinksUpToDate>false</LinksUpToDate>
  <CharactersWithSpaces>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405</cp:revision>
  <cp:lastPrinted>2007-07-19T00:46:00Z</cp:lastPrinted>
  <dcterms:created xsi:type="dcterms:W3CDTF">2014-01-17T06:19:00Z</dcterms:created>
  <dcterms:modified xsi:type="dcterms:W3CDTF">2021-01-19T02:43:00Z</dcterms:modified>
</cp:coreProperties>
</file>