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交银施罗德裕利纯债债券型证券投资基金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二〇二一年一月二十一日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AB1DF7" w:rsidRDefault="00C77800">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B1DF7" w:rsidRDefault="00C77800">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2021</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B1DF7" w:rsidRDefault="00C77800">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B1DF7" w:rsidRDefault="00C77800">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B1DF7" w:rsidRDefault="00C77800">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交银裕利纯债债券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519786</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11</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3,382,805,263.03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w:t>
            </w:r>
            <w:r w:rsidRPr="007F52FA">
              <w:rPr>
                <w:color w:val="000000"/>
                <w:kern w:val="0"/>
                <w:sz w:val="24"/>
              </w:rPr>
              <w:lastRenderedPageBreak/>
              <w:t>资基金中中低风险的品种。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交银裕利纯债债券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交银裕利纯债债券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519786</w:t>
            </w:r>
          </w:p>
        </w:tc>
        <w:tc>
          <w:tcPr>
            <w:tcW w:w="3048" w:type="dxa"/>
            <w:vAlign w:val="center"/>
          </w:tcPr>
          <w:p w:rsidR="00C23B30" w:rsidRPr="000E4C40" w:rsidRDefault="00C23B30" w:rsidP="00A52A9E">
            <w:pPr>
              <w:spacing w:before="29" w:line="288" w:lineRule="auto"/>
              <w:jc w:val="left"/>
              <w:rPr>
                <w:sz w:val="24"/>
              </w:rPr>
            </w:pPr>
            <w:r w:rsidRPr="000E4C40">
              <w:rPr>
                <w:sz w:val="24"/>
              </w:rPr>
              <w:t>519787</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3,382,730,753.31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74,509.72</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交银裕利纯债债券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交银裕利纯债债券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29,146,408.62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769.72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30,993,981.38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817.04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0.0092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0.0089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3,510,975,137.25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85,261.97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1.0379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1.1443</w:t>
            </w:r>
          </w:p>
        </w:tc>
      </w:tr>
    </w:tbl>
    <w:p w:rsidR="00AB1DF7" w:rsidRDefault="00C7780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交银裕利纯债债券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B1DF7">
        <w:trPr>
          <w:jc w:val="center"/>
        </w:trPr>
        <w:tc>
          <w:tcPr>
            <w:tcW w:w="1266" w:type="dxa"/>
            <w:vAlign w:val="center"/>
          </w:tcPr>
          <w:p w:rsidR="00AB1DF7" w:rsidRDefault="00C77800">
            <w:pPr>
              <w:jc w:val="left"/>
            </w:pPr>
            <w:r>
              <w:rPr>
                <w:color w:val="000000"/>
                <w:sz w:val="24"/>
              </w:rPr>
              <w:lastRenderedPageBreak/>
              <w:t>过去三个月</w:t>
            </w:r>
          </w:p>
        </w:tc>
        <w:tc>
          <w:tcPr>
            <w:tcW w:w="1267" w:type="dxa"/>
            <w:vAlign w:val="center"/>
          </w:tcPr>
          <w:p w:rsidR="00AB1DF7" w:rsidRDefault="00C77800">
            <w:pPr>
              <w:jc w:val="center"/>
            </w:pPr>
            <w:r>
              <w:rPr>
                <w:color w:val="000000"/>
                <w:sz w:val="24"/>
              </w:rPr>
              <w:t>0.89%</w:t>
            </w:r>
          </w:p>
        </w:tc>
        <w:tc>
          <w:tcPr>
            <w:tcW w:w="1267" w:type="dxa"/>
            <w:vAlign w:val="center"/>
          </w:tcPr>
          <w:p w:rsidR="00AB1DF7" w:rsidRDefault="00C77800">
            <w:pPr>
              <w:jc w:val="center"/>
            </w:pPr>
            <w:r>
              <w:rPr>
                <w:color w:val="000000"/>
                <w:sz w:val="24"/>
              </w:rPr>
              <w:t>0.02%</w:t>
            </w:r>
          </w:p>
        </w:tc>
        <w:tc>
          <w:tcPr>
            <w:tcW w:w="1267" w:type="dxa"/>
            <w:vAlign w:val="center"/>
          </w:tcPr>
          <w:p w:rsidR="00AB1DF7" w:rsidRDefault="00C77800">
            <w:pPr>
              <w:jc w:val="center"/>
            </w:pPr>
            <w:r>
              <w:rPr>
                <w:color w:val="000000"/>
                <w:sz w:val="24"/>
              </w:rPr>
              <w:t>0.64%</w:t>
            </w:r>
          </w:p>
        </w:tc>
        <w:tc>
          <w:tcPr>
            <w:tcW w:w="1267" w:type="dxa"/>
            <w:vAlign w:val="center"/>
          </w:tcPr>
          <w:p w:rsidR="00AB1DF7" w:rsidRDefault="00C77800">
            <w:pPr>
              <w:jc w:val="center"/>
            </w:pPr>
            <w:r>
              <w:rPr>
                <w:color w:val="000000"/>
                <w:sz w:val="24"/>
              </w:rPr>
              <w:t>0.04%</w:t>
            </w:r>
          </w:p>
        </w:tc>
        <w:tc>
          <w:tcPr>
            <w:tcW w:w="1267" w:type="dxa"/>
            <w:vAlign w:val="center"/>
          </w:tcPr>
          <w:p w:rsidR="00AB1DF7" w:rsidRDefault="00C77800">
            <w:pPr>
              <w:jc w:val="center"/>
            </w:pPr>
            <w:r>
              <w:rPr>
                <w:color w:val="000000"/>
                <w:sz w:val="24"/>
              </w:rPr>
              <w:t>0.25%</w:t>
            </w:r>
          </w:p>
        </w:tc>
        <w:tc>
          <w:tcPr>
            <w:tcW w:w="1267" w:type="dxa"/>
            <w:vAlign w:val="center"/>
          </w:tcPr>
          <w:p w:rsidR="00AB1DF7" w:rsidRDefault="00C77800">
            <w:pPr>
              <w:jc w:val="center"/>
            </w:pPr>
            <w:r>
              <w:rPr>
                <w:color w:val="000000"/>
                <w:sz w:val="24"/>
              </w:rPr>
              <w:t>-0.02%</w:t>
            </w:r>
          </w:p>
        </w:tc>
      </w:tr>
      <w:tr w:rsidR="00AB1DF7">
        <w:trPr>
          <w:jc w:val="center"/>
        </w:trPr>
        <w:tc>
          <w:tcPr>
            <w:tcW w:w="1266" w:type="dxa"/>
            <w:vAlign w:val="center"/>
          </w:tcPr>
          <w:p w:rsidR="00AB1DF7" w:rsidRDefault="00C77800">
            <w:pPr>
              <w:jc w:val="left"/>
            </w:pPr>
            <w:r>
              <w:rPr>
                <w:color w:val="000000"/>
                <w:sz w:val="24"/>
              </w:rPr>
              <w:t>过去六个月</w:t>
            </w:r>
          </w:p>
        </w:tc>
        <w:tc>
          <w:tcPr>
            <w:tcW w:w="1267" w:type="dxa"/>
            <w:vAlign w:val="center"/>
          </w:tcPr>
          <w:p w:rsidR="00AB1DF7" w:rsidRDefault="00C77800">
            <w:pPr>
              <w:jc w:val="center"/>
            </w:pPr>
            <w:r>
              <w:rPr>
                <w:color w:val="000000"/>
                <w:sz w:val="24"/>
              </w:rPr>
              <w:t>0.99%</w:t>
            </w:r>
          </w:p>
        </w:tc>
        <w:tc>
          <w:tcPr>
            <w:tcW w:w="1267" w:type="dxa"/>
            <w:vAlign w:val="center"/>
          </w:tcPr>
          <w:p w:rsidR="00AB1DF7" w:rsidRDefault="00C77800">
            <w:pPr>
              <w:jc w:val="center"/>
            </w:pPr>
            <w:r>
              <w:rPr>
                <w:color w:val="000000"/>
                <w:sz w:val="24"/>
              </w:rPr>
              <w:t>0.03%</w:t>
            </w:r>
          </w:p>
        </w:tc>
        <w:tc>
          <w:tcPr>
            <w:tcW w:w="1267" w:type="dxa"/>
            <w:vAlign w:val="center"/>
          </w:tcPr>
          <w:p w:rsidR="00AB1DF7" w:rsidRDefault="00C77800">
            <w:pPr>
              <w:jc w:val="center"/>
            </w:pPr>
            <w:r>
              <w:rPr>
                <w:color w:val="000000"/>
                <w:sz w:val="24"/>
              </w:rPr>
              <w:t>-0.85%</w:t>
            </w:r>
          </w:p>
        </w:tc>
        <w:tc>
          <w:tcPr>
            <w:tcW w:w="1267" w:type="dxa"/>
            <w:vAlign w:val="center"/>
          </w:tcPr>
          <w:p w:rsidR="00AB1DF7" w:rsidRDefault="00C77800">
            <w:pPr>
              <w:jc w:val="center"/>
            </w:pPr>
            <w:r>
              <w:rPr>
                <w:color w:val="000000"/>
                <w:sz w:val="24"/>
              </w:rPr>
              <w:t>0.07%</w:t>
            </w:r>
          </w:p>
        </w:tc>
        <w:tc>
          <w:tcPr>
            <w:tcW w:w="1267" w:type="dxa"/>
            <w:vAlign w:val="center"/>
          </w:tcPr>
          <w:p w:rsidR="00AB1DF7" w:rsidRDefault="00C77800">
            <w:pPr>
              <w:jc w:val="center"/>
            </w:pPr>
            <w:r>
              <w:rPr>
                <w:color w:val="000000"/>
                <w:sz w:val="24"/>
              </w:rPr>
              <w:t>1.84%</w:t>
            </w:r>
          </w:p>
        </w:tc>
        <w:tc>
          <w:tcPr>
            <w:tcW w:w="1267" w:type="dxa"/>
            <w:vAlign w:val="center"/>
          </w:tcPr>
          <w:p w:rsidR="00AB1DF7" w:rsidRDefault="00C77800">
            <w:pPr>
              <w:jc w:val="center"/>
            </w:pPr>
            <w:r>
              <w:rPr>
                <w:color w:val="000000"/>
                <w:sz w:val="24"/>
              </w:rPr>
              <w:t>-0.04%</w:t>
            </w:r>
          </w:p>
        </w:tc>
      </w:tr>
      <w:tr w:rsidR="00AB1DF7">
        <w:trPr>
          <w:jc w:val="center"/>
        </w:trPr>
        <w:tc>
          <w:tcPr>
            <w:tcW w:w="1266" w:type="dxa"/>
            <w:vAlign w:val="center"/>
          </w:tcPr>
          <w:p w:rsidR="00AB1DF7" w:rsidRDefault="00C77800">
            <w:pPr>
              <w:jc w:val="left"/>
            </w:pPr>
            <w:r>
              <w:rPr>
                <w:color w:val="000000"/>
                <w:sz w:val="24"/>
              </w:rPr>
              <w:t>过去一年</w:t>
            </w:r>
          </w:p>
        </w:tc>
        <w:tc>
          <w:tcPr>
            <w:tcW w:w="1267" w:type="dxa"/>
            <w:vAlign w:val="center"/>
          </w:tcPr>
          <w:p w:rsidR="00AB1DF7" w:rsidRDefault="00C77800">
            <w:pPr>
              <w:jc w:val="center"/>
            </w:pPr>
            <w:r>
              <w:rPr>
                <w:color w:val="000000"/>
                <w:sz w:val="24"/>
              </w:rPr>
              <w:t>2.50%</w:t>
            </w:r>
          </w:p>
        </w:tc>
        <w:tc>
          <w:tcPr>
            <w:tcW w:w="1267" w:type="dxa"/>
            <w:vAlign w:val="center"/>
          </w:tcPr>
          <w:p w:rsidR="00AB1DF7" w:rsidRDefault="00C77800">
            <w:pPr>
              <w:jc w:val="center"/>
            </w:pPr>
            <w:r>
              <w:rPr>
                <w:color w:val="000000"/>
                <w:sz w:val="24"/>
              </w:rPr>
              <w:t>0.04%</w:t>
            </w:r>
          </w:p>
        </w:tc>
        <w:tc>
          <w:tcPr>
            <w:tcW w:w="1267" w:type="dxa"/>
            <w:vAlign w:val="center"/>
          </w:tcPr>
          <w:p w:rsidR="00AB1DF7" w:rsidRDefault="00C77800">
            <w:pPr>
              <w:jc w:val="center"/>
            </w:pPr>
            <w:r>
              <w:rPr>
                <w:color w:val="000000"/>
                <w:sz w:val="24"/>
              </w:rPr>
              <w:t>-0.07%</w:t>
            </w:r>
          </w:p>
        </w:tc>
        <w:tc>
          <w:tcPr>
            <w:tcW w:w="1267" w:type="dxa"/>
            <w:vAlign w:val="center"/>
          </w:tcPr>
          <w:p w:rsidR="00AB1DF7" w:rsidRDefault="00C77800">
            <w:pPr>
              <w:jc w:val="center"/>
            </w:pPr>
            <w:r>
              <w:rPr>
                <w:color w:val="000000"/>
                <w:sz w:val="24"/>
              </w:rPr>
              <w:t>0.09%</w:t>
            </w:r>
          </w:p>
        </w:tc>
        <w:tc>
          <w:tcPr>
            <w:tcW w:w="1267" w:type="dxa"/>
            <w:vAlign w:val="center"/>
          </w:tcPr>
          <w:p w:rsidR="00AB1DF7" w:rsidRDefault="00C77800">
            <w:pPr>
              <w:jc w:val="center"/>
            </w:pPr>
            <w:r>
              <w:rPr>
                <w:color w:val="000000"/>
                <w:sz w:val="24"/>
              </w:rPr>
              <w:t>2.57%</w:t>
            </w:r>
          </w:p>
        </w:tc>
        <w:tc>
          <w:tcPr>
            <w:tcW w:w="1267" w:type="dxa"/>
            <w:vAlign w:val="center"/>
          </w:tcPr>
          <w:p w:rsidR="00AB1DF7" w:rsidRDefault="00C77800">
            <w:pPr>
              <w:jc w:val="center"/>
            </w:pPr>
            <w:r>
              <w:rPr>
                <w:color w:val="000000"/>
                <w:sz w:val="24"/>
              </w:rPr>
              <w:t>-0.05%</w:t>
            </w:r>
          </w:p>
        </w:tc>
      </w:tr>
      <w:tr w:rsidR="00AB1DF7">
        <w:trPr>
          <w:jc w:val="center"/>
        </w:trPr>
        <w:tc>
          <w:tcPr>
            <w:tcW w:w="1266" w:type="dxa"/>
            <w:vAlign w:val="center"/>
          </w:tcPr>
          <w:p w:rsidR="00AB1DF7" w:rsidRDefault="00C77800">
            <w:pPr>
              <w:jc w:val="left"/>
            </w:pPr>
            <w:r>
              <w:rPr>
                <w:color w:val="000000"/>
                <w:sz w:val="24"/>
              </w:rPr>
              <w:t>过去三年</w:t>
            </w:r>
          </w:p>
        </w:tc>
        <w:tc>
          <w:tcPr>
            <w:tcW w:w="1267" w:type="dxa"/>
            <w:vAlign w:val="center"/>
          </w:tcPr>
          <w:p w:rsidR="00AB1DF7" w:rsidRDefault="00C77800">
            <w:pPr>
              <w:jc w:val="center"/>
            </w:pPr>
            <w:r>
              <w:rPr>
                <w:color w:val="000000"/>
                <w:sz w:val="24"/>
              </w:rPr>
              <w:t>11.83%</w:t>
            </w:r>
          </w:p>
        </w:tc>
        <w:tc>
          <w:tcPr>
            <w:tcW w:w="1267" w:type="dxa"/>
            <w:vAlign w:val="center"/>
          </w:tcPr>
          <w:p w:rsidR="00AB1DF7" w:rsidRDefault="00C77800">
            <w:pPr>
              <w:jc w:val="center"/>
            </w:pPr>
            <w:r>
              <w:rPr>
                <w:color w:val="000000"/>
                <w:sz w:val="24"/>
              </w:rPr>
              <w:t>0.03%</w:t>
            </w:r>
          </w:p>
        </w:tc>
        <w:tc>
          <w:tcPr>
            <w:tcW w:w="1267" w:type="dxa"/>
            <w:vAlign w:val="center"/>
          </w:tcPr>
          <w:p w:rsidR="00AB1DF7" w:rsidRDefault="00C77800">
            <w:pPr>
              <w:jc w:val="center"/>
            </w:pPr>
            <w:r>
              <w:rPr>
                <w:color w:val="000000"/>
                <w:sz w:val="24"/>
              </w:rPr>
              <w:t>6.09%</w:t>
            </w:r>
          </w:p>
        </w:tc>
        <w:tc>
          <w:tcPr>
            <w:tcW w:w="1267" w:type="dxa"/>
            <w:vAlign w:val="center"/>
          </w:tcPr>
          <w:p w:rsidR="00AB1DF7" w:rsidRDefault="00C77800">
            <w:pPr>
              <w:jc w:val="center"/>
            </w:pPr>
            <w:r>
              <w:rPr>
                <w:color w:val="000000"/>
                <w:sz w:val="24"/>
              </w:rPr>
              <w:t>0.07%</w:t>
            </w:r>
          </w:p>
        </w:tc>
        <w:tc>
          <w:tcPr>
            <w:tcW w:w="1267" w:type="dxa"/>
            <w:vAlign w:val="center"/>
          </w:tcPr>
          <w:p w:rsidR="00AB1DF7" w:rsidRDefault="00C77800">
            <w:pPr>
              <w:jc w:val="center"/>
            </w:pPr>
            <w:r>
              <w:rPr>
                <w:color w:val="000000"/>
                <w:sz w:val="24"/>
              </w:rPr>
              <w:t>5.74%</w:t>
            </w:r>
          </w:p>
        </w:tc>
        <w:tc>
          <w:tcPr>
            <w:tcW w:w="1267" w:type="dxa"/>
            <w:vAlign w:val="center"/>
          </w:tcPr>
          <w:p w:rsidR="00AB1DF7" w:rsidRDefault="00C77800">
            <w:pPr>
              <w:jc w:val="center"/>
            </w:pPr>
            <w:r>
              <w:rPr>
                <w:color w:val="000000"/>
                <w:sz w:val="24"/>
              </w:rPr>
              <w:t>-0.04%</w:t>
            </w:r>
          </w:p>
        </w:tc>
      </w:tr>
      <w:tr w:rsidR="00AB1DF7">
        <w:trPr>
          <w:jc w:val="center"/>
        </w:trPr>
        <w:tc>
          <w:tcPr>
            <w:tcW w:w="1266" w:type="dxa"/>
            <w:vAlign w:val="center"/>
          </w:tcPr>
          <w:p w:rsidR="00AB1DF7" w:rsidRDefault="00C77800">
            <w:pPr>
              <w:jc w:val="left"/>
            </w:pPr>
            <w:r>
              <w:rPr>
                <w:color w:val="000000"/>
                <w:sz w:val="24"/>
              </w:rPr>
              <w:t>自基金合同生效至今</w:t>
            </w:r>
          </w:p>
        </w:tc>
        <w:tc>
          <w:tcPr>
            <w:tcW w:w="1267" w:type="dxa"/>
            <w:vAlign w:val="center"/>
          </w:tcPr>
          <w:p w:rsidR="00AB1DF7" w:rsidRDefault="00C77800">
            <w:pPr>
              <w:jc w:val="center"/>
            </w:pPr>
            <w:r>
              <w:rPr>
                <w:color w:val="000000"/>
                <w:sz w:val="24"/>
              </w:rPr>
              <w:t>16.21%</w:t>
            </w:r>
          </w:p>
        </w:tc>
        <w:tc>
          <w:tcPr>
            <w:tcW w:w="1267" w:type="dxa"/>
            <w:vAlign w:val="center"/>
          </w:tcPr>
          <w:p w:rsidR="00AB1DF7" w:rsidRDefault="00C77800">
            <w:pPr>
              <w:jc w:val="center"/>
            </w:pPr>
            <w:r>
              <w:rPr>
                <w:color w:val="000000"/>
                <w:sz w:val="24"/>
              </w:rPr>
              <w:t>0.03%</w:t>
            </w:r>
          </w:p>
        </w:tc>
        <w:tc>
          <w:tcPr>
            <w:tcW w:w="1267" w:type="dxa"/>
            <w:vAlign w:val="center"/>
          </w:tcPr>
          <w:p w:rsidR="00AB1DF7" w:rsidRDefault="00C77800">
            <w:pPr>
              <w:jc w:val="center"/>
            </w:pPr>
            <w:r>
              <w:rPr>
                <w:color w:val="000000"/>
                <w:sz w:val="24"/>
              </w:rPr>
              <w:t>0.70%</w:t>
            </w:r>
          </w:p>
        </w:tc>
        <w:tc>
          <w:tcPr>
            <w:tcW w:w="1267" w:type="dxa"/>
            <w:vAlign w:val="center"/>
          </w:tcPr>
          <w:p w:rsidR="00AB1DF7" w:rsidRDefault="00C77800">
            <w:pPr>
              <w:jc w:val="center"/>
            </w:pPr>
            <w:r>
              <w:rPr>
                <w:color w:val="000000"/>
                <w:sz w:val="24"/>
              </w:rPr>
              <w:t>0.08%</w:t>
            </w:r>
          </w:p>
        </w:tc>
        <w:tc>
          <w:tcPr>
            <w:tcW w:w="1267" w:type="dxa"/>
            <w:vAlign w:val="center"/>
          </w:tcPr>
          <w:p w:rsidR="00AB1DF7" w:rsidRDefault="00C77800">
            <w:pPr>
              <w:jc w:val="center"/>
            </w:pPr>
            <w:r>
              <w:rPr>
                <w:color w:val="000000"/>
                <w:sz w:val="24"/>
              </w:rPr>
              <w:t>15.51%</w:t>
            </w:r>
          </w:p>
        </w:tc>
        <w:tc>
          <w:tcPr>
            <w:tcW w:w="1267" w:type="dxa"/>
            <w:vAlign w:val="center"/>
          </w:tcPr>
          <w:p w:rsidR="00AB1DF7" w:rsidRDefault="00C77800">
            <w:pPr>
              <w:jc w:val="center"/>
            </w:pPr>
            <w:r>
              <w:rPr>
                <w:color w:val="000000"/>
                <w:sz w:val="24"/>
              </w:rPr>
              <w:t>-0.05%</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交银裕利纯债债券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B1DF7">
        <w:trPr>
          <w:jc w:val="center"/>
        </w:trPr>
        <w:tc>
          <w:tcPr>
            <w:tcW w:w="1266" w:type="dxa"/>
            <w:vAlign w:val="center"/>
          </w:tcPr>
          <w:p w:rsidR="00AB1DF7" w:rsidRDefault="00C77800">
            <w:pPr>
              <w:jc w:val="left"/>
            </w:pPr>
            <w:r>
              <w:rPr>
                <w:color w:val="000000"/>
                <w:sz w:val="24"/>
              </w:rPr>
              <w:t>过去三个月</w:t>
            </w:r>
          </w:p>
        </w:tc>
        <w:tc>
          <w:tcPr>
            <w:tcW w:w="1267" w:type="dxa"/>
            <w:vAlign w:val="center"/>
          </w:tcPr>
          <w:p w:rsidR="00AB1DF7" w:rsidRDefault="00C77800">
            <w:pPr>
              <w:jc w:val="center"/>
            </w:pPr>
            <w:r>
              <w:rPr>
                <w:color w:val="000000"/>
                <w:sz w:val="24"/>
              </w:rPr>
              <w:t>0.79%</w:t>
            </w:r>
          </w:p>
        </w:tc>
        <w:tc>
          <w:tcPr>
            <w:tcW w:w="1267" w:type="dxa"/>
            <w:vAlign w:val="center"/>
          </w:tcPr>
          <w:p w:rsidR="00AB1DF7" w:rsidRDefault="00C77800">
            <w:pPr>
              <w:jc w:val="center"/>
            </w:pPr>
            <w:r>
              <w:rPr>
                <w:color w:val="000000"/>
                <w:sz w:val="24"/>
              </w:rPr>
              <w:t>0.02%</w:t>
            </w:r>
          </w:p>
        </w:tc>
        <w:tc>
          <w:tcPr>
            <w:tcW w:w="1267" w:type="dxa"/>
            <w:vAlign w:val="center"/>
          </w:tcPr>
          <w:p w:rsidR="00AB1DF7" w:rsidRDefault="00C77800">
            <w:pPr>
              <w:jc w:val="center"/>
            </w:pPr>
            <w:r>
              <w:rPr>
                <w:color w:val="000000"/>
                <w:sz w:val="24"/>
              </w:rPr>
              <w:t>0.64%</w:t>
            </w:r>
          </w:p>
        </w:tc>
        <w:tc>
          <w:tcPr>
            <w:tcW w:w="1267" w:type="dxa"/>
            <w:vAlign w:val="center"/>
          </w:tcPr>
          <w:p w:rsidR="00AB1DF7" w:rsidRDefault="00C77800">
            <w:pPr>
              <w:jc w:val="center"/>
            </w:pPr>
            <w:r>
              <w:rPr>
                <w:color w:val="000000"/>
                <w:sz w:val="24"/>
              </w:rPr>
              <w:t>0.04%</w:t>
            </w:r>
          </w:p>
        </w:tc>
        <w:tc>
          <w:tcPr>
            <w:tcW w:w="1267" w:type="dxa"/>
            <w:vAlign w:val="center"/>
          </w:tcPr>
          <w:p w:rsidR="00AB1DF7" w:rsidRDefault="00C77800">
            <w:pPr>
              <w:jc w:val="center"/>
            </w:pPr>
            <w:r>
              <w:rPr>
                <w:color w:val="000000"/>
                <w:sz w:val="24"/>
              </w:rPr>
              <w:t>0.15%</w:t>
            </w:r>
          </w:p>
        </w:tc>
        <w:tc>
          <w:tcPr>
            <w:tcW w:w="1267" w:type="dxa"/>
            <w:vAlign w:val="center"/>
          </w:tcPr>
          <w:p w:rsidR="00AB1DF7" w:rsidRDefault="00C77800">
            <w:pPr>
              <w:jc w:val="center"/>
            </w:pPr>
            <w:r>
              <w:rPr>
                <w:color w:val="000000"/>
                <w:sz w:val="24"/>
              </w:rPr>
              <w:t>-0.02%</w:t>
            </w:r>
          </w:p>
        </w:tc>
      </w:tr>
      <w:tr w:rsidR="00AB1DF7">
        <w:trPr>
          <w:jc w:val="center"/>
        </w:trPr>
        <w:tc>
          <w:tcPr>
            <w:tcW w:w="1266" w:type="dxa"/>
            <w:vAlign w:val="center"/>
          </w:tcPr>
          <w:p w:rsidR="00AB1DF7" w:rsidRDefault="00C77800">
            <w:pPr>
              <w:jc w:val="left"/>
            </w:pPr>
            <w:r>
              <w:rPr>
                <w:color w:val="000000"/>
                <w:sz w:val="24"/>
              </w:rPr>
              <w:t>过去六个月</w:t>
            </w:r>
          </w:p>
        </w:tc>
        <w:tc>
          <w:tcPr>
            <w:tcW w:w="1267" w:type="dxa"/>
            <w:vAlign w:val="center"/>
          </w:tcPr>
          <w:p w:rsidR="00AB1DF7" w:rsidRDefault="00C77800">
            <w:pPr>
              <w:jc w:val="center"/>
            </w:pPr>
            <w:r>
              <w:rPr>
                <w:color w:val="000000"/>
                <w:sz w:val="24"/>
              </w:rPr>
              <w:t>0.79%</w:t>
            </w:r>
          </w:p>
        </w:tc>
        <w:tc>
          <w:tcPr>
            <w:tcW w:w="1267" w:type="dxa"/>
            <w:vAlign w:val="center"/>
          </w:tcPr>
          <w:p w:rsidR="00AB1DF7" w:rsidRDefault="00C77800">
            <w:pPr>
              <w:jc w:val="center"/>
            </w:pPr>
            <w:r>
              <w:rPr>
                <w:color w:val="000000"/>
                <w:sz w:val="24"/>
              </w:rPr>
              <w:t>0.03%</w:t>
            </w:r>
          </w:p>
        </w:tc>
        <w:tc>
          <w:tcPr>
            <w:tcW w:w="1267" w:type="dxa"/>
            <w:vAlign w:val="center"/>
          </w:tcPr>
          <w:p w:rsidR="00AB1DF7" w:rsidRDefault="00C77800">
            <w:pPr>
              <w:jc w:val="center"/>
            </w:pPr>
            <w:r>
              <w:rPr>
                <w:color w:val="000000"/>
                <w:sz w:val="24"/>
              </w:rPr>
              <w:t>-0.85%</w:t>
            </w:r>
          </w:p>
        </w:tc>
        <w:tc>
          <w:tcPr>
            <w:tcW w:w="1267" w:type="dxa"/>
            <w:vAlign w:val="center"/>
          </w:tcPr>
          <w:p w:rsidR="00AB1DF7" w:rsidRDefault="00C77800">
            <w:pPr>
              <w:jc w:val="center"/>
            </w:pPr>
            <w:r>
              <w:rPr>
                <w:color w:val="000000"/>
                <w:sz w:val="24"/>
              </w:rPr>
              <w:t>0.07%</w:t>
            </w:r>
          </w:p>
        </w:tc>
        <w:tc>
          <w:tcPr>
            <w:tcW w:w="1267" w:type="dxa"/>
            <w:vAlign w:val="center"/>
          </w:tcPr>
          <w:p w:rsidR="00AB1DF7" w:rsidRDefault="00C77800">
            <w:pPr>
              <w:jc w:val="center"/>
            </w:pPr>
            <w:r>
              <w:rPr>
                <w:color w:val="000000"/>
                <w:sz w:val="24"/>
              </w:rPr>
              <w:t>1.64%</w:t>
            </w:r>
          </w:p>
        </w:tc>
        <w:tc>
          <w:tcPr>
            <w:tcW w:w="1267" w:type="dxa"/>
            <w:vAlign w:val="center"/>
          </w:tcPr>
          <w:p w:rsidR="00AB1DF7" w:rsidRDefault="00C77800">
            <w:pPr>
              <w:jc w:val="center"/>
            </w:pPr>
            <w:r>
              <w:rPr>
                <w:color w:val="000000"/>
                <w:sz w:val="24"/>
              </w:rPr>
              <w:t>-0.04%</w:t>
            </w:r>
          </w:p>
        </w:tc>
      </w:tr>
      <w:tr w:rsidR="00AB1DF7">
        <w:trPr>
          <w:jc w:val="center"/>
        </w:trPr>
        <w:tc>
          <w:tcPr>
            <w:tcW w:w="1266" w:type="dxa"/>
            <w:vAlign w:val="center"/>
          </w:tcPr>
          <w:p w:rsidR="00AB1DF7" w:rsidRDefault="00C77800">
            <w:pPr>
              <w:jc w:val="left"/>
            </w:pPr>
            <w:r>
              <w:rPr>
                <w:color w:val="000000"/>
                <w:sz w:val="24"/>
              </w:rPr>
              <w:t>过去一年</w:t>
            </w:r>
          </w:p>
        </w:tc>
        <w:tc>
          <w:tcPr>
            <w:tcW w:w="1267" w:type="dxa"/>
            <w:vAlign w:val="center"/>
          </w:tcPr>
          <w:p w:rsidR="00AB1DF7" w:rsidRDefault="00C77800">
            <w:pPr>
              <w:jc w:val="center"/>
            </w:pPr>
            <w:r>
              <w:rPr>
                <w:color w:val="000000"/>
                <w:sz w:val="24"/>
              </w:rPr>
              <w:t>2.10%</w:t>
            </w:r>
          </w:p>
        </w:tc>
        <w:tc>
          <w:tcPr>
            <w:tcW w:w="1267" w:type="dxa"/>
            <w:vAlign w:val="center"/>
          </w:tcPr>
          <w:p w:rsidR="00AB1DF7" w:rsidRDefault="00C77800">
            <w:pPr>
              <w:jc w:val="center"/>
            </w:pPr>
            <w:r>
              <w:rPr>
                <w:color w:val="000000"/>
                <w:sz w:val="24"/>
              </w:rPr>
              <w:t>0.04%</w:t>
            </w:r>
          </w:p>
        </w:tc>
        <w:tc>
          <w:tcPr>
            <w:tcW w:w="1267" w:type="dxa"/>
            <w:vAlign w:val="center"/>
          </w:tcPr>
          <w:p w:rsidR="00AB1DF7" w:rsidRDefault="00C77800">
            <w:pPr>
              <w:jc w:val="center"/>
            </w:pPr>
            <w:r>
              <w:rPr>
                <w:color w:val="000000"/>
                <w:sz w:val="24"/>
              </w:rPr>
              <w:t>-0.07%</w:t>
            </w:r>
          </w:p>
        </w:tc>
        <w:tc>
          <w:tcPr>
            <w:tcW w:w="1267" w:type="dxa"/>
            <w:vAlign w:val="center"/>
          </w:tcPr>
          <w:p w:rsidR="00AB1DF7" w:rsidRDefault="00C77800">
            <w:pPr>
              <w:jc w:val="center"/>
            </w:pPr>
            <w:r>
              <w:rPr>
                <w:color w:val="000000"/>
                <w:sz w:val="24"/>
              </w:rPr>
              <w:t>0.09%</w:t>
            </w:r>
          </w:p>
        </w:tc>
        <w:tc>
          <w:tcPr>
            <w:tcW w:w="1267" w:type="dxa"/>
            <w:vAlign w:val="center"/>
          </w:tcPr>
          <w:p w:rsidR="00AB1DF7" w:rsidRDefault="00C77800">
            <w:pPr>
              <w:jc w:val="center"/>
            </w:pPr>
            <w:r>
              <w:rPr>
                <w:color w:val="000000"/>
                <w:sz w:val="24"/>
              </w:rPr>
              <w:t>2.17%</w:t>
            </w:r>
          </w:p>
        </w:tc>
        <w:tc>
          <w:tcPr>
            <w:tcW w:w="1267" w:type="dxa"/>
            <w:vAlign w:val="center"/>
          </w:tcPr>
          <w:p w:rsidR="00AB1DF7" w:rsidRDefault="00C77800">
            <w:pPr>
              <w:jc w:val="center"/>
            </w:pPr>
            <w:r>
              <w:rPr>
                <w:color w:val="000000"/>
                <w:sz w:val="24"/>
              </w:rPr>
              <w:t>-0.05%</w:t>
            </w:r>
          </w:p>
        </w:tc>
      </w:tr>
      <w:tr w:rsidR="00AB1DF7">
        <w:trPr>
          <w:jc w:val="center"/>
        </w:trPr>
        <w:tc>
          <w:tcPr>
            <w:tcW w:w="1266" w:type="dxa"/>
            <w:vAlign w:val="center"/>
          </w:tcPr>
          <w:p w:rsidR="00AB1DF7" w:rsidRDefault="00C77800">
            <w:pPr>
              <w:jc w:val="left"/>
            </w:pPr>
            <w:r>
              <w:rPr>
                <w:color w:val="000000"/>
                <w:sz w:val="24"/>
              </w:rPr>
              <w:t>过去三年</w:t>
            </w:r>
          </w:p>
        </w:tc>
        <w:tc>
          <w:tcPr>
            <w:tcW w:w="1267" w:type="dxa"/>
            <w:vAlign w:val="center"/>
          </w:tcPr>
          <w:p w:rsidR="00AB1DF7" w:rsidRDefault="00C77800">
            <w:pPr>
              <w:jc w:val="center"/>
            </w:pPr>
            <w:r>
              <w:rPr>
                <w:color w:val="000000"/>
                <w:sz w:val="24"/>
              </w:rPr>
              <w:t>10.59%</w:t>
            </w:r>
          </w:p>
        </w:tc>
        <w:tc>
          <w:tcPr>
            <w:tcW w:w="1267" w:type="dxa"/>
            <w:vAlign w:val="center"/>
          </w:tcPr>
          <w:p w:rsidR="00AB1DF7" w:rsidRDefault="00C77800">
            <w:pPr>
              <w:jc w:val="center"/>
            </w:pPr>
            <w:r>
              <w:rPr>
                <w:color w:val="000000"/>
                <w:sz w:val="24"/>
              </w:rPr>
              <w:t>0.03%</w:t>
            </w:r>
          </w:p>
        </w:tc>
        <w:tc>
          <w:tcPr>
            <w:tcW w:w="1267" w:type="dxa"/>
            <w:vAlign w:val="center"/>
          </w:tcPr>
          <w:p w:rsidR="00AB1DF7" w:rsidRDefault="00C77800">
            <w:pPr>
              <w:jc w:val="center"/>
            </w:pPr>
            <w:r>
              <w:rPr>
                <w:color w:val="000000"/>
                <w:sz w:val="24"/>
              </w:rPr>
              <w:t>6.09%</w:t>
            </w:r>
          </w:p>
        </w:tc>
        <w:tc>
          <w:tcPr>
            <w:tcW w:w="1267" w:type="dxa"/>
            <w:vAlign w:val="center"/>
          </w:tcPr>
          <w:p w:rsidR="00AB1DF7" w:rsidRDefault="00C77800">
            <w:pPr>
              <w:jc w:val="center"/>
            </w:pPr>
            <w:r>
              <w:rPr>
                <w:color w:val="000000"/>
                <w:sz w:val="24"/>
              </w:rPr>
              <w:t>0.07%</w:t>
            </w:r>
          </w:p>
        </w:tc>
        <w:tc>
          <w:tcPr>
            <w:tcW w:w="1267" w:type="dxa"/>
            <w:vAlign w:val="center"/>
          </w:tcPr>
          <w:p w:rsidR="00AB1DF7" w:rsidRDefault="00C77800">
            <w:pPr>
              <w:jc w:val="center"/>
            </w:pPr>
            <w:r>
              <w:rPr>
                <w:color w:val="000000"/>
                <w:sz w:val="24"/>
              </w:rPr>
              <w:t>4.50%</w:t>
            </w:r>
          </w:p>
        </w:tc>
        <w:tc>
          <w:tcPr>
            <w:tcW w:w="1267" w:type="dxa"/>
            <w:vAlign w:val="center"/>
          </w:tcPr>
          <w:p w:rsidR="00AB1DF7" w:rsidRDefault="00C77800">
            <w:pPr>
              <w:jc w:val="center"/>
            </w:pPr>
            <w:r>
              <w:rPr>
                <w:color w:val="000000"/>
                <w:sz w:val="24"/>
              </w:rPr>
              <w:t>-0.04%</w:t>
            </w:r>
          </w:p>
        </w:tc>
      </w:tr>
      <w:tr w:rsidR="00AB1DF7">
        <w:trPr>
          <w:jc w:val="center"/>
        </w:trPr>
        <w:tc>
          <w:tcPr>
            <w:tcW w:w="1266" w:type="dxa"/>
            <w:vAlign w:val="center"/>
          </w:tcPr>
          <w:p w:rsidR="00AB1DF7" w:rsidRDefault="00C77800">
            <w:pPr>
              <w:jc w:val="left"/>
            </w:pPr>
            <w:r>
              <w:rPr>
                <w:color w:val="000000"/>
                <w:sz w:val="24"/>
              </w:rPr>
              <w:t>自基金合同生效至今</w:t>
            </w:r>
          </w:p>
        </w:tc>
        <w:tc>
          <w:tcPr>
            <w:tcW w:w="1267" w:type="dxa"/>
            <w:vAlign w:val="center"/>
          </w:tcPr>
          <w:p w:rsidR="00AB1DF7" w:rsidRDefault="00C77800">
            <w:pPr>
              <w:jc w:val="center"/>
            </w:pPr>
            <w:r>
              <w:rPr>
                <w:color w:val="000000"/>
                <w:sz w:val="24"/>
              </w:rPr>
              <w:t>14.43%</w:t>
            </w:r>
          </w:p>
        </w:tc>
        <w:tc>
          <w:tcPr>
            <w:tcW w:w="1267" w:type="dxa"/>
            <w:vAlign w:val="center"/>
          </w:tcPr>
          <w:p w:rsidR="00AB1DF7" w:rsidRDefault="00C77800">
            <w:pPr>
              <w:jc w:val="center"/>
            </w:pPr>
            <w:r>
              <w:rPr>
                <w:color w:val="000000"/>
                <w:sz w:val="24"/>
              </w:rPr>
              <w:t>0.03%</w:t>
            </w:r>
          </w:p>
        </w:tc>
        <w:tc>
          <w:tcPr>
            <w:tcW w:w="1267" w:type="dxa"/>
            <w:vAlign w:val="center"/>
          </w:tcPr>
          <w:p w:rsidR="00AB1DF7" w:rsidRDefault="00C77800">
            <w:pPr>
              <w:jc w:val="center"/>
            </w:pPr>
            <w:r>
              <w:rPr>
                <w:color w:val="000000"/>
                <w:sz w:val="24"/>
              </w:rPr>
              <w:t>0.70%</w:t>
            </w:r>
          </w:p>
        </w:tc>
        <w:tc>
          <w:tcPr>
            <w:tcW w:w="1267" w:type="dxa"/>
            <w:vAlign w:val="center"/>
          </w:tcPr>
          <w:p w:rsidR="00AB1DF7" w:rsidRDefault="00C77800">
            <w:pPr>
              <w:jc w:val="center"/>
            </w:pPr>
            <w:r>
              <w:rPr>
                <w:color w:val="000000"/>
                <w:sz w:val="24"/>
              </w:rPr>
              <w:t>0.08%</w:t>
            </w:r>
          </w:p>
        </w:tc>
        <w:tc>
          <w:tcPr>
            <w:tcW w:w="1267" w:type="dxa"/>
            <w:vAlign w:val="center"/>
          </w:tcPr>
          <w:p w:rsidR="00AB1DF7" w:rsidRDefault="00C77800">
            <w:pPr>
              <w:jc w:val="center"/>
            </w:pPr>
            <w:r>
              <w:rPr>
                <w:color w:val="000000"/>
                <w:sz w:val="24"/>
              </w:rPr>
              <w:t>13.73%</w:t>
            </w:r>
          </w:p>
        </w:tc>
        <w:tc>
          <w:tcPr>
            <w:tcW w:w="1267" w:type="dxa"/>
            <w:vAlign w:val="center"/>
          </w:tcPr>
          <w:p w:rsidR="00AB1DF7" w:rsidRDefault="00C77800">
            <w:pPr>
              <w:jc w:val="center"/>
            </w:pPr>
            <w:r>
              <w:rPr>
                <w:color w:val="000000"/>
                <w:sz w:val="24"/>
              </w:rPr>
              <w:t>-0.05%</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交银施罗德裕利纯债债券型证券投资基金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11</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交银裕利纯债债券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交银裕利纯债债券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AB1DF7">
        <w:trPr>
          <w:jc w:val="center"/>
        </w:trPr>
        <w:tc>
          <w:tcPr>
            <w:tcW w:w="946" w:type="dxa"/>
            <w:vAlign w:val="center"/>
          </w:tcPr>
          <w:p w:rsidR="00AB1DF7" w:rsidRDefault="00C77800">
            <w:pPr>
              <w:jc w:val="center"/>
            </w:pPr>
            <w:r>
              <w:rPr>
                <w:color w:val="000000"/>
                <w:sz w:val="24"/>
              </w:rPr>
              <w:t>连端清</w:t>
            </w:r>
          </w:p>
        </w:tc>
        <w:tc>
          <w:tcPr>
            <w:tcW w:w="924" w:type="dxa"/>
            <w:vAlign w:val="center"/>
          </w:tcPr>
          <w:p w:rsidR="00AB1DF7" w:rsidRDefault="00C77800">
            <w:pPr>
              <w:jc w:val="center"/>
            </w:pPr>
            <w:r>
              <w:rPr>
                <w:color w:val="000000"/>
                <w:sz w:val="24"/>
              </w:rPr>
              <w:t>交银丰盈收益债券、交银活期通货币、交银裕盈纯债债券、交银裕利纯债债券、交银裕惠纯债债券的基金经理</w:t>
            </w:r>
          </w:p>
        </w:tc>
        <w:tc>
          <w:tcPr>
            <w:tcW w:w="1202" w:type="dxa"/>
            <w:vAlign w:val="center"/>
          </w:tcPr>
          <w:p w:rsidR="00AB1DF7" w:rsidRDefault="00C77800">
            <w:pPr>
              <w:jc w:val="center"/>
            </w:pPr>
            <w:r>
              <w:rPr>
                <w:color w:val="000000"/>
                <w:sz w:val="24"/>
              </w:rPr>
              <w:t>2017-03-31</w:t>
            </w:r>
          </w:p>
        </w:tc>
        <w:tc>
          <w:tcPr>
            <w:tcW w:w="1300" w:type="dxa"/>
            <w:vAlign w:val="center"/>
          </w:tcPr>
          <w:p w:rsidR="00AB1DF7" w:rsidRDefault="00C77800">
            <w:pPr>
              <w:jc w:val="center"/>
            </w:pPr>
            <w:r>
              <w:rPr>
                <w:color w:val="000000"/>
                <w:sz w:val="24"/>
              </w:rPr>
              <w:t>-</w:t>
            </w:r>
          </w:p>
        </w:tc>
        <w:tc>
          <w:tcPr>
            <w:tcW w:w="1245" w:type="dxa"/>
            <w:vAlign w:val="center"/>
          </w:tcPr>
          <w:p w:rsidR="00AB1DF7" w:rsidRDefault="00C77800">
            <w:pPr>
              <w:jc w:val="center"/>
            </w:pPr>
            <w:r>
              <w:rPr>
                <w:color w:val="000000"/>
                <w:sz w:val="24"/>
              </w:rPr>
              <w:t>7</w:t>
            </w:r>
            <w:r>
              <w:rPr>
                <w:color w:val="000000"/>
                <w:sz w:val="24"/>
              </w:rPr>
              <w:t>年</w:t>
            </w:r>
          </w:p>
        </w:tc>
        <w:tc>
          <w:tcPr>
            <w:tcW w:w="3251" w:type="dxa"/>
            <w:vAlign w:val="center"/>
          </w:tcPr>
          <w:p w:rsidR="00AB1DF7" w:rsidRDefault="00C77800">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日担任交银施罗德现金宝货币市场基金的基金经理。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2017</w:t>
            </w:r>
            <w:r>
              <w:rPr>
                <w:color w:val="000000"/>
                <w:sz w:val="24"/>
              </w:rPr>
              <w:t>年</w:t>
            </w:r>
            <w:r>
              <w:rPr>
                <w:color w:val="000000"/>
                <w:sz w:val="24"/>
              </w:rPr>
              <w:t>1</w:t>
            </w:r>
            <w:r>
              <w:rPr>
                <w:color w:val="000000"/>
                <w:sz w:val="24"/>
              </w:rPr>
              <w:t>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日担任交银施罗德天运宝货币市场基金的基金经理。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日担任交银施罗德天利宝货币市场基金的基金经理。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日担任交银施罗德裕隆纯债债券型证券投资基金的基金经理。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日担任交银施罗德天益宝货币市场基金的基金经理。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日担任交银施罗德境尚收益债券型证</w:t>
            </w:r>
            <w:r>
              <w:rPr>
                <w:color w:val="000000"/>
                <w:sz w:val="24"/>
              </w:rPr>
              <w:lastRenderedPageBreak/>
              <w:t>券投资基金的基金经理。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27</w:t>
            </w:r>
            <w:r>
              <w:rPr>
                <w:color w:val="000000"/>
                <w:sz w:val="24"/>
              </w:rPr>
              <w:t>日担任转型前的交银施罗德理财</w:t>
            </w:r>
            <w:r>
              <w:rPr>
                <w:color w:val="000000"/>
                <w:sz w:val="24"/>
              </w:rPr>
              <w:t>60</w:t>
            </w:r>
            <w:r>
              <w:rPr>
                <w:color w:val="000000"/>
                <w:sz w:val="24"/>
              </w:rPr>
              <w:t>天债券型证券投资基金的基金经理。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2020</w:t>
            </w:r>
            <w:r>
              <w:rPr>
                <w:color w:val="000000"/>
                <w:sz w:val="24"/>
              </w:rPr>
              <w:t>年</w:t>
            </w:r>
            <w:r>
              <w:rPr>
                <w:color w:val="000000"/>
                <w:sz w:val="24"/>
              </w:rPr>
              <w:t>8</w:t>
            </w:r>
            <w:r>
              <w:rPr>
                <w:color w:val="000000"/>
                <w:sz w:val="24"/>
              </w:rPr>
              <w:t>月</w:t>
            </w:r>
            <w:r>
              <w:rPr>
                <w:color w:val="000000"/>
                <w:sz w:val="24"/>
              </w:rPr>
              <w:t>21</w:t>
            </w:r>
            <w:r>
              <w:rPr>
                <w:color w:val="000000"/>
                <w:sz w:val="24"/>
              </w:rPr>
              <w:t>日担任交银施罗德丰润收益债券型证券投资基金的基金经理。</w:t>
            </w:r>
          </w:p>
        </w:tc>
      </w:tr>
    </w:tbl>
    <w:p w:rsidR="00AB1DF7" w:rsidRDefault="00C77800">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AB1DF7" w:rsidRDefault="00C77800">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AB1DF7" w:rsidRDefault="00C7780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AB1DF7" w:rsidRDefault="00C7780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AB1DF7" w:rsidRDefault="00C7780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w:t>
      </w:r>
      <w:r>
        <w:rPr>
          <w:color w:val="000000"/>
          <w:sz w:val="24"/>
        </w:rPr>
        <w:t>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lastRenderedPageBreak/>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AB1DF7" w:rsidRDefault="00C77800">
      <w:pPr>
        <w:spacing w:before="29" w:line="288" w:lineRule="auto"/>
        <w:ind w:firstLineChars="200" w:firstLine="480"/>
        <w:rPr>
          <w:color w:val="000000"/>
          <w:sz w:val="24"/>
        </w:rPr>
      </w:pPr>
      <w:r>
        <w:rPr>
          <w:color w:val="000000"/>
          <w:sz w:val="24"/>
        </w:rPr>
        <w:t>2020</w:t>
      </w:r>
      <w:r>
        <w:rPr>
          <w:color w:val="000000"/>
          <w:sz w:val="24"/>
        </w:rPr>
        <w:t>年四季度，主要受出口、房地产投资与制造业投资以及消费等驱动，我国经济继续在修复且内生增长动能提升。十月、十一月我国出口高速增长。房地产投资维持较高增速，制造业投资增速有所提升。同时，制造业景气度维持扩张势头。社会消费进一步改善，十月、十一月社会零售消费总额同比增速继续提升。经济政策继续支持经济修复，银行信贷结构继续改善，中央经济工作会议定调明年宏观经济政策</w:t>
      </w:r>
      <w:r>
        <w:rPr>
          <w:color w:val="000000"/>
          <w:sz w:val="24"/>
        </w:rPr>
        <w:t>“</w:t>
      </w:r>
      <w:r>
        <w:rPr>
          <w:color w:val="000000"/>
          <w:sz w:val="24"/>
        </w:rPr>
        <w:t>不急转弯</w:t>
      </w:r>
      <w:r>
        <w:rPr>
          <w:color w:val="000000"/>
          <w:sz w:val="24"/>
        </w:rPr>
        <w:t>”</w:t>
      </w:r>
      <w:r>
        <w:rPr>
          <w:color w:val="000000"/>
          <w:sz w:val="24"/>
        </w:rPr>
        <w:t>。</w:t>
      </w:r>
    </w:p>
    <w:p w:rsidR="00AB1DF7" w:rsidRDefault="00C77800">
      <w:pPr>
        <w:spacing w:before="29" w:line="288" w:lineRule="auto"/>
        <w:ind w:firstLineChars="200" w:firstLine="480"/>
        <w:rPr>
          <w:color w:val="000000"/>
          <w:sz w:val="24"/>
        </w:rPr>
      </w:pPr>
      <w:r>
        <w:rPr>
          <w:color w:val="000000"/>
          <w:sz w:val="24"/>
        </w:rPr>
        <w:t>货币政策方面，四季度央行公开市场操作边际转向偏宽松，货币市场迎来流动性拐点。四季度央行公开市</w:t>
      </w:r>
      <w:r>
        <w:rPr>
          <w:color w:val="000000"/>
          <w:sz w:val="24"/>
        </w:rPr>
        <w:t>场净投放较大，尤其是十一月底开始超预期投放</w:t>
      </w:r>
      <w:r>
        <w:rPr>
          <w:color w:val="000000"/>
          <w:sz w:val="24"/>
        </w:rPr>
        <w:t>MLF</w:t>
      </w:r>
      <w:r>
        <w:rPr>
          <w:color w:val="000000"/>
          <w:sz w:val="24"/>
        </w:rPr>
        <w:t>，以及在十二月通过逆回购与</w:t>
      </w:r>
      <w:r>
        <w:rPr>
          <w:color w:val="000000"/>
          <w:sz w:val="24"/>
        </w:rPr>
        <w:t>MLF</w:t>
      </w:r>
      <w:r>
        <w:rPr>
          <w:color w:val="000000"/>
          <w:sz w:val="24"/>
        </w:rPr>
        <w:t>向银行体系投放跨年流动性与较长期限资金。资金面上，十月至十一月下旬，由于资金面趋紧，货币市场利率中枢曾不断上移。但在十一月下旬至十二月下旬，央行投放流动性之后，资金面趋于宽松，货币市场利率中枢逐渐回落。债市方面，四季度整体呈震荡走势。十月至十一月初曾迎来一波小幅上涨，但是随后经济数据继续亮丽，十一月初债市再次下跌。随后叠加部分信用债违约事件冲击，债市继续下跌且收益率创下本轮回调至今的高点。十一月下旬随着金融监管层召开会议，要求打</w:t>
      </w:r>
      <w:r>
        <w:rPr>
          <w:color w:val="000000"/>
          <w:sz w:val="24"/>
        </w:rPr>
        <w:t>击逃废债行为，维护市场秩序，央行在公开市场持续投放流动性，债市终于止跌回暖，从十一月下旬至年底债市走出了一波反弹回暖行情。</w:t>
      </w:r>
    </w:p>
    <w:p w:rsidR="00AB1DF7" w:rsidRDefault="00C77800">
      <w:pPr>
        <w:spacing w:before="29" w:line="288" w:lineRule="auto"/>
        <w:ind w:firstLineChars="200" w:firstLine="480"/>
        <w:rPr>
          <w:color w:val="000000"/>
          <w:sz w:val="24"/>
        </w:rPr>
      </w:pPr>
      <w:r>
        <w:rPr>
          <w:color w:val="000000"/>
          <w:sz w:val="24"/>
        </w:rPr>
        <w:t>基金操作方面，报告期内本基金把握市场走势，择机调整组合久期与杠杆，管控信用风险，为持有人创造稳健的回报。</w:t>
      </w:r>
      <w:r>
        <w:rPr>
          <w:color w:val="000000"/>
          <w:sz w:val="24"/>
        </w:rPr>
        <w:t xml:space="preserve">  </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2021</w:t>
      </w:r>
      <w:r w:rsidRPr="007F52FA">
        <w:rPr>
          <w:color w:val="000000"/>
          <w:sz w:val="24"/>
        </w:rPr>
        <w:t>年一季度，国内经济整体上继续修复的概率较大。疫苗接种与疫情的防控可能需要较长时间。海外严重的疫情对海外经济体的冲击，甚至国内局部疫情防控对国内经济的抑制，至少在明年一季度依然存在。因此国内经济复苏的基础是否足够扎实尚待观察。支撑今年国内经济超预期的房地产投资与出口等变量也值得重点关注。预计</w:t>
      </w:r>
      <w:r w:rsidRPr="007F52FA">
        <w:rPr>
          <w:color w:val="000000"/>
          <w:sz w:val="24"/>
        </w:rPr>
        <w:t>2021</w:t>
      </w:r>
      <w:r w:rsidRPr="007F52FA">
        <w:rPr>
          <w:color w:val="000000"/>
          <w:sz w:val="24"/>
        </w:rPr>
        <w:t>年一季度央行可能保持中性货币政策为主。我们将密切关注央行货币政策操作边际上的变化以及疫情防控与疫苗接种进展。组合管理方面，本基金将跟踪研判宏观经济走势与央行货币政策操作，保持较好的流动性，力求把握市场波动机会，控制风险，力争为投资者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lastRenderedPageBreak/>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4,049,259,157.00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98.47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3,863,259,157.00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93.95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186,000,000.00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4.52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5,006,359.88</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0.12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57,856,347.48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1.41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4,112,121,864.36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1,442,028,000.00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41.07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441,596,000.00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12.58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100,320,000.00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70,035,000.00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1,649,594,000.00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46.98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294,570,000.00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8.39</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306,712,157.00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8.74</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3,863,259,157.00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110.03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AB1DF7">
        <w:trPr>
          <w:jc w:val="center"/>
        </w:trPr>
        <w:tc>
          <w:tcPr>
            <w:tcW w:w="1075" w:type="dxa"/>
            <w:vAlign w:val="center"/>
          </w:tcPr>
          <w:p w:rsidR="00AB1DF7" w:rsidRDefault="00C77800">
            <w:pPr>
              <w:jc w:val="center"/>
            </w:pPr>
            <w:r>
              <w:rPr>
                <w:color w:val="000000"/>
                <w:sz w:val="24"/>
              </w:rPr>
              <w:t>1</w:t>
            </w:r>
          </w:p>
        </w:tc>
        <w:tc>
          <w:tcPr>
            <w:tcW w:w="1533" w:type="dxa"/>
            <w:vAlign w:val="center"/>
          </w:tcPr>
          <w:p w:rsidR="00AB1DF7" w:rsidRDefault="00C77800">
            <w:pPr>
              <w:jc w:val="center"/>
            </w:pPr>
            <w:r>
              <w:rPr>
                <w:color w:val="000000"/>
                <w:sz w:val="24"/>
              </w:rPr>
              <w:t>110207</w:t>
            </w:r>
          </w:p>
        </w:tc>
        <w:tc>
          <w:tcPr>
            <w:tcW w:w="1533" w:type="dxa"/>
            <w:vAlign w:val="center"/>
          </w:tcPr>
          <w:p w:rsidR="00AB1DF7" w:rsidRDefault="00C77800">
            <w:pPr>
              <w:jc w:val="center"/>
            </w:pPr>
            <w:r>
              <w:rPr>
                <w:color w:val="000000"/>
                <w:sz w:val="24"/>
              </w:rPr>
              <w:t>11</w:t>
            </w:r>
            <w:r>
              <w:rPr>
                <w:color w:val="000000"/>
                <w:sz w:val="24"/>
              </w:rPr>
              <w:t>国开</w:t>
            </w:r>
            <w:r>
              <w:rPr>
                <w:color w:val="000000"/>
                <w:sz w:val="24"/>
              </w:rPr>
              <w:t>07</w:t>
            </w:r>
          </w:p>
        </w:tc>
        <w:tc>
          <w:tcPr>
            <w:tcW w:w="1394" w:type="dxa"/>
            <w:vAlign w:val="center"/>
          </w:tcPr>
          <w:p w:rsidR="00AB1DF7" w:rsidRDefault="00C77800">
            <w:pPr>
              <w:jc w:val="right"/>
            </w:pPr>
            <w:r>
              <w:rPr>
                <w:color w:val="000000"/>
                <w:sz w:val="24"/>
              </w:rPr>
              <w:t>4,000,000</w:t>
            </w:r>
          </w:p>
        </w:tc>
        <w:tc>
          <w:tcPr>
            <w:tcW w:w="1944" w:type="dxa"/>
            <w:vAlign w:val="center"/>
          </w:tcPr>
          <w:p w:rsidR="00AB1DF7" w:rsidRDefault="00C77800">
            <w:pPr>
              <w:jc w:val="right"/>
            </w:pPr>
            <w:r>
              <w:rPr>
                <w:color w:val="000000"/>
                <w:sz w:val="24"/>
              </w:rPr>
              <w:t>400,080,000.00</w:t>
            </w:r>
          </w:p>
        </w:tc>
        <w:tc>
          <w:tcPr>
            <w:tcW w:w="1389" w:type="dxa"/>
            <w:vAlign w:val="center"/>
          </w:tcPr>
          <w:p w:rsidR="00AB1DF7" w:rsidRDefault="00C77800">
            <w:pPr>
              <w:jc w:val="right"/>
            </w:pPr>
            <w:r>
              <w:rPr>
                <w:color w:val="000000"/>
                <w:sz w:val="24"/>
              </w:rPr>
              <w:t>11.39</w:t>
            </w:r>
          </w:p>
        </w:tc>
      </w:tr>
      <w:tr w:rsidR="00AB1DF7">
        <w:trPr>
          <w:jc w:val="center"/>
        </w:trPr>
        <w:tc>
          <w:tcPr>
            <w:tcW w:w="1075" w:type="dxa"/>
            <w:vAlign w:val="center"/>
          </w:tcPr>
          <w:p w:rsidR="00AB1DF7" w:rsidRDefault="00C77800">
            <w:pPr>
              <w:jc w:val="center"/>
            </w:pPr>
            <w:r>
              <w:rPr>
                <w:color w:val="000000"/>
                <w:sz w:val="24"/>
              </w:rPr>
              <w:t>2</w:t>
            </w:r>
          </w:p>
        </w:tc>
        <w:tc>
          <w:tcPr>
            <w:tcW w:w="1533" w:type="dxa"/>
            <w:vAlign w:val="center"/>
          </w:tcPr>
          <w:p w:rsidR="00AB1DF7" w:rsidRDefault="00C77800">
            <w:pPr>
              <w:jc w:val="center"/>
            </w:pPr>
            <w:r>
              <w:rPr>
                <w:color w:val="000000"/>
                <w:sz w:val="24"/>
              </w:rPr>
              <w:t>091701002</w:t>
            </w:r>
          </w:p>
        </w:tc>
        <w:tc>
          <w:tcPr>
            <w:tcW w:w="1533" w:type="dxa"/>
            <w:vAlign w:val="center"/>
          </w:tcPr>
          <w:p w:rsidR="00AB1DF7" w:rsidRDefault="00C77800">
            <w:pPr>
              <w:jc w:val="center"/>
            </w:pPr>
            <w:r>
              <w:rPr>
                <w:color w:val="000000"/>
                <w:sz w:val="24"/>
              </w:rPr>
              <w:t>17</w:t>
            </w:r>
            <w:r>
              <w:rPr>
                <w:color w:val="000000"/>
                <w:sz w:val="24"/>
              </w:rPr>
              <w:t>中国信达债</w:t>
            </w:r>
            <w:r>
              <w:rPr>
                <w:color w:val="000000"/>
                <w:sz w:val="24"/>
              </w:rPr>
              <w:t>02</w:t>
            </w:r>
          </w:p>
        </w:tc>
        <w:tc>
          <w:tcPr>
            <w:tcW w:w="1394" w:type="dxa"/>
            <w:vAlign w:val="center"/>
          </w:tcPr>
          <w:p w:rsidR="00AB1DF7" w:rsidRDefault="00C77800">
            <w:pPr>
              <w:jc w:val="right"/>
            </w:pPr>
            <w:r>
              <w:rPr>
                <w:color w:val="000000"/>
                <w:sz w:val="24"/>
              </w:rPr>
              <w:t>3,000,000</w:t>
            </w:r>
          </w:p>
        </w:tc>
        <w:tc>
          <w:tcPr>
            <w:tcW w:w="1944" w:type="dxa"/>
            <w:vAlign w:val="center"/>
          </w:tcPr>
          <w:p w:rsidR="00AB1DF7" w:rsidRDefault="00C77800">
            <w:pPr>
              <w:jc w:val="right"/>
            </w:pPr>
            <w:r>
              <w:rPr>
                <w:color w:val="000000"/>
                <w:sz w:val="24"/>
              </w:rPr>
              <w:t>305,760,000.00</w:t>
            </w:r>
          </w:p>
        </w:tc>
        <w:tc>
          <w:tcPr>
            <w:tcW w:w="1389" w:type="dxa"/>
            <w:vAlign w:val="center"/>
          </w:tcPr>
          <w:p w:rsidR="00AB1DF7" w:rsidRDefault="00C77800">
            <w:pPr>
              <w:jc w:val="right"/>
            </w:pPr>
            <w:r>
              <w:rPr>
                <w:color w:val="000000"/>
                <w:sz w:val="24"/>
              </w:rPr>
              <w:t>8.71</w:t>
            </w:r>
          </w:p>
        </w:tc>
      </w:tr>
      <w:tr w:rsidR="00AB1DF7">
        <w:trPr>
          <w:jc w:val="center"/>
        </w:trPr>
        <w:tc>
          <w:tcPr>
            <w:tcW w:w="1075" w:type="dxa"/>
            <w:vAlign w:val="center"/>
          </w:tcPr>
          <w:p w:rsidR="00AB1DF7" w:rsidRDefault="00C77800">
            <w:pPr>
              <w:jc w:val="center"/>
            </w:pPr>
            <w:r>
              <w:rPr>
                <w:color w:val="000000"/>
                <w:sz w:val="24"/>
              </w:rPr>
              <w:t>3</w:t>
            </w:r>
          </w:p>
        </w:tc>
        <w:tc>
          <w:tcPr>
            <w:tcW w:w="1533" w:type="dxa"/>
            <w:vAlign w:val="center"/>
          </w:tcPr>
          <w:p w:rsidR="00AB1DF7" w:rsidRDefault="00C77800">
            <w:pPr>
              <w:jc w:val="center"/>
            </w:pPr>
            <w:r>
              <w:rPr>
                <w:color w:val="000000"/>
                <w:sz w:val="24"/>
              </w:rPr>
              <w:t>112018107</w:t>
            </w:r>
          </w:p>
        </w:tc>
        <w:tc>
          <w:tcPr>
            <w:tcW w:w="1533" w:type="dxa"/>
            <w:vAlign w:val="center"/>
          </w:tcPr>
          <w:p w:rsidR="00AB1DF7" w:rsidRDefault="00C77800">
            <w:pPr>
              <w:jc w:val="center"/>
            </w:pPr>
            <w:r>
              <w:rPr>
                <w:color w:val="000000"/>
                <w:sz w:val="24"/>
              </w:rPr>
              <w:t>20</w:t>
            </w:r>
            <w:r>
              <w:rPr>
                <w:color w:val="000000"/>
                <w:sz w:val="24"/>
              </w:rPr>
              <w:t>华夏银行</w:t>
            </w:r>
            <w:r>
              <w:rPr>
                <w:color w:val="000000"/>
                <w:sz w:val="24"/>
              </w:rPr>
              <w:t>CD107</w:t>
            </w:r>
          </w:p>
        </w:tc>
        <w:tc>
          <w:tcPr>
            <w:tcW w:w="1394" w:type="dxa"/>
            <w:vAlign w:val="center"/>
          </w:tcPr>
          <w:p w:rsidR="00AB1DF7" w:rsidRDefault="00C77800">
            <w:pPr>
              <w:jc w:val="right"/>
            </w:pPr>
            <w:r>
              <w:rPr>
                <w:color w:val="000000"/>
                <w:sz w:val="24"/>
              </w:rPr>
              <w:t>3,000,000</w:t>
            </w:r>
          </w:p>
        </w:tc>
        <w:tc>
          <w:tcPr>
            <w:tcW w:w="1944" w:type="dxa"/>
            <w:vAlign w:val="center"/>
          </w:tcPr>
          <w:p w:rsidR="00AB1DF7" w:rsidRDefault="00C77800">
            <w:pPr>
              <w:jc w:val="right"/>
            </w:pPr>
            <w:r>
              <w:rPr>
                <w:color w:val="000000"/>
                <w:sz w:val="24"/>
              </w:rPr>
              <w:t>294,570,000.00</w:t>
            </w:r>
          </w:p>
        </w:tc>
        <w:tc>
          <w:tcPr>
            <w:tcW w:w="1389" w:type="dxa"/>
            <w:vAlign w:val="center"/>
          </w:tcPr>
          <w:p w:rsidR="00AB1DF7" w:rsidRDefault="00C77800">
            <w:pPr>
              <w:jc w:val="right"/>
            </w:pPr>
            <w:r>
              <w:rPr>
                <w:color w:val="000000"/>
                <w:sz w:val="24"/>
              </w:rPr>
              <w:t>8.39</w:t>
            </w:r>
          </w:p>
        </w:tc>
      </w:tr>
      <w:tr w:rsidR="00AB1DF7">
        <w:trPr>
          <w:jc w:val="center"/>
        </w:trPr>
        <w:tc>
          <w:tcPr>
            <w:tcW w:w="1075" w:type="dxa"/>
            <w:vAlign w:val="center"/>
          </w:tcPr>
          <w:p w:rsidR="00AB1DF7" w:rsidRDefault="00C77800">
            <w:pPr>
              <w:jc w:val="center"/>
            </w:pPr>
            <w:r>
              <w:rPr>
                <w:color w:val="000000"/>
                <w:sz w:val="24"/>
              </w:rPr>
              <w:t>4</w:t>
            </w:r>
          </w:p>
        </w:tc>
        <w:tc>
          <w:tcPr>
            <w:tcW w:w="1533" w:type="dxa"/>
            <w:vAlign w:val="center"/>
          </w:tcPr>
          <w:p w:rsidR="00AB1DF7" w:rsidRDefault="00C77800">
            <w:pPr>
              <w:jc w:val="center"/>
            </w:pPr>
            <w:r>
              <w:rPr>
                <w:color w:val="000000"/>
                <w:sz w:val="24"/>
              </w:rPr>
              <w:t>101652017</w:t>
            </w:r>
          </w:p>
        </w:tc>
        <w:tc>
          <w:tcPr>
            <w:tcW w:w="1533" w:type="dxa"/>
            <w:vAlign w:val="center"/>
          </w:tcPr>
          <w:p w:rsidR="00AB1DF7" w:rsidRDefault="00C77800">
            <w:pPr>
              <w:jc w:val="center"/>
            </w:pPr>
            <w:r>
              <w:rPr>
                <w:color w:val="000000"/>
                <w:sz w:val="24"/>
              </w:rPr>
              <w:t>16</w:t>
            </w:r>
            <w:r>
              <w:rPr>
                <w:color w:val="000000"/>
                <w:sz w:val="24"/>
              </w:rPr>
              <w:t>首旅</w:t>
            </w:r>
            <w:r>
              <w:rPr>
                <w:color w:val="000000"/>
                <w:sz w:val="24"/>
              </w:rPr>
              <w:t>MTN001</w:t>
            </w:r>
          </w:p>
        </w:tc>
        <w:tc>
          <w:tcPr>
            <w:tcW w:w="1394" w:type="dxa"/>
            <w:vAlign w:val="center"/>
          </w:tcPr>
          <w:p w:rsidR="00AB1DF7" w:rsidRDefault="00C77800">
            <w:pPr>
              <w:jc w:val="right"/>
            </w:pPr>
            <w:r>
              <w:rPr>
                <w:color w:val="000000"/>
                <w:sz w:val="24"/>
              </w:rPr>
              <w:t>2,400,000</w:t>
            </w:r>
          </w:p>
        </w:tc>
        <w:tc>
          <w:tcPr>
            <w:tcW w:w="1944" w:type="dxa"/>
            <w:vAlign w:val="center"/>
          </w:tcPr>
          <w:p w:rsidR="00AB1DF7" w:rsidRDefault="00C77800">
            <w:pPr>
              <w:jc w:val="right"/>
            </w:pPr>
            <w:r>
              <w:rPr>
                <w:color w:val="000000"/>
                <w:sz w:val="24"/>
              </w:rPr>
              <w:t>241,800,000.00</w:t>
            </w:r>
          </w:p>
        </w:tc>
        <w:tc>
          <w:tcPr>
            <w:tcW w:w="1389" w:type="dxa"/>
            <w:vAlign w:val="center"/>
          </w:tcPr>
          <w:p w:rsidR="00AB1DF7" w:rsidRDefault="00C77800">
            <w:pPr>
              <w:jc w:val="right"/>
            </w:pPr>
            <w:r>
              <w:rPr>
                <w:color w:val="000000"/>
                <w:sz w:val="24"/>
              </w:rPr>
              <w:t>6.89</w:t>
            </w:r>
          </w:p>
        </w:tc>
      </w:tr>
      <w:tr w:rsidR="00AB1DF7">
        <w:trPr>
          <w:jc w:val="center"/>
        </w:trPr>
        <w:tc>
          <w:tcPr>
            <w:tcW w:w="1075" w:type="dxa"/>
            <w:vAlign w:val="center"/>
          </w:tcPr>
          <w:p w:rsidR="00AB1DF7" w:rsidRDefault="00C77800">
            <w:pPr>
              <w:jc w:val="center"/>
            </w:pPr>
            <w:r>
              <w:rPr>
                <w:color w:val="000000"/>
                <w:sz w:val="24"/>
              </w:rPr>
              <w:t>5</w:t>
            </w:r>
          </w:p>
        </w:tc>
        <w:tc>
          <w:tcPr>
            <w:tcW w:w="1533" w:type="dxa"/>
            <w:vAlign w:val="center"/>
          </w:tcPr>
          <w:p w:rsidR="00AB1DF7" w:rsidRDefault="00C77800">
            <w:pPr>
              <w:jc w:val="center"/>
            </w:pPr>
            <w:r>
              <w:rPr>
                <w:color w:val="000000"/>
                <w:sz w:val="24"/>
              </w:rPr>
              <w:t>101801335</w:t>
            </w:r>
          </w:p>
        </w:tc>
        <w:tc>
          <w:tcPr>
            <w:tcW w:w="1533" w:type="dxa"/>
            <w:vAlign w:val="center"/>
          </w:tcPr>
          <w:p w:rsidR="00AB1DF7" w:rsidRDefault="00C77800">
            <w:pPr>
              <w:jc w:val="center"/>
            </w:pPr>
            <w:r>
              <w:rPr>
                <w:color w:val="000000"/>
                <w:sz w:val="24"/>
              </w:rPr>
              <w:t>18</w:t>
            </w:r>
            <w:r>
              <w:rPr>
                <w:color w:val="000000"/>
                <w:sz w:val="24"/>
              </w:rPr>
              <w:t>浙交投</w:t>
            </w:r>
            <w:r>
              <w:rPr>
                <w:color w:val="000000"/>
                <w:sz w:val="24"/>
              </w:rPr>
              <w:t>MTN001</w:t>
            </w:r>
          </w:p>
        </w:tc>
        <w:tc>
          <w:tcPr>
            <w:tcW w:w="1394" w:type="dxa"/>
            <w:vAlign w:val="center"/>
          </w:tcPr>
          <w:p w:rsidR="00AB1DF7" w:rsidRDefault="00C77800">
            <w:pPr>
              <w:jc w:val="right"/>
            </w:pPr>
            <w:r>
              <w:rPr>
                <w:color w:val="000000"/>
                <w:sz w:val="24"/>
              </w:rPr>
              <w:t>2,000,000</w:t>
            </w:r>
          </w:p>
        </w:tc>
        <w:tc>
          <w:tcPr>
            <w:tcW w:w="1944" w:type="dxa"/>
            <w:vAlign w:val="center"/>
          </w:tcPr>
          <w:p w:rsidR="00AB1DF7" w:rsidRDefault="00C77800">
            <w:pPr>
              <w:jc w:val="right"/>
            </w:pPr>
            <w:r>
              <w:rPr>
                <w:color w:val="000000"/>
                <w:sz w:val="24"/>
              </w:rPr>
              <w:t>201,320,000.00</w:t>
            </w:r>
          </w:p>
        </w:tc>
        <w:tc>
          <w:tcPr>
            <w:tcW w:w="1389" w:type="dxa"/>
            <w:vAlign w:val="center"/>
          </w:tcPr>
          <w:p w:rsidR="00AB1DF7" w:rsidRDefault="00C77800">
            <w:pPr>
              <w:jc w:val="right"/>
            </w:pPr>
            <w:r>
              <w:rPr>
                <w:color w:val="000000"/>
                <w:sz w:val="24"/>
              </w:rPr>
              <w:t>5.73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085115" w:rsidRPr="00085115" w:rsidRDefault="00085115" w:rsidP="00085115">
      <w:pPr>
        <w:autoSpaceDE w:val="0"/>
        <w:autoSpaceDN w:val="0"/>
        <w:adjustRightInd w:val="0"/>
        <w:spacing w:before="29" w:line="288" w:lineRule="auto"/>
        <w:jc w:val="right"/>
        <w:rPr>
          <w:color w:val="000000"/>
          <w:kern w:val="0"/>
          <w:sz w:val="24"/>
        </w:rPr>
      </w:pPr>
      <w:r w:rsidRPr="00085115">
        <w:rPr>
          <w:rFonts w:hint="eastAsia"/>
          <w:color w:val="000000"/>
          <w:kern w:val="0"/>
          <w:sz w:val="24"/>
        </w:rPr>
        <w:t>金额单位：人民币元</w:t>
      </w:r>
    </w:p>
    <w:tbl>
      <w:tblPr>
        <w:tblStyle w:val="af2"/>
        <w:tblW w:w="8868" w:type="dxa"/>
        <w:jc w:val="center"/>
        <w:tblCellMar>
          <w:top w:w="57" w:type="dxa"/>
          <w:bottom w:w="57" w:type="dxa"/>
        </w:tblCellMar>
        <w:tblLook w:val="04A0" w:firstRow="1" w:lastRow="0" w:firstColumn="1" w:lastColumn="0" w:noHBand="0" w:noVBand="1"/>
      </w:tblPr>
      <w:tblGrid>
        <w:gridCol w:w="1435"/>
        <w:gridCol w:w="1467"/>
        <w:gridCol w:w="1454"/>
        <w:gridCol w:w="1470"/>
        <w:gridCol w:w="1596"/>
        <w:gridCol w:w="1446"/>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5324E6">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1315E1">
              <w:rPr>
                <w:rFonts w:hint="eastAsia"/>
                <w:color w:val="000000"/>
                <w:kern w:val="0"/>
                <w:sz w:val="24"/>
              </w:rPr>
              <w:t>(</w:t>
            </w:r>
            <w:r w:rsidR="001315E1">
              <w:rPr>
                <w:rFonts w:hint="eastAsia"/>
                <w:color w:val="000000"/>
                <w:kern w:val="0"/>
                <w:sz w:val="24"/>
              </w:rPr>
              <w:t>份</w:t>
            </w:r>
            <w:r w:rsidR="001315E1">
              <w:rPr>
                <w:rFonts w:hint="eastAsia"/>
                <w:color w:val="000000"/>
                <w:kern w:val="0"/>
                <w:sz w:val="24"/>
              </w:rPr>
              <w:t>)</w:t>
            </w:r>
          </w:p>
        </w:tc>
        <w:tc>
          <w:tcPr>
            <w:tcW w:w="1503" w:type="dxa"/>
            <w:vAlign w:val="center"/>
          </w:tcPr>
          <w:p w:rsidR="009A0513" w:rsidRPr="007F52FA" w:rsidRDefault="009A0513" w:rsidP="00430A5C">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430A5C">
              <w:rPr>
                <w:rFonts w:hint="eastAsia"/>
                <w:color w:val="000000"/>
                <w:kern w:val="0"/>
                <w:sz w:val="24"/>
              </w:rPr>
              <w:t>(</w:t>
            </w:r>
            <w:r w:rsidR="00430A5C">
              <w:rPr>
                <w:rFonts w:hint="eastAsia"/>
                <w:color w:val="000000"/>
                <w:kern w:val="0"/>
                <w:sz w:val="24"/>
              </w:rPr>
              <w:t>元</w:t>
            </w:r>
            <w:r w:rsidR="00430A5C">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87122">
              <w:rPr>
                <w:rFonts w:hint="eastAsia"/>
                <w:color w:val="000000"/>
                <w:kern w:val="0"/>
                <w:sz w:val="24"/>
              </w:rPr>
              <w:t>(</w:t>
            </w:r>
            <w:r w:rsidR="00187122">
              <w:rPr>
                <w:color w:val="000000"/>
                <w:kern w:val="0"/>
                <w:sz w:val="24"/>
              </w:rPr>
              <w:t>%</w:t>
            </w:r>
            <w:r w:rsidR="00187122">
              <w:rPr>
                <w:rFonts w:hint="eastAsia"/>
                <w:color w:val="000000"/>
                <w:kern w:val="0"/>
                <w:sz w:val="24"/>
              </w:rPr>
              <w:t>)</w:t>
            </w:r>
          </w:p>
        </w:tc>
      </w:tr>
      <w:tr w:rsidR="00AB1DF7">
        <w:trPr>
          <w:jc w:val="center"/>
        </w:trPr>
        <w:tc>
          <w:tcPr>
            <w:tcW w:w="0" w:type="auto"/>
            <w:vAlign w:val="center"/>
          </w:tcPr>
          <w:p w:rsidR="00AB1DF7" w:rsidRDefault="00C77800">
            <w:pPr>
              <w:jc w:val="center"/>
            </w:pPr>
            <w:r>
              <w:rPr>
                <w:color w:val="000000"/>
                <w:sz w:val="24"/>
              </w:rPr>
              <w:t>1</w:t>
            </w:r>
          </w:p>
        </w:tc>
        <w:tc>
          <w:tcPr>
            <w:tcW w:w="0" w:type="auto"/>
            <w:vAlign w:val="center"/>
          </w:tcPr>
          <w:p w:rsidR="00AB1DF7" w:rsidRDefault="00C77800">
            <w:pPr>
              <w:jc w:val="center"/>
            </w:pPr>
            <w:r>
              <w:rPr>
                <w:color w:val="000000"/>
                <w:sz w:val="24"/>
              </w:rPr>
              <w:t>179451</w:t>
            </w:r>
          </w:p>
        </w:tc>
        <w:tc>
          <w:tcPr>
            <w:tcW w:w="0" w:type="auto"/>
            <w:vAlign w:val="center"/>
          </w:tcPr>
          <w:p w:rsidR="00AB1DF7" w:rsidRDefault="00C77800">
            <w:pPr>
              <w:jc w:val="center"/>
            </w:pPr>
            <w:r>
              <w:rPr>
                <w:color w:val="000000"/>
                <w:sz w:val="24"/>
              </w:rPr>
              <w:t>铁保</w:t>
            </w:r>
            <w:r>
              <w:rPr>
                <w:color w:val="000000"/>
                <w:sz w:val="24"/>
              </w:rPr>
              <w:t>06A1</w:t>
            </w:r>
          </w:p>
        </w:tc>
        <w:tc>
          <w:tcPr>
            <w:tcW w:w="0" w:type="auto"/>
            <w:vAlign w:val="center"/>
          </w:tcPr>
          <w:p w:rsidR="00AB1DF7" w:rsidRDefault="00C77800">
            <w:pPr>
              <w:jc w:val="right"/>
            </w:pPr>
            <w:r>
              <w:rPr>
                <w:color w:val="000000"/>
                <w:sz w:val="24"/>
              </w:rPr>
              <w:t>800,000</w:t>
            </w:r>
          </w:p>
        </w:tc>
        <w:tc>
          <w:tcPr>
            <w:tcW w:w="0" w:type="auto"/>
            <w:vAlign w:val="center"/>
          </w:tcPr>
          <w:p w:rsidR="00AB1DF7" w:rsidRDefault="00C77800">
            <w:pPr>
              <w:jc w:val="right"/>
            </w:pPr>
            <w:r>
              <w:rPr>
                <w:color w:val="000000"/>
                <w:sz w:val="24"/>
              </w:rPr>
              <w:t>80,000,000.00</w:t>
            </w:r>
          </w:p>
        </w:tc>
        <w:tc>
          <w:tcPr>
            <w:tcW w:w="0" w:type="auto"/>
            <w:vAlign w:val="center"/>
          </w:tcPr>
          <w:p w:rsidR="00AB1DF7" w:rsidRDefault="00C77800">
            <w:pPr>
              <w:jc w:val="right"/>
            </w:pPr>
            <w:r>
              <w:rPr>
                <w:color w:val="000000"/>
                <w:sz w:val="24"/>
              </w:rPr>
              <w:t>2.28</w:t>
            </w:r>
          </w:p>
        </w:tc>
      </w:tr>
      <w:tr w:rsidR="00AB1DF7">
        <w:trPr>
          <w:jc w:val="center"/>
        </w:trPr>
        <w:tc>
          <w:tcPr>
            <w:tcW w:w="0" w:type="auto"/>
            <w:vAlign w:val="center"/>
          </w:tcPr>
          <w:p w:rsidR="00AB1DF7" w:rsidRDefault="00C77800">
            <w:pPr>
              <w:jc w:val="center"/>
            </w:pPr>
            <w:r>
              <w:rPr>
                <w:color w:val="000000"/>
                <w:sz w:val="24"/>
              </w:rPr>
              <w:t>2</w:t>
            </w:r>
          </w:p>
        </w:tc>
        <w:tc>
          <w:tcPr>
            <w:tcW w:w="0" w:type="auto"/>
            <w:vAlign w:val="center"/>
          </w:tcPr>
          <w:p w:rsidR="00AB1DF7" w:rsidRDefault="00C77800">
            <w:pPr>
              <w:jc w:val="center"/>
            </w:pPr>
            <w:r>
              <w:rPr>
                <w:color w:val="000000"/>
                <w:sz w:val="24"/>
              </w:rPr>
              <w:t>179232</w:t>
            </w:r>
          </w:p>
        </w:tc>
        <w:tc>
          <w:tcPr>
            <w:tcW w:w="0" w:type="auto"/>
            <w:vAlign w:val="center"/>
          </w:tcPr>
          <w:p w:rsidR="00AB1DF7" w:rsidRDefault="00C77800">
            <w:pPr>
              <w:jc w:val="center"/>
            </w:pPr>
            <w:r>
              <w:rPr>
                <w:color w:val="000000"/>
                <w:sz w:val="24"/>
              </w:rPr>
              <w:t>电建</w:t>
            </w:r>
            <w:r>
              <w:rPr>
                <w:color w:val="000000"/>
                <w:sz w:val="24"/>
              </w:rPr>
              <w:t>2A2</w:t>
            </w:r>
          </w:p>
        </w:tc>
        <w:tc>
          <w:tcPr>
            <w:tcW w:w="0" w:type="auto"/>
            <w:vAlign w:val="center"/>
          </w:tcPr>
          <w:p w:rsidR="00AB1DF7" w:rsidRDefault="00C77800">
            <w:pPr>
              <w:jc w:val="right"/>
            </w:pPr>
            <w:r>
              <w:rPr>
                <w:color w:val="000000"/>
                <w:sz w:val="24"/>
              </w:rPr>
              <w:t>750,000</w:t>
            </w:r>
          </w:p>
        </w:tc>
        <w:tc>
          <w:tcPr>
            <w:tcW w:w="0" w:type="auto"/>
            <w:vAlign w:val="center"/>
          </w:tcPr>
          <w:p w:rsidR="00AB1DF7" w:rsidRDefault="00C77800">
            <w:pPr>
              <w:jc w:val="right"/>
            </w:pPr>
            <w:r>
              <w:rPr>
                <w:color w:val="000000"/>
                <w:sz w:val="24"/>
              </w:rPr>
              <w:t>75,000,000.00</w:t>
            </w:r>
          </w:p>
        </w:tc>
        <w:tc>
          <w:tcPr>
            <w:tcW w:w="0" w:type="auto"/>
            <w:vAlign w:val="center"/>
          </w:tcPr>
          <w:p w:rsidR="00AB1DF7" w:rsidRDefault="00C77800">
            <w:pPr>
              <w:jc w:val="right"/>
            </w:pPr>
            <w:r>
              <w:rPr>
                <w:color w:val="000000"/>
                <w:sz w:val="24"/>
              </w:rPr>
              <w:t>2.14</w:t>
            </w:r>
          </w:p>
        </w:tc>
      </w:tr>
      <w:tr w:rsidR="00AB1DF7">
        <w:trPr>
          <w:jc w:val="center"/>
        </w:trPr>
        <w:tc>
          <w:tcPr>
            <w:tcW w:w="0" w:type="auto"/>
            <w:vAlign w:val="center"/>
          </w:tcPr>
          <w:p w:rsidR="00AB1DF7" w:rsidRDefault="00C77800">
            <w:pPr>
              <w:jc w:val="center"/>
            </w:pPr>
            <w:r>
              <w:rPr>
                <w:color w:val="000000"/>
                <w:sz w:val="24"/>
              </w:rPr>
              <w:t>3</w:t>
            </w:r>
          </w:p>
        </w:tc>
        <w:tc>
          <w:tcPr>
            <w:tcW w:w="0" w:type="auto"/>
            <w:vAlign w:val="center"/>
          </w:tcPr>
          <w:p w:rsidR="00AB1DF7" w:rsidRDefault="00C77800">
            <w:pPr>
              <w:jc w:val="center"/>
            </w:pPr>
            <w:r>
              <w:rPr>
                <w:color w:val="000000"/>
                <w:sz w:val="24"/>
              </w:rPr>
              <w:t>179452</w:t>
            </w:r>
          </w:p>
        </w:tc>
        <w:tc>
          <w:tcPr>
            <w:tcW w:w="0" w:type="auto"/>
            <w:vAlign w:val="center"/>
          </w:tcPr>
          <w:p w:rsidR="00AB1DF7" w:rsidRDefault="00C77800">
            <w:pPr>
              <w:jc w:val="center"/>
            </w:pPr>
            <w:r>
              <w:rPr>
                <w:color w:val="000000"/>
                <w:sz w:val="24"/>
              </w:rPr>
              <w:t>铁保</w:t>
            </w:r>
            <w:r>
              <w:rPr>
                <w:color w:val="000000"/>
                <w:sz w:val="24"/>
              </w:rPr>
              <w:t>06A2</w:t>
            </w:r>
          </w:p>
        </w:tc>
        <w:tc>
          <w:tcPr>
            <w:tcW w:w="0" w:type="auto"/>
            <w:vAlign w:val="center"/>
          </w:tcPr>
          <w:p w:rsidR="00AB1DF7" w:rsidRDefault="00C77800">
            <w:pPr>
              <w:jc w:val="right"/>
            </w:pPr>
            <w:r>
              <w:rPr>
                <w:color w:val="000000"/>
                <w:sz w:val="24"/>
              </w:rPr>
              <w:t>160,000</w:t>
            </w:r>
          </w:p>
        </w:tc>
        <w:tc>
          <w:tcPr>
            <w:tcW w:w="0" w:type="auto"/>
            <w:vAlign w:val="center"/>
          </w:tcPr>
          <w:p w:rsidR="00AB1DF7" w:rsidRDefault="00C77800">
            <w:pPr>
              <w:jc w:val="right"/>
            </w:pPr>
            <w:r>
              <w:rPr>
                <w:color w:val="000000"/>
                <w:sz w:val="24"/>
              </w:rPr>
              <w:t>16,000,000.00</w:t>
            </w:r>
          </w:p>
        </w:tc>
        <w:tc>
          <w:tcPr>
            <w:tcW w:w="0" w:type="auto"/>
            <w:vAlign w:val="center"/>
          </w:tcPr>
          <w:p w:rsidR="00AB1DF7" w:rsidRDefault="00C77800">
            <w:pPr>
              <w:jc w:val="right"/>
            </w:pPr>
            <w:r>
              <w:rPr>
                <w:color w:val="000000"/>
                <w:sz w:val="24"/>
              </w:rPr>
              <w:t>0.46</w:t>
            </w:r>
          </w:p>
        </w:tc>
      </w:tr>
      <w:tr w:rsidR="00AB1DF7">
        <w:trPr>
          <w:jc w:val="center"/>
        </w:trPr>
        <w:tc>
          <w:tcPr>
            <w:tcW w:w="0" w:type="auto"/>
            <w:vAlign w:val="center"/>
          </w:tcPr>
          <w:p w:rsidR="00AB1DF7" w:rsidRDefault="00C77800">
            <w:pPr>
              <w:jc w:val="center"/>
            </w:pPr>
            <w:r>
              <w:rPr>
                <w:color w:val="000000"/>
                <w:sz w:val="24"/>
              </w:rPr>
              <w:t>4</w:t>
            </w:r>
          </w:p>
        </w:tc>
        <w:tc>
          <w:tcPr>
            <w:tcW w:w="0" w:type="auto"/>
            <w:vAlign w:val="center"/>
          </w:tcPr>
          <w:p w:rsidR="00AB1DF7" w:rsidRDefault="00C77800">
            <w:pPr>
              <w:jc w:val="center"/>
            </w:pPr>
            <w:r>
              <w:rPr>
                <w:color w:val="000000"/>
                <w:sz w:val="24"/>
              </w:rPr>
              <w:t>179231</w:t>
            </w:r>
          </w:p>
        </w:tc>
        <w:tc>
          <w:tcPr>
            <w:tcW w:w="0" w:type="auto"/>
            <w:vAlign w:val="center"/>
          </w:tcPr>
          <w:p w:rsidR="00AB1DF7" w:rsidRDefault="00C77800">
            <w:pPr>
              <w:jc w:val="center"/>
            </w:pPr>
            <w:r>
              <w:rPr>
                <w:color w:val="000000"/>
                <w:sz w:val="24"/>
              </w:rPr>
              <w:t>电建</w:t>
            </w:r>
            <w:r>
              <w:rPr>
                <w:color w:val="000000"/>
                <w:sz w:val="24"/>
              </w:rPr>
              <w:t>2A1</w:t>
            </w:r>
          </w:p>
        </w:tc>
        <w:tc>
          <w:tcPr>
            <w:tcW w:w="0" w:type="auto"/>
            <w:vAlign w:val="center"/>
          </w:tcPr>
          <w:p w:rsidR="00AB1DF7" w:rsidRDefault="00C77800">
            <w:pPr>
              <w:jc w:val="right"/>
            </w:pPr>
            <w:r>
              <w:rPr>
                <w:color w:val="000000"/>
                <w:sz w:val="24"/>
              </w:rPr>
              <w:t>150,000</w:t>
            </w:r>
          </w:p>
        </w:tc>
        <w:tc>
          <w:tcPr>
            <w:tcW w:w="0" w:type="auto"/>
            <w:vAlign w:val="center"/>
          </w:tcPr>
          <w:p w:rsidR="00AB1DF7" w:rsidRDefault="00C77800">
            <w:pPr>
              <w:jc w:val="right"/>
            </w:pPr>
            <w:r>
              <w:rPr>
                <w:color w:val="000000"/>
                <w:sz w:val="24"/>
              </w:rPr>
              <w:t>15,000,000.00</w:t>
            </w:r>
          </w:p>
        </w:tc>
        <w:tc>
          <w:tcPr>
            <w:tcW w:w="0" w:type="auto"/>
            <w:vAlign w:val="center"/>
          </w:tcPr>
          <w:p w:rsidR="00AB1DF7" w:rsidRDefault="00C77800">
            <w:pPr>
              <w:jc w:val="right"/>
            </w:pPr>
            <w:r>
              <w:rPr>
                <w:color w:val="000000"/>
                <w:sz w:val="24"/>
              </w:rPr>
              <w:t>0.43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57,846,355.47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9,992.01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57,856,347.48</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交银裕利纯债债券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交银裕利纯债债券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3,382,721,417.05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92,531.48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111,390.43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102,054.17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18,021.76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3,382,730,753.31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74,509.72</w:t>
            </w:r>
          </w:p>
        </w:tc>
      </w:tr>
    </w:tbl>
    <w:p w:rsidR="00AB1DF7" w:rsidRDefault="00C7780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lastRenderedPageBreak/>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AB1DF7">
        <w:tc>
          <w:tcPr>
            <w:tcW w:w="992" w:type="dxa"/>
            <w:vMerge w:val="restart"/>
          </w:tcPr>
          <w:p w:rsidR="00AB1DF7" w:rsidRDefault="00AB1DF7"/>
          <w:p w:rsidR="00AB1DF7" w:rsidRDefault="00C77800">
            <w:r>
              <w:rPr>
                <w:rFonts w:ascii="宋体" w:hAnsi="宋体" w:hint="eastAsia"/>
                <w:bCs/>
                <w:color w:val="000000"/>
                <w:kern w:val="0"/>
                <w:szCs w:val="21"/>
              </w:rPr>
              <w:t>机构</w:t>
            </w:r>
          </w:p>
        </w:tc>
        <w:tc>
          <w:tcPr>
            <w:tcW w:w="991" w:type="dxa"/>
            <w:vAlign w:val="center"/>
          </w:tcPr>
          <w:p w:rsidR="00AB1DF7" w:rsidRDefault="00C77800">
            <w:pPr>
              <w:jc w:val="center"/>
            </w:pPr>
            <w:r>
              <w:rPr>
                <w:rFonts w:ascii="宋体" w:hAnsi="宋体" w:hint="eastAsia"/>
                <w:color w:val="000000"/>
                <w:kern w:val="0"/>
                <w:szCs w:val="21"/>
              </w:rPr>
              <w:t>1</w:t>
            </w:r>
          </w:p>
        </w:tc>
        <w:tc>
          <w:tcPr>
            <w:tcW w:w="1843" w:type="dxa"/>
            <w:vAlign w:val="center"/>
          </w:tcPr>
          <w:p w:rsidR="00AB1DF7" w:rsidRDefault="00C77800">
            <w:pPr>
              <w:jc w:val="center"/>
            </w:pPr>
            <w:r>
              <w:rPr>
                <w:rFonts w:ascii="宋体" w:hAnsi="宋体" w:hint="eastAsia"/>
                <w:color w:val="000000"/>
                <w:kern w:val="0"/>
                <w:szCs w:val="21"/>
              </w:rPr>
              <w:t>2020/10/1-2020/12/31</w:t>
            </w:r>
          </w:p>
        </w:tc>
        <w:tc>
          <w:tcPr>
            <w:tcW w:w="851" w:type="dxa"/>
            <w:vAlign w:val="center"/>
          </w:tcPr>
          <w:p w:rsidR="00AB1DF7" w:rsidRDefault="00C77800">
            <w:pPr>
              <w:jc w:val="center"/>
            </w:pPr>
            <w:r>
              <w:rPr>
                <w:rFonts w:ascii="宋体" w:hAnsi="宋体" w:hint="eastAsia"/>
                <w:color w:val="000000"/>
                <w:kern w:val="0"/>
                <w:szCs w:val="21"/>
              </w:rPr>
              <w:t>3,382,690,550.12</w:t>
            </w:r>
          </w:p>
        </w:tc>
        <w:tc>
          <w:tcPr>
            <w:tcW w:w="850" w:type="dxa"/>
            <w:vAlign w:val="center"/>
          </w:tcPr>
          <w:p w:rsidR="00AB1DF7" w:rsidRDefault="00C77800">
            <w:pPr>
              <w:jc w:val="center"/>
            </w:pPr>
            <w:r>
              <w:rPr>
                <w:rFonts w:ascii="宋体" w:hAnsi="宋体" w:hint="eastAsia"/>
                <w:color w:val="000000"/>
                <w:kern w:val="0"/>
                <w:szCs w:val="21"/>
              </w:rPr>
              <w:t>-</w:t>
            </w:r>
          </w:p>
        </w:tc>
        <w:tc>
          <w:tcPr>
            <w:tcW w:w="1134" w:type="dxa"/>
            <w:vAlign w:val="center"/>
          </w:tcPr>
          <w:p w:rsidR="00AB1DF7" w:rsidRDefault="00C77800">
            <w:pPr>
              <w:jc w:val="center"/>
            </w:pPr>
            <w:r>
              <w:rPr>
                <w:rFonts w:ascii="宋体" w:hAnsi="宋体" w:hint="eastAsia"/>
                <w:color w:val="000000"/>
                <w:kern w:val="0"/>
                <w:szCs w:val="21"/>
              </w:rPr>
              <w:t>-</w:t>
            </w:r>
          </w:p>
        </w:tc>
        <w:tc>
          <w:tcPr>
            <w:tcW w:w="1419" w:type="dxa"/>
            <w:vAlign w:val="center"/>
          </w:tcPr>
          <w:p w:rsidR="00AB1DF7" w:rsidRDefault="00C77800">
            <w:pPr>
              <w:jc w:val="center"/>
            </w:pPr>
            <w:r>
              <w:rPr>
                <w:rFonts w:ascii="宋体" w:hAnsi="宋体" w:hint="eastAsia"/>
                <w:color w:val="000000"/>
                <w:kern w:val="0"/>
                <w:szCs w:val="21"/>
              </w:rPr>
              <w:t>3,382,690,550.12</w:t>
            </w:r>
          </w:p>
        </w:tc>
        <w:tc>
          <w:tcPr>
            <w:tcW w:w="1130" w:type="dxa"/>
            <w:vAlign w:val="center"/>
          </w:tcPr>
          <w:p w:rsidR="00AB1DF7" w:rsidRDefault="00C77800">
            <w:pPr>
              <w:jc w:val="center"/>
            </w:pPr>
            <w:r>
              <w:rPr>
                <w:rFonts w:ascii="宋体" w:hAnsi="宋体" w:hint="eastAsia"/>
                <w:color w:val="000000"/>
                <w:kern w:val="0"/>
                <w:szCs w:val="21"/>
              </w:rPr>
              <w:t>100.00%</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AB1DF7" w:rsidRDefault="00C77800">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、中国证监会准予交银施罗德裕利纯债债券型证券投资基金募集注册的文件；</w:t>
      </w:r>
      <w:r>
        <w:rPr>
          <w:rFonts w:eastAsiaTheme="minorEastAsia"/>
          <w:color w:val="000000"/>
          <w:sz w:val="24"/>
        </w:rPr>
        <w:t xml:space="preserve"> </w:t>
      </w:r>
    </w:p>
    <w:p w:rsidR="00AB1DF7" w:rsidRDefault="00C77800">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、《交银施罗德裕利纯债债券型证券投资基金基金合同》；</w:t>
      </w:r>
      <w:r>
        <w:rPr>
          <w:rFonts w:eastAsiaTheme="minorEastAsia"/>
          <w:color w:val="000000"/>
          <w:sz w:val="24"/>
        </w:rPr>
        <w:t xml:space="preserve"> </w:t>
      </w:r>
    </w:p>
    <w:p w:rsidR="00AB1DF7" w:rsidRDefault="00C77800">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、《交银施罗德裕利纯债债券型证券投资基金招募说明书》；</w:t>
      </w:r>
      <w:r>
        <w:rPr>
          <w:rFonts w:eastAsiaTheme="minorEastAsia"/>
          <w:color w:val="000000"/>
          <w:sz w:val="24"/>
        </w:rPr>
        <w:t xml:space="preserve"> </w:t>
      </w:r>
    </w:p>
    <w:p w:rsidR="00AB1DF7" w:rsidRDefault="00C77800">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、《交银施罗德裕利纯债债券型证券投资基金托管协议》；</w:t>
      </w:r>
      <w:r>
        <w:rPr>
          <w:rFonts w:eastAsiaTheme="minorEastAsia"/>
          <w:color w:val="000000"/>
          <w:sz w:val="24"/>
        </w:rPr>
        <w:t xml:space="preserve"> </w:t>
      </w:r>
    </w:p>
    <w:p w:rsidR="00AB1DF7" w:rsidRDefault="00C77800">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、关于申请募集注册交银施罗德裕利纯债债券型证券投资基金的法律意见书；</w:t>
      </w:r>
      <w:r>
        <w:rPr>
          <w:rFonts w:eastAsiaTheme="minorEastAsia"/>
          <w:color w:val="000000"/>
          <w:sz w:val="24"/>
        </w:rPr>
        <w:t xml:space="preserve"> </w:t>
      </w:r>
    </w:p>
    <w:p w:rsidR="00AB1DF7" w:rsidRDefault="00C77800">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AB1DF7" w:rsidRDefault="00C77800">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、报告期内交银施罗德裕利纯债债券型证券投资基金在指定报刊上各项公告的原稿。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9.3</w:t>
      </w:r>
      <w:r w:rsidR="00FB3C94" w:rsidRPr="007F52FA">
        <w:rPr>
          <w:rFonts w:eastAsiaTheme="minorEastAsia"/>
          <w:b/>
          <w:bCs/>
          <w:color w:val="000000"/>
          <w:kern w:val="0"/>
          <w:sz w:val="24"/>
        </w:rPr>
        <w:t>查阅方式</w:t>
      </w:r>
    </w:p>
    <w:p w:rsidR="00AB1DF7" w:rsidRDefault="00C77800">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800" w:rsidRDefault="00C77800">
      <w:r>
        <w:separator/>
      </w:r>
    </w:p>
  </w:endnote>
  <w:endnote w:type="continuationSeparator" w:id="0">
    <w:p w:rsidR="00C77800" w:rsidRDefault="00C7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916F19">
      <w:rPr>
        <w:noProof/>
        <w:kern w:val="0"/>
        <w:szCs w:val="21"/>
      </w:rPr>
      <w:t>5</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916F19">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800" w:rsidRDefault="00C77800">
      <w:r>
        <w:separator/>
      </w:r>
    </w:p>
  </w:footnote>
  <w:footnote w:type="continuationSeparator" w:id="0">
    <w:p w:rsidR="00C77800" w:rsidRDefault="00C77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交银施罗德裕利纯债债券型证券投资基金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6F19"/>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1DF7"/>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77800"/>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0C5EE-FE39-4D97-BD98-26D3C5B7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255</TotalTime>
  <Pages>1</Pages>
  <Words>1247</Words>
  <Characters>7112</Characters>
  <Application>Microsoft Office Word</Application>
  <DocSecurity>0</DocSecurity>
  <Lines>59</Lines>
  <Paragraphs>16</Paragraphs>
  <ScaleCrop>false</ScaleCrop>
  <Company>TRT. Ltd. Co.</Company>
  <LinksUpToDate>false</LinksUpToDate>
  <CharactersWithSpaces>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406</cp:revision>
  <cp:lastPrinted>2007-07-19T00:46:00Z</cp:lastPrinted>
  <dcterms:created xsi:type="dcterms:W3CDTF">2014-01-17T06:19:00Z</dcterms:created>
  <dcterms:modified xsi:type="dcterms:W3CDTF">2021-01-18T08:44:00Z</dcterms:modified>
</cp:coreProperties>
</file>