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二〇二一年一月二十一日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65EB8" w:rsidRDefault="00A51EE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65EB8" w:rsidRDefault="00A51EE4">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65EB8" w:rsidRDefault="00A51EE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65EB8" w:rsidRDefault="00A51EE4">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A65EB8" w:rsidRDefault="00A51EE4">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w:t>
            </w:r>
            <w:proofErr w:type="gramStart"/>
            <w:r w:rsidRPr="000E4C40">
              <w:rPr>
                <w:color w:val="000000"/>
                <w:kern w:val="0"/>
                <w:sz w:val="24"/>
              </w:rPr>
              <w:t>宝货币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18,348,453,814.51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w:t>
            </w:r>
            <w:proofErr w:type="gramStart"/>
            <w:r w:rsidRPr="000E4C40">
              <w:rPr>
                <w:sz w:val="24"/>
              </w:rPr>
              <w:t>宝货币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w:t>
            </w:r>
            <w:proofErr w:type="gramStart"/>
            <w:r w:rsidRPr="000E4C40">
              <w:rPr>
                <w:sz w:val="24"/>
              </w:rPr>
              <w:t>宝货币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16,684,925,964.24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1,663,527,850.27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w:t>
            </w:r>
            <w:proofErr w:type="gramStart"/>
            <w:r w:rsidRPr="000E4C40">
              <w:rPr>
                <w:sz w:val="24"/>
              </w:rPr>
              <w:t>宝货币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w:t>
            </w:r>
            <w:proofErr w:type="gramStart"/>
            <w:r w:rsidRPr="000E4C40">
              <w:rPr>
                <w:sz w:val="24"/>
              </w:rPr>
              <w:t>宝货币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90,304,453.97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10,559,218.44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90,304,453.97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10,559,218.44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16,684,925,964.24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1,663,527,850.27</w:t>
            </w:r>
          </w:p>
        </w:tc>
      </w:tr>
    </w:tbl>
    <w:p w:rsidR="00A65EB8" w:rsidRDefault="00A51EE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w:t>
      </w:r>
      <w:proofErr w:type="gramStart"/>
      <w:r>
        <w:rPr>
          <w:color w:val="000000"/>
          <w:sz w:val="24"/>
        </w:rPr>
        <w:t>前基金</w:t>
      </w:r>
      <w:proofErr w:type="gramEnd"/>
      <w:r>
        <w:rPr>
          <w:color w:val="000000"/>
          <w:sz w:val="24"/>
        </w:rPr>
        <w:t>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w:t>
      </w:r>
      <w:proofErr w:type="gramStart"/>
      <w:r w:rsidR="00834F7F" w:rsidRPr="000E4C40">
        <w:rPr>
          <w:rFonts w:ascii="Times New Roman" w:hAnsi="Times New Roman"/>
          <w:b/>
          <w:color w:val="auto"/>
        </w:rPr>
        <w:t>宝货币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65EB8">
        <w:trPr>
          <w:jc w:val="center"/>
        </w:trPr>
        <w:tc>
          <w:tcPr>
            <w:tcW w:w="1266" w:type="dxa"/>
            <w:vAlign w:val="center"/>
          </w:tcPr>
          <w:p w:rsidR="00A65EB8" w:rsidRDefault="00A51EE4">
            <w:pPr>
              <w:jc w:val="left"/>
            </w:pPr>
            <w:r>
              <w:rPr>
                <w:color w:val="000000"/>
              </w:rPr>
              <w:t>过去三个月</w:t>
            </w:r>
          </w:p>
        </w:tc>
        <w:tc>
          <w:tcPr>
            <w:tcW w:w="1267" w:type="dxa"/>
            <w:vAlign w:val="center"/>
          </w:tcPr>
          <w:p w:rsidR="00A65EB8" w:rsidRDefault="00A51EE4">
            <w:pPr>
              <w:jc w:val="center"/>
            </w:pPr>
            <w:r>
              <w:rPr>
                <w:color w:val="000000"/>
              </w:rPr>
              <w:t>0.5122%</w:t>
            </w:r>
          </w:p>
        </w:tc>
        <w:tc>
          <w:tcPr>
            <w:tcW w:w="1267" w:type="dxa"/>
            <w:vAlign w:val="center"/>
          </w:tcPr>
          <w:p w:rsidR="00A65EB8" w:rsidRDefault="00A51EE4">
            <w:pPr>
              <w:jc w:val="center"/>
            </w:pPr>
            <w:r>
              <w:rPr>
                <w:color w:val="000000"/>
              </w:rPr>
              <w:t>0.0007%</w:t>
            </w:r>
          </w:p>
        </w:tc>
        <w:tc>
          <w:tcPr>
            <w:tcW w:w="1267" w:type="dxa"/>
            <w:vAlign w:val="center"/>
          </w:tcPr>
          <w:p w:rsidR="00A65EB8" w:rsidRDefault="00A51EE4">
            <w:pPr>
              <w:jc w:val="center"/>
            </w:pPr>
            <w:r>
              <w:rPr>
                <w:color w:val="000000"/>
              </w:rPr>
              <w:t>0.0882%</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0.4240%</w:t>
            </w:r>
          </w:p>
        </w:tc>
        <w:tc>
          <w:tcPr>
            <w:tcW w:w="1267" w:type="dxa"/>
            <w:vAlign w:val="center"/>
          </w:tcPr>
          <w:p w:rsidR="00A65EB8" w:rsidRDefault="00A51EE4">
            <w:pPr>
              <w:jc w:val="center"/>
            </w:pPr>
            <w:r>
              <w:rPr>
                <w:color w:val="000000"/>
              </w:rPr>
              <w:t>0.0007%</w:t>
            </w:r>
          </w:p>
        </w:tc>
      </w:tr>
      <w:tr w:rsidR="00A65EB8">
        <w:trPr>
          <w:jc w:val="center"/>
        </w:trPr>
        <w:tc>
          <w:tcPr>
            <w:tcW w:w="1266" w:type="dxa"/>
            <w:vAlign w:val="center"/>
          </w:tcPr>
          <w:p w:rsidR="00A65EB8" w:rsidRDefault="00A51EE4">
            <w:pPr>
              <w:jc w:val="left"/>
            </w:pPr>
            <w:r>
              <w:rPr>
                <w:color w:val="000000"/>
              </w:rPr>
              <w:t>过去六个月</w:t>
            </w:r>
          </w:p>
        </w:tc>
        <w:tc>
          <w:tcPr>
            <w:tcW w:w="1267" w:type="dxa"/>
            <w:vAlign w:val="center"/>
          </w:tcPr>
          <w:p w:rsidR="00A65EB8" w:rsidRDefault="00A51EE4">
            <w:pPr>
              <w:jc w:val="center"/>
            </w:pPr>
            <w:r>
              <w:rPr>
                <w:color w:val="000000"/>
              </w:rPr>
              <w:t>0.9205%</w:t>
            </w:r>
          </w:p>
        </w:tc>
        <w:tc>
          <w:tcPr>
            <w:tcW w:w="1267" w:type="dxa"/>
            <w:vAlign w:val="center"/>
          </w:tcPr>
          <w:p w:rsidR="00A65EB8" w:rsidRDefault="00A51EE4">
            <w:pPr>
              <w:jc w:val="center"/>
            </w:pPr>
            <w:r>
              <w:rPr>
                <w:color w:val="000000"/>
              </w:rPr>
              <w:t>0.0008%</w:t>
            </w:r>
          </w:p>
        </w:tc>
        <w:tc>
          <w:tcPr>
            <w:tcW w:w="1267" w:type="dxa"/>
            <w:vAlign w:val="center"/>
          </w:tcPr>
          <w:p w:rsidR="00A65EB8" w:rsidRDefault="00A51EE4">
            <w:pPr>
              <w:jc w:val="center"/>
            </w:pPr>
            <w:r>
              <w:rPr>
                <w:color w:val="000000"/>
              </w:rPr>
              <w:t>0.1764%</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0.7441%</w:t>
            </w:r>
          </w:p>
        </w:tc>
        <w:tc>
          <w:tcPr>
            <w:tcW w:w="1267" w:type="dxa"/>
            <w:vAlign w:val="center"/>
          </w:tcPr>
          <w:p w:rsidR="00A65EB8" w:rsidRDefault="00A51EE4">
            <w:pPr>
              <w:jc w:val="center"/>
            </w:pPr>
            <w:r>
              <w:rPr>
                <w:color w:val="000000"/>
              </w:rPr>
              <w:t>0.0008%</w:t>
            </w:r>
          </w:p>
        </w:tc>
      </w:tr>
      <w:tr w:rsidR="00A65EB8">
        <w:trPr>
          <w:jc w:val="center"/>
        </w:trPr>
        <w:tc>
          <w:tcPr>
            <w:tcW w:w="1266" w:type="dxa"/>
            <w:vAlign w:val="center"/>
          </w:tcPr>
          <w:p w:rsidR="00A65EB8" w:rsidRDefault="00A51EE4">
            <w:pPr>
              <w:jc w:val="left"/>
            </w:pPr>
            <w:r>
              <w:rPr>
                <w:color w:val="000000"/>
              </w:rPr>
              <w:t>过去一年</w:t>
            </w:r>
          </w:p>
        </w:tc>
        <w:tc>
          <w:tcPr>
            <w:tcW w:w="1267" w:type="dxa"/>
            <w:vAlign w:val="center"/>
          </w:tcPr>
          <w:p w:rsidR="00A65EB8" w:rsidRDefault="00A51EE4">
            <w:pPr>
              <w:jc w:val="center"/>
            </w:pPr>
            <w:r>
              <w:rPr>
                <w:color w:val="000000"/>
              </w:rPr>
              <w:t>2.0137%</w:t>
            </w:r>
          </w:p>
        </w:tc>
        <w:tc>
          <w:tcPr>
            <w:tcW w:w="1267" w:type="dxa"/>
            <w:vAlign w:val="center"/>
          </w:tcPr>
          <w:p w:rsidR="00A65EB8" w:rsidRDefault="00A51EE4">
            <w:pPr>
              <w:jc w:val="center"/>
            </w:pPr>
            <w:r>
              <w:rPr>
                <w:color w:val="000000"/>
              </w:rPr>
              <w:t>0.0013%</w:t>
            </w:r>
          </w:p>
        </w:tc>
        <w:tc>
          <w:tcPr>
            <w:tcW w:w="1267" w:type="dxa"/>
            <w:vAlign w:val="center"/>
          </w:tcPr>
          <w:p w:rsidR="00A65EB8" w:rsidRDefault="00A51EE4">
            <w:pPr>
              <w:jc w:val="center"/>
            </w:pPr>
            <w:r>
              <w:rPr>
                <w:color w:val="000000"/>
              </w:rPr>
              <w:t>0.3510%</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1.6627%</w:t>
            </w:r>
          </w:p>
        </w:tc>
        <w:tc>
          <w:tcPr>
            <w:tcW w:w="1267" w:type="dxa"/>
            <w:vAlign w:val="center"/>
          </w:tcPr>
          <w:p w:rsidR="00A65EB8" w:rsidRDefault="00A51EE4">
            <w:pPr>
              <w:jc w:val="center"/>
            </w:pPr>
            <w:r>
              <w:rPr>
                <w:color w:val="000000"/>
              </w:rPr>
              <w:t>0.0013%</w:t>
            </w:r>
          </w:p>
        </w:tc>
      </w:tr>
      <w:tr w:rsidR="00A65EB8">
        <w:trPr>
          <w:jc w:val="center"/>
        </w:trPr>
        <w:tc>
          <w:tcPr>
            <w:tcW w:w="1266" w:type="dxa"/>
            <w:vAlign w:val="center"/>
          </w:tcPr>
          <w:p w:rsidR="00A65EB8" w:rsidRDefault="00A51EE4">
            <w:pPr>
              <w:jc w:val="left"/>
            </w:pPr>
            <w:r>
              <w:rPr>
                <w:color w:val="000000"/>
              </w:rPr>
              <w:t>过去三年</w:t>
            </w:r>
          </w:p>
        </w:tc>
        <w:tc>
          <w:tcPr>
            <w:tcW w:w="1267" w:type="dxa"/>
            <w:vAlign w:val="center"/>
          </w:tcPr>
          <w:p w:rsidR="00A65EB8" w:rsidRDefault="00A51EE4">
            <w:pPr>
              <w:jc w:val="center"/>
            </w:pPr>
            <w:r>
              <w:rPr>
                <w:color w:val="000000"/>
              </w:rPr>
              <w:t>8.0632%</w:t>
            </w:r>
          </w:p>
        </w:tc>
        <w:tc>
          <w:tcPr>
            <w:tcW w:w="1267" w:type="dxa"/>
            <w:vAlign w:val="center"/>
          </w:tcPr>
          <w:p w:rsidR="00A65EB8" w:rsidRDefault="00A51EE4">
            <w:pPr>
              <w:jc w:val="center"/>
            </w:pPr>
            <w:r>
              <w:rPr>
                <w:color w:val="000000"/>
              </w:rPr>
              <w:t>0.0024%</w:t>
            </w:r>
          </w:p>
        </w:tc>
        <w:tc>
          <w:tcPr>
            <w:tcW w:w="1267" w:type="dxa"/>
            <w:vAlign w:val="center"/>
          </w:tcPr>
          <w:p w:rsidR="00A65EB8" w:rsidRDefault="00A51EE4">
            <w:pPr>
              <w:jc w:val="center"/>
            </w:pPr>
            <w:r>
              <w:rPr>
                <w:color w:val="000000"/>
              </w:rPr>
              <w:t>1.0510%</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7.0122%</w:t>
            </w:r>
          </w:p>
        </w:tc>
        <w:tc>
          <w:tcPr>
            <w:tcW w:w="1267" w:type="dxa"/>
            <w:vAlign w:val="center"/>
          </w:tcPr>
          <w:p w:rsidR="00A65EB8" w:rsidRDefault="00A51EE4">
            <w:pPr>
              <w:jc w:val="center"/>
            </w:pPr>
            <w:r>
              <w:rPr>
                <w:color w:val="000000"/>
              </w:rPr>
              <w:t>0.0024%</w:t>
            </w:r>
          </w:p>
        </w:tc>
      </w:tr>
      <w:tr w:rsidR="00A65EB8">
        <w:trPr>
          <w:jc w:val="center"/>
        </w:trPr>
        <w:tc>
          <w:tcPr>
            <w:tcW w:w="1266" w:type="dxa"/>
            <w:vAlign w:val="center"/>
          </w:tcPr>
          <w:p w:rsidR="00A65EB8" w:rsidRDefault="00A51EE4">
            <w:pPr>
              <w:jc w:val="left"/>
            </w:pPr>
            <w:r>
              <w:rPr>
                <w:color w:val="000000"/>
              </w:rPr>
              <w:t>过去五年</w:t>
            </w:r>
          </w:p>
        </w:tc>
        <w:tc>
          <w:tcPr>
            <w:tcW w:w="1267" w:type="dxa"/>
            <w:vAlign w:val="center"/>
          </w:tcPr>
          <w:p w:rsidR="00A65EB8" w:rsidRDefault="00A51EE4">
            <w:pPr>
              <w:jc w:val="center"/>
            </w:pPr>
            <w:r>
              <w:rPr>
                <w:color w:val="000000"/>
              </w:rPr>
              <w:t>14.0540%</w:t>
            </w:r>
          </w:p>
        </w:tc>
        <w:tc>
          <w:tcPr>
            <w:tcW w:w="1267" w:type="dxa"/>
            <w:vAlign w:val="center"/>
          </w:tcPr>
          <w:p w:rsidR="00A65EB8" w:rsidRDefault="00A51EE4">
            <w:pPr>
              <w:jc w:val="center"/>
            </w:pPr>
            <w:r>
              <w:rPr>
                <w:color w:val="000000"/>
              </w:rPr>
              <w:t>0.0022%</w:t>
            </w:r>
          </w:p>
        </w:tc>
        <w:tc>
          <w:tcPr>
            <w:tcW w:w="1267" w:type="dxa"/>
            <w:vAlign w:val="center"/>
          </w:tcPr>
          <w:p w:rsidR="00A65EB8" w:rsidRDefault="00A51EE4">
            <w:pPr>
              <w:jc w:val="center"/>
            </w:pPr>
            <w:r>
              <w:rPr>
                <w:color w:val="000000"/>
              </w:rPr>
              <w:t>1.7519%</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12.3021%</w:t>
            </w:r>
          </w:p>
        </w:tc>
        <w:tc>
          <w:tcPr>
            <w:tcW w:w="1267" w:type="dxa"/>
            <w:vAlign w:val="center"/>
          </w:tcPr>
          <w:p w:rsidR="00A65EB8" w:rsidRDefault="00A51EE4">
            <w:pPr>
              <w:jc w:val="center"/>
            </w:pPr>
            <w:r>
              <w:rPr>
                <w:color w:val="000000"/>
              </w:rPr>
              <w:t>0.0022%</w:t>
            </w:r>
          </w:p>
        </w:tc>
      </w:tr>
      <w:tr w:rsidR="00A65EB8">
        <w:trPr>
          <w:jc w:val="center"/>
        </w:trPr>
        <w:tc>
          <w:tcPr>
            <w:tcW w:w="1266" w:type="dxa"/>
            <w:vAlign w:val="center"/>
          </w:tcPr>
          <w:p w:rsidR="00A65EB8" w:rsidRDefault="00A51EE4">
            <w:pPr>
              <w:jc w:val="left"/>
            </w:pPr>
            <w:r>
              <w:rPr>
                <w:color w:val="000000"/>
              </w:rPr>
              <w:t>自基金合同生效至今</w:t>
            </w:r>
          </w:p>
        </w:tc>
        <w:tc>
          <w:tcPr>
            <w:tcW w:w="1267" w:type="dxa"/>
            <w:vAlign w:val="center"/>
          </w:tcPr>
          <w:p w:rsidR="00A65EB8" w:rsidRDefault="00A51EE4">
            <w:pPr>
              <w:jc w:val="center"/>
            </w:pPr>
            <w:r>
              <w:rPr>
                <w:color w:val="000000"/>
              </w:rPr>
              <w:t>19.4870%</w:t>
            </w:r>
          </w:p>
        </w:tc>
        <w:tc>
          <w:tcPr>
            <w:tcW w:w="1267" w:type="dxa"/>
            <w:vAlign w:val="center"/>
          </w:tcPr>
          <w:p w:rsidR="00A65EB8" w:rsidRDefault="00A51EE4">
            <w:pPr>
              <w:jc w:val="center"/>
            </w:pPr>
            <w:r>
              <w:rPr>
                <w:color w:val="000000"/>
              </w:rPr>
              <w:t>0.0041%</w:t>
            </w:r>
          </w:p>
        </w:tc>
        <w:tc>
          <w:tcPr>
            <w:tcW w:w="1267" w:type="dxa"/>
            <w:vAlign w:val="center"/>
          </w:tcPr>
          <w:p w:rsidR="00A65EB8" w:rsidRDefault="00A51EE4">
            <w:pPr>
              <w:jc w:val="center"/>
            </w:pPr>
            <w:r>
              <w:rPr>
                <w:color w:val="000000"/>
              </w:rPr>
              <w:t>2.2084%</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17.2786%</w:t>
            </w:r>
          </w:p>
        </w:tc>
        <w:tc>
          <w:tcPr>
            <w:tcW w:w="1267" w:type="dxa"/>
            <w:vAlign w:val="center"/>
          </w:tcPr>
          <w:p w:rsidR="00A65EB8" w:rsidRDefault="00A51EE4">
            <w:pPr>
              <w:jc w:val="center"/>
            </w:pPr>
            <w:r>
              <w:rPr>
                <w:color w:val="000000"/>
              </w:rPr>
              <w:t>0.0041%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w:t>
      </w:r>
      <w:proofErr w:type="gramStart"/>
      <w:r w:rsidR="000B2044" w:rsidRPr="000E4C40">
        <w:rPr>
          <w:rFonts w:ascii="Times New Roman" w:hAnsi="Times New Roman"/>
          <w:b/>
          <w:color w:val="000000"/>
        </w:rPr>
        <w:t>宝货币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65EB8">
        <w:trPr>
          <w:jc w:val="center"/>
        </w:trPr>
        <w:tc>
          <w:tcPr>
            <w:tcW w:w="1266" w:type="dxa"/>
            <w:vAlign w:val="center"/>
          </w:tcPr>
          <w:p w:rsidR="00A65EB8" w:rsidRDefault="00A51EE4">
            <w:pPr>
              <w:jc w:val="left"/>
            </w:pPr>
            <w:r>
              <w:rPr>
                <w:color w:val="000000"/>
              </w:rPr>
              <w:t>过去三个月</w:t>
            </w:r>
          </w:p>
        </w:tc>
        <w:tc>
          <w:tcPr>
            <w:tcW w:w="1267" w:type="dxa"/>
            <w:vAlign w:val="center"/>
          </w:tcPr>
          <w:p w:rsidR="00A65EB8" w:rsidRDefault="00A51EE4">
            <w:pPr>
              <w:jc w:val="center"/>
            </w:pPr>
            <w:r>
              <w:rPr>
                <w:color w:val="000000"/>
              </w:rPr>
              <w:t>0.5729%</w:t>
            </w:r>
          </w:p>
        </w:tc>
        <w:tc>
          <w:tcPr>
            <w:tcW w:w="1267" w:type="dxa"/>
            <w:vAlign w:val="center"/>
          </w:tcPr>
          <w:p w:rsidR="00A65EB8" w:rsidRDefault="00A51EE4">
            <w:pPr>
              <w:jc w:val="center"/>
            </w:pPr>
            <w:r>
              <w:rPr>
                <w:color w:val="000000"/>
              </w:rPr>
              <w:t>0.0007%</w:t>
            </w:r>
          </w:p>
        </w:tc>
        <w:tc>
          <w:tcPr>
            <w:tcW w:w="1267" w:type="dxa"/>
            <w:vAlign w:val="center"/>
          </w:tcPr>
          <w:p w:rsidR="00A65EB8" w:rsidRDefault="00A51EE4">
            <w:pPr>
              <w:jc w:val="center"/>
            </w:pPr>
            <w:r>
              <w:rPr>
                <w:color w:val="000000"/>
              </w:rPr>
              <w:t>0.0882%</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0.4847%</w:t>
            </w:r>
          </w:p>
        </w:tc>
        <w:tc>
          <w:tcPr>
            <w:tcW w:w="1267" w:type="dxa"/>
            <w:vAlign w:val="center"/>
          </w:tcPr>
          <w:p w:rsidR="00A65EB8" w:rsidRDefault="00A51EE4">
            <w:pPr>
              <w:jc w:val="center"/>
            </w:pPr>
            <w:r>
              <w:rPr>
                <w:color w:val="000000"/>
              </w:rPr>
              <w:t>0.0007%</w:t>
            </w:r>
          </w:p>
        </w:tc>
      </w:tr>
      <w:tr w:rsidR="00A65EB8">
        <w:trPr>
          <w:jc w:val="center"/>
        </w:trPr>
        <w:tc>
          <w:tcPr>
            <w:tcW w:w="1266" w:type="dxa"/>
            <w:vAlign w:val="center"/>
          </w:tcPr>
          <w:p w:rsidR="00A65EB8" w:rsidRDefault="00A51EE4">
            <w:pPr>
              <w:jc w:val="left"/>
            </w:pPr>
            <w:r>
              <w:rPr>
                <w:color w:val="000000"/>
              </w:rPr>
              <w:t>过去六个月</w:t>
            </w:r>
          </w:p>
        </w:tc>
        <w:tc>
          <w:tcPr>
            <w:tcW w:w="1267" w:type="dxa"/>
            <w:vAlign w:val="center"/>
          </w:tcPr>
          <w:p w:rsidR="00A65EB8" w:rsidRDefault="00A51EE4">
            <w:pPr>
              <w:jc w:val="center"/>
            </w:pPr>
            <w:r>
              <w:rPr>
                <w:color w:val="000000"/>
              </w:rPr>
              <w:t>1.0426%</w:t>
            </w:r>
          </w:p>
        </w:tc>
        <w:tc>
          <w:tcPr>
            <w:tcW w:w="1267" w:type="dxa"/>
            <w:vAlign w:val="center"/>
          </w:tcPr>
          <w:p w:rsidR="00A65EB8" w:rsidRDefault="00A51EE4">
            <w:pPr>
              <w:jc w:val="center"/>
            </w:pPr>
            <w:r>
              <w:rPr>
                <w:color w:val="000000"/>
              </w:rPr>
              <w:t>0.0008%</w:t>
            </w:r>
          </w:p>
        </w:tc>
        <w:tc>
          <w:tcPr>
            <w:tcW w:w="1267" w:type="dxa"/>
            <w:vAlign w:val="center"/>
          </w:tcPr>
          <w:p w:rsidR="00A65EB8" w:rsidRDefault="00A51EE4">
            <w:pPr>
              <w:jc w:val="center"/>
            </w:pPr>
            <w:r>
              <w:rPr>
                <w:color w:val="000000"/>
              </w:rPr>
              <w:t>0.1764%</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0.8662%</w:t>
            </w:r>
          </w:p>
        </w:tc>
        <w:tc>
          <w:tcPr>
            <w:tcW w:w="1267" w:type="dxa"/>
            <w:vAlign w:val="center"/>
          </w:tcPr>
          <w:p w:rsidR="00A65EB8" w:rsidRDefault="00A51EE4">
            <w:pPr>
              <w:jc w:val="center"/>
            </w:pPr>
            <w:r>
              <w:rPr>
                <w:color w:val="000000"/>
              </w:rPr>
              <w:t>0.0008%</w:t>
            </w:r>
          </w:p>
        </w:tc>
      </w:tr>
      <w:tr w:rsidR="00A65EB8">
        <w:trPr>
          <w:jc w:val="center"/>
        </w:trPr>
        <w:tc>
          <w:tcPr>
            <w:tcW w:w="1266" w:type="dxa"/>
            <w:vAlign w:val="center"/>
          </w:tcPr>
          <w:p w:rsidR="00A65EB8" w:rsidRDefault="00A51EE4">
            <w:pPr>
              <w:jc w:val="left"/>
            </w:pPr>
            <w:r>
              <w:rPr>
                <w:color w:val="000000"/>
              </w:rPr>
              <w:t>过去一年</w:t>
            </w:r>
          </w:p>
        </w:tc>
        <w:tc>
          <w:tcPr>
            <w:tcW w:w="1267" w:type="dxa"/>
            <w:vAlign w:val="center"/>
          </w:tcPr>
          <w:p w:rsidR="00A65EB8" w:rsidRDefault="00A51EE4">
            <w:pPr>
              <w:jc w:val="center"/>
            </w:pPr>
            <w:r>
              <w:rPr>
                <w:color w:val="000000"/>
              </w:rPr>
              <w:t>2.2587%</w:t>
            </w:r>
          </w:p>
        </w:tc>
        <w:tc>
          <w:tcPr>
            <w:tcW w:w="1267" w:type="dxa"/>
            <w:vAlign w:val="center"/>
          </w:tcPr>
          <w:p w:rsidR="00A65EB8" w:rsidRDefault="00A51EE4">
            <w:pPr>
              <w:jc w:val="center"/>
            </w:pPr>
            <w:r>
              <w:rPr>
                <w:color w:val="000000"/>
              </w:rPr>
              <w:t>0.0013%</w:t>
            </w:r>
          </w:p>
        </w:tc>
        <w:tc>
          <w:tcPr>
            <w:tcW w:w="1267" w:type="dxa"/>
            <w:vAlign w:val="center"/>
          </w:tcPr>
          <w:p w:rsidR="00A65EB8" w:rsidRDefault="00A51EE4">
            <w:pPr>
              <w:jc w:val="center"/>
            </w:pPr>
            <w:r>
              <w:rPr>
                <w:color w:val="000000"/>
              </w:rPr>
              <w:t>0.3510%</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1.9077%</w:t>
            </w:r>
          </w:p>
        </w:tc>
        <w:tc>
          <w:tcPr>
            <w:tcW w:w="1267" w:type="dxa"/>
            <w:vAlign w:val="center"/>
          </w:tcPr>
          <w:p w:rsidR="00A65EB8" w:rsidRDefault="00A51EE4">
            <w:pPr>
              <w:jc w:val="center"/>
            </w:pPr>
            <w:r>
              <w:rPr>
                <w:color w:val="000000"/>
              </w:rPr>
              <w:t>0.0013%</w:t>
            </w:r>
          </w:p>
        </w:tc>
      </w:tr>
      <w:tr w:rsidR="00A65EB8">
        <w:trPr>
          <w:jc w:val="center"/>
        </w:trPr>
        <w:tc>
          <w:tcPr>
            <w:tcW w:w="1266" w:type="dxa"/>
            <w:vAlign w:val="center"/>
          </w:tcPr>
          <w:p w:rsidR="00A65EB8" w:rsidRDefault="00A51EE4">
            <w:pPr>
              <w:jc w:val="left"/>
            </w:pPr>
            <w:r>
              <w:rPr>
                <w:color w:val="000000"/>
              </w:rPr>
              <w:t>过去三年</w:t>
            </w:r>
          </w:p>
        </w:tc>
        <w:tc>
          <w:tcPr>
            <w:tcW w:w="1267" w:type="dxa"/>
            <w:vAlign w:val="center"/>
          </w:tcPr>
          <w:p w:rsidR="00A65EB8" w:rsidRDefault="00A51EE4">
            <w:pPr>
              <w:jc w:val="center"/>
            </w:pPr>
            <w:r>
              <w:rPr>
                <w:color w:val="000000"/>
              </w:rPr>
              <w:t>8.8351%</w:t>
            </w:r>
          </w:p>
        </w:tc>
        <w:tc>
          <w:tcPr>
            <w:tcW w:w="1267" w:type="dxa"/>
            <w:vAlign w:val="center"/>
          </w:tcPr>
          <w:p w:rsidR="00A65EB8" w:rsidRDefault="00A51EE4">
            <w:pPr>
              <w:jc w:val="center"/>
            </w:pPr>
            <w:r>
              <w:rPr>
                <w:color w:val="000000"/>
              </w:rPr>
              <w:t>0.0024%</w:t>
            </w:r>
          </w:p>
        </w:tc>
        <w:tc>
          <w:tcPr>
            <w:tcW w:w="1267" w:type="dxa"/>
            <w:vAlign w:val="center"/>
          </w:tcPr>
          <w:p w:rsidR="00A65EB8" w:rsidRDefault="00A51EE4">
            <w:pPr>
              <w:jc w:val="center"/>
            </w:pPr>
            <w:r>
              <w:rPr>
                <w:color w:val="000000"/>
              </w:rPr>
              <w:t>1.0510%</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7.7841%</w:t>
            </w:r>
          </w:p>
        </w:tc>
        <w:tc>
          <w:tcPr>
            <w:tcW w:w="1267" w:type="dxa"/>
            <w:vAlign w:val="center"/>
          </w:tcPr>
          <w:p w:rsidR="00A65EB8" w:rsidRDefault="00A51EE4">
            <w:pPr>
              <w:jc w:val="center"/>
            </w:pPr>
            <w:r>
              <w:rPr>
                <w:color w:val="000000"/>
              </w:rPr>
              <w:t>0.0024%</w:t>
            </w:r>
          </w:p>
        </w:tc>
      </w:tr>
      <w:tr w:rsidR="00A65EB8">
        <w:trPr>
          <w:jc w:val="center"/>
        </w:trPr>
        <w:tc>
          <w:tcPr>
            <w:tcW w:w="1266" w:type="dxa"/>
            <w:vAlign w:val="center"/>
          </w:tcPr>
          <w:p w:rsidR="00A65EB8" w:rsidRDefault="00A51EE4">
            <w:pPr>
              <w:jc w:val="left"/>
            </w:pPr>
            <w:r>
              <w:rPr>
                <w:color w:val="000000"/>
              </w:rPr>
              <w:t>自基金合同生效至今</w:t>
            </w:r>
          </w:p>
        </w:tc>
        <w:tc>
          <w:tcPr>
            <w:tcW w:w="1267" w:type="dxa"/>
            <w:vAlign w:val="center"/>
          </w:tcPr>
          <w:p w:rsidR="00A65EB8" w:rsidRDefault="00A51EE4">
            <w:pPr>
              <w:jc w:val="center"/>
            </w:pPr>
            <w:r>
              <w:rPr>
                <w:color w:val="000000"/>
              </w:rPr>
              <w:t>13.4177%</w:t>
            </w:r>
          </w:p>
        </w:tc>
        <w:tc>
          <w:tcPr>
            <w:tcW w:w="1267" w:type="dxa"/>
            <w:vAlign w:val="center"/>
          </w:tcPr>
          <w:p w:rsidR="00A65EB8" w:rsidRDefault="00A51EE4">
            <w:pPr>
              <w:jc w:val="center"/>
            </w:pPr>
            <w:r>
              <w:rPr>
                <w:color w:val="000000"/>
              </w:rPr>
              <w:t>0.0023%</w:t>
            </w:r>
          </w:p>
        </w:tc>
        <w:tc>
          <w:tcPr>
            <w:tcW w:w="1267" w:type="dxa"/>
            <w:vAlign w:val="center"/>
          </w:tcPr>
          <w:p w:rsidR="00A65EB8" w:rsidRDefault="00A51EE4">
            <w:pPr>
              <w:jc w:val="center"/>
            </w:pPr>
            <w:r>
              <w:rPr>
                <w:color w:val="000000"/>
              </w:rPr>
              <w:t>1.5064%</w:t>
            </w:r>
          </w:p>
        </w:tc>
        <w:tc>
          <w:tcPr>
            <w:tcW w:w="1267" w:type="dxa"/>
            <w:vAlign w:val="center"/>
          </w:tcPr>
          <w:p w:rsidR="00A65EB8" w:rsidRDefault="00A51EE4">
            <w:pPr>
              <w:jc w:val="center"/>
            </w:pPr>
            <w:r>
              <w:rPr>
                <w:color w:val="000000"/>
              </w:rPr>
              <w:t>0.0000%</w:t>
            </w:r>
          </w:p>
        </w:tc>
        <w:tc>
          <w:tcPr>
            <w:tcW w:w="1267" w:type="dxa"/>
            <w:vAlign w:val="center"/>
          </w:tcPr>
          <w:p w:rsidR="00A65EB8" w:rsidRDefault="00A51EE4">
            <w:pPr>
              <w:jc w:val="center"/>
            </w:pPr>
            <w:r>
              <w:rPr>
                <w:color w:val="000000"/>
              </w:rPr>
              <w:t>11.9113%</w:t>
            </w:r>
          </w:p>
        </w:tc>
        <w:tc>
          <w:tcPr>
            <w:tcW w:w="1267" w:type="dxa"/>
            <w:vAlign w:val="center"/>
          </w:tcPr>
          <w:p w:rsidR="00A65EB8" w:rsidRDefault="00A51EE4">
            <w:pPr>
              <w:jc w:val="center"/>
            </w:pPr>
            <w:r>
              <w:rPr>
                <w:color w:val="000000"/>
              </w:rPr>
              <w:t>0.0023%</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7"/>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w:t>
      </w:r>
      <w:proofErr w:type="gramStart"/>
      <w:r w:rsidRPr="000E4C40">
        <w:rPr>
          <w:color w:val="000000"/>
          <w:kern w:val="0"/>
          <w:sz w:val="24"/>
        </w:rPr>
        <w:t>宝货币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w:t>
      </w:r>
      <w:proofErr w:type="gramStart"/>
      <w:r w:rsidR="005F668B" w:rsidRPr="000E4C40">
        <w:rPr>
          <w:color w:val="000000"/>
          <w:kern w:val="0"/>
          <w:sz w:val="24"/>
        </w:rPr>
        <w:t>宝货币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65EB8">
        <w:trPr>
          <w:jc w:val="center"/>
        </w:trPr>
        <w:tc>
          <w:tcPr>
            <w:tcW w:w="945" w:type="dxa"/>
            <w:vAlign w:val="center"/>
          </w:tcPr>
          <w:p w:rsidR="00A65EB8" w:rsidRDefault="00A51EE4">
            <w:pPr>
              <w:jc w:val="center"/>
            </w:pPr>
            <w:proofErr w:type="gramStart"/>
            <w:r>
              <w:rPr>
                <w:color w:val="000000"/>
                <w:sz w:val="24"/>
              </w:rPr>
              <w:t>季参平</w:t>
            </w:r>
            <w:proofErr w:type="gramEnd"/>
          </w:p>
        </w:tc>
        <w:tc>
          <w:tcPr>
            <w:tcW w:w="1589" w:type="dxa"/>
            <w:vAlign w:val="center"/>
          </w:tcPr>
          <w:p w:rsidR="00A65EB8" w:rsidRDefault="00A51EE4">
            <w:pPr>
              <w:jc w:val="center"/>
            </w:pPr>
            <w:r>
              <w:rPr>
                <w:color w:val="000000"/>
                <w:sz w:val="24"/>
              </w:rPr>
              <w:t>交银货币、交</w:t>
            </w:r>
            <w:proofErr w:type="gramStart"/>
            <w:r>
              <w:rPr>
                <w:color w:val="000000"/>
                <w:sz w:val="24"/>
              </w:rPr>
              <w:t>银裕通纯债</w:t>
            </w:r>
            <w:proofErr w:type="gramEnd"/>
            <w:r>
              <w:rPr>
                <w:color w:val="000000"/>
                <w:sz w:val="24"/>
              </w:rPr>
              <w:t>债券、交银现金宝货币、交银天</w:t>
            </w:r>
            <w:proofErr w:type="gramStart"/>
            <w:r>
              <w:rPr>
                <w:color w:val="000000"/>
                <w:sz w:val="24"/>
              </w:rPr>
              <w:t>鑫</w:t>
            </w:r>
            <w:proofErr w:type="gramEnd"/>
            <w:r>
              <w:rPr>
                <w:color w:val="000000"/>
                <w:sz w:val="24"/>
              </w:rPr>
              <w:t>宝货币、交银裕</w:t>
            </w:r>
            <w:proofErr w:type="gramStart"/>
            <w:r>
              <w:rPr>
                <w:color w:val="000000"/>
                <w:sz w:val="24"/>
              </w:rPr>
              <w:t>祥纯债</w:t>
            </w:r>
            <w:proofErr w:type="gramEnd"/>
            <w:r>
              <w:rPr>
                <w:color w:val="000000"/>
                <w:sz w:val="24"/>
              </w:rPr>
              <w:t>债券、交银中债</w:t>
            </w:r>
            <w:r>
              <w:rPr>
                <w:color w:val="000000"/>
                <w:sz w:val="24"/>
              </w:rPr>
              <w:t>1-3</w:t>
            </w:r>
            <w:r>
              <w:rPr>
                <w:color w:val="000000"/>
                <w:sz w:val="24"/>
              </w:rPr>
              <w:t>年政</w:t>
            </w:r>
            <w:proofErr w:type="gramStart"/>
            <w:r>
              <w:rPr>
                <w:color w:val="000000"/>
                <w:sz w:val="24"/>
              </w:rPr>
              <w:t>金债指数</w:t>
            </w:r>
            <w:proofErr w:type="gramEnd"/>
            <w:r>
              <w:rPr>
                <w:color w:val="000000"/>
                <w:sz w:val="24"/>
              </w:rPr>
              <w:t>的基金经理</w:t>
            </w:r>
          </w:p>
        </w:tc>
        <w:tc>
          <w:tcPr>
            <w:tcW w:w="1478" w:type="dxa"/>
            <w:vAlign w:val="center"/>
          </w:tcPr>
          <w:p w:rsidR="00A65EB8" w:rsidRDefault="00A51EE4">
            <w:pPr>
              <w:jc w:val="center"/>
            </w:pPr>
            <w:r>
              <w:rPr>
                <w:color w:val="000000"/>
                <w:sz w:val="24"/>
              </w:rPr>
              <w:t>2019-07-26</w:t>
            </w:r>
          </w:p>
        </w:tc>
        <w:tc>
          <w:tcPr>
            <w:tcW w:w="1478" w:type="dxa"/>
            <w:vAlign w:val="center"/>
          </w:tcPr>
          <w:p w:rsidR="00A65EB8" w:rsidRDefault="00A51EE4">
            <w:pPr>
              <w:jc w:val="center"/>
            </w:pPr>
            <w:r>
              <w:rPr>
                <w:color w:val="000000"/>
                <w:sz w:val="24"/>
              </w:rPr>
              <w:t>-</w:t>
            </w:r>
          </w:p>
        </w:tc>
        <w:tc>
          <w:tcPr>
            <w:tcW w:w="986" w:type="dxa"/>
            <w:vAlign w:val="center"/>
          </w:tcPr>
          <w:p w:rsidR="00A65EB8" w:rsidRDefault="00A51EE4">
            <w:pPr>
              <w:jc w:val="center"/>
            </w:pPr>
            <w:r>
              <w:rPr>
                <w:color w:val="000000"/>
                <w:sz w:val="24"/>
              </w:rPr>
              <w:t>8</w:t>
            </w:r>
            <w:r>
              <w:rPr>
                <w:color w:val="000000"/>
                <w:sz w:val="24"/>
              </w:rPr>
              <w:t>年</w:t>
            </w:r>
          </w:p>
        </w:tc>
        <w:tc>
          <w:tcPr>
            <w:tcW w:w="2392" w:type="dxa"/>
            <w:vAlign w:val="center"/>
          </w:tcPr>
          <w:p w:rsidR="00A65EB8" w:rsidRDefault="00A51EE4">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65EB8" w:rsidRDefault="00A51EE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w:t>
      </w:r>
      <w:r>
        <w:rPr>
          <w:color w:val="000000"/>
          <w:sz w:val="24"/>
        </w:rPr>
        <w:lastRenderedPageBreak/>
        <w:t>度进行公平交易。</w:t>
      </w:r>
    </w:p>
    <w:p w:rsidR="00A65EB8" w:rsidRDefault="00A51EE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A65EB8" w:rsidRDefault="00A51EE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65EB8" w:rsidRDefault="00A51EE4">
      <w:pPr>
        <w:spacing w:before="29" w:line="288" w:lineRule="auto"/>
        <w:ind w:firstLineChars="200" w:firstLine="480"/>
        <w:rPr>
          <w:color w:val="000000"/>
          <w:sz w:val="24"/>
        </w:rPr>
      </w:pPr>
      <w:r>
        <w:rPr>
          <w:color w:val="000000"/>
          <w:sz w:val="24"/>
        </w:rPr>
        <w:t>本报告期内，货币市场流动性从结构性紧平衡逐步转向宽松的态势，货币市场工具收益率冲高回落。具体来看，十月央行超额续作</w:t>
      </w:r>
      <w:r>
        <w:rPr>
          <w:color w:val="000000"/>
          <w:sz w:val="24"/>
        </w:rPr>
        <w:t>3000</w:t>
      </w:r>
      <w:r>
        <w:rPr>
          <w:color w:val="000000"/>
          <w:sz w:val="24"/>
        </w:rPr>
        <w:t>亿</w:t>
      </w:r>
      <w:r>
        <w:rPr>
          <w:color w:val="000000"/>
          <w:sz w:val="24"/>
        </w:rPr>
        <w:t>MLF</w:t>
      </w:r>
      <w:r>
        <w:rPr>
          <w:color w:val="000000"/>
          <w:sz w:val="24"/>
        </w:rPr>
        <w:t>，并重启逆回购操作，但受缴税以及双十</w:t>
      </w:r>
      <w:proofErr w:type="gramStart"/>
      <w:r>
        <w:rPr>
          <w:color w:val="000000"/>
          <w:sz w:val="24"/>
        </w:rPr>
        <w:t>一</w:t>
      </w:r>
      <w:proofErr w:type="gramEnd"/>
      <w:r>
        <w:rPr>
          <w:color w:val="000000"/>
          <w:sz w:val="24"/>
        </w:rPr>
        <w:t>银行提升备付金等扰动因素，资金利率持续走高，月底</w:t>
      </w:r>
      <w:r>
        <w:rPr>
          <w:color w:val="000000"/>
          <w:sz w:val="24"/>
        </w:rPr>
        <w:t>R001</w:t>
      </w:r>
      <w:r>
        <w:rPr>
          <w:color w:val="000000"/>
          <w:sz w:val="24"/>
        </w:rPr>
        <w:t>和</w:t>
      </w:r>
      <w:r>
        <w:rPr>
          <w:color w:val="000000"/>
          <w:sz w:val="24"/>
        </w:rPr>
        <w:t>R007</w:t>
      </w:r>
      <w:r>
        <w:rPr>
          <w:color w:val="000000"/>
          <w:sz w:val="24"/>
        </w:rPr>
        <w:t>分别提升至</w:t>
      </w:r>
      <w:r>
        <w:rPr>
          <w:color w:val="000000"/>
          <w:sz w:val="24"/>
        </w:rPr>
        <w:t>2.92%</w:t>
      </w:r>
      <w:r>
        <w:rPr>
          <w:color w:val="000000"/>
          <w:sz w:val="24"/>
        </w:rPr>
        <w:t>和</w:t>
      </w:r>
      <w:r>
        <w:rPr>
          <w:color w:val="000000"/>
          <w:sz w:val="24"/>
        </w:rPr>
        <w:t>3.37%</w:t>
      </w:r>
      <w:r>
        <w:rPr>
          <w:color w:val="000000"/>
          <w:sz w:val="24"/>
        </w:rPr>
        <w:t>。十一月，部分信用债违约事件爆发，对流动性造成冲击，</w:t>
      </w:r>
      <w:r>
        <w:rPr>
          <w:color w:val="000000"/>
          <w:sz w:val="24"/>
        </w:rPr>
        <w:t>13</w:t>
      </w:r>
      <w:r>
        <w:rPr>
          <w:color w:val="000000"/>
          <w:sz w:val="24"/>
        </w:rPr>
        <w:t>日</w:t>
      </w:r>
      <w:r>
        <w:rPr>
          <w:color w:val="000000"/>
          <w:sz w:val="24"/>
        </w:rPr>
        <w:t>DR001</w:t>
      </w:r>
      <w:r>
        <w:rPr>
          <w:color w:val="000000"/>
          <w:sz w:val="24"/>
        </w:rPr>
        <w:t>上行至月内高点</w:t>
      </w:r>
      <w:r>
        <w:rPr>
          <w:color w:val="000000"/>
          <w:sz w:val="24"/>
        </w:rPr>
        <w:t>2.53%</w:t>
      </w:r>
      <w:r>
        <w:rPr>
          <w:color w:val="000000"/>
          <w:sz w:val="24"/>
        </w:rPr>
        <w:t>，直至</w:t>
      </w:r>
      <w:r>
        <w:rPr>
          <w:color w:val="000000"/>
          <w:sz w:val="24"/>
        </w:rPr>
        <w:t>16</w:t>
      </w:r>
      <w:r>
        <w:rPr>
          <w:color w:val="000000"/>
          <w:sz w:val="24"/>
        </w:rPr>
        <w:t>日央行超额续作</w:t>
      </w:r>
      <w:r>
        <w:rPr>
          <w:color w:val="000000"/>
          <w:sz w:val="24"/>
        </w:rPr>
        <w:t>2000</w:t>
      </w:r>
      <w:r>
        <w:rPr>
          <w:color w:val="000000"/>
          <w:sz w:val="24"/>
        </w:rPr>
        <w:t>亿</w:t>
      </w:r>
      <w:r>
        <w:rPr>
          <w:color w:val="000000"/>
          <w:sz w:val="24"/>
        </w:rPr>
        <w:t>MLF</w:t>
      </w:r>
      <w:r>
        <w:rPr>
          <w:color w:val="000000"/>
          <w:sz w:val="24"/>
        </w:rPr>
        <w:t>后，资金利率开始回落。步入下旬后，央行</w:t>
      </w:r>
      <w:r>
        <w:rPr>
          <w:color w:val="000000"/>
          <w:sz w:val="24"/>
        </w:rPr>
        <w:t>OMO</w:t>
      </w:r>
      <w:r>
        <w:rPr>
          <w:color w:val="000000"/>
          <w:sz w:val="24"/>
        </w:rPr>
        <w:t>净投放规模增加，并于</w:t>
      </w:r>
      <w:r>
        <w:rPr>
          <w:color w:val="000000"/>
          <w:sz w:val="24"/>
        </w:rPr>
        <w:t>30</w:t>
      </w:r>
      <w:r>
        <w:rPr>
          <w:color w:val="000000"/>
          <w:sz w:val="24"/>
        </w:rPr>
        <w:t>日开展了</w:t>
      </w:r>
      <w:r>
        <w:rPr>
          <w:color w:val="000000"/>
          <w:sz w:val="24"/>
        </w:rPr>
        <w:t>2000</w:t>
      </w:r>
      <w:r>
        <w:rPr>
          <w:color w:val="000000"/>
          <w:sz w:val="24"/>
        </w:rPr>
        <w:t>亿</w:t>
      </w:r>
      <w:r>
        <w:rPr>
          <w:color w:val="000000"/>
          <w:sz w:val="24"/>
        </w:rPr>
        <w:t>MLF</w:t>
      </w:r>
      <w:r>
        <w:rPr>
          <w:color w:val="000000"/>
          <w:sz w:val="24"/>
        </w:rPr>
        <w:t>和</w:t>
      </w:r>
      <w:r>
        <w:rPr>
          <w:color w:val="000000"/>
          <w:sz w:val="24"/>
        </w:rPr>
        <w:t>1500</w:t>
      </w:r>
      <w:r>
        <w:rPr>
          <w:color w:val="000000"/>
          <w:sz w:val="24"/>
        </w:rPr>
        <w:t>亿</w:t>
      </w:r>
      <w:r>
        <w:rPr>
          <w:color w:val="000000"/>
          <w:sz w:val="24"/>
        </w:rPr>
        <w:t>7</w:t>
      </w:r>
      <w:r>
        <w:rPr>
          <w:color w:val="000000"/>
          <w:sz w:val="24"/>
        </w:rPr>
        <w:t>天逆回购，超市场预期。十二月，</w:t>
      </w:r>
      <w:r>
        <w:rPr>
          <w:color w:val="000000"/>
          <w:sz w:val="24"/>
        </w:rPr>
        <w:t>15</w:t>
      </w:r>
      <w:r>
        <w:rPr>
          <w:color w:val="000000"/>
          <w:sz w:val="24"/>
        </w:rPr>
        <w:t>日央行超额续作</w:t>
      </w:r>
      <w:r>
        <w:rPr>
          <w:color w:val="000000"/>
          <w:sz w:val="24"/>
        </w:rPr>
        <w:t>9500</w:t>
      </w:r>
      <w:r>
        <w:rPr>
          <w:color w:val="000000"/>
          <w:sz w:val="24"/>
        </w:rPr>
        <w:t>亿</w:t>
      </w:r>
      <w:r>
        <w:rPr>
          <w:color w:val="000000"/>
          <w:sz w:val="24"/>
        </w:rPr>
        <w:t>MLF</w:t>
      </w:r>
      <w:r>
        <w:rPr>
          <w:color w:val="000000"/>
          <w:sz w:val="24"/>
        </w:rPr>
        <w:t>，并从</w:t>
      </w:r>
      <w:r>
        <w:rPr>
          <w:color w:val="000000"/>
          <w:sz w:val="24"/>
        </w:rPr>
        <w:t>21</w:t>
      </w:r>
      <w:r>
        <w:rPr>
          <w:color w:val="000000"/>
          <w:sz w:val="24"/>
        </w:rPr>
        <w:t>日起连续三日投放</w:t>
      </w:r>
      <w:r>
        <w:rPr>
          <w:color w:val="000000"/>
          <w:sz w:val="24"/>
        </w:rPr>
        <w:t>14</w:t>
      </w:r>
      <w:r>
        <w:rPr>
          <w:color w:val="000000"/>
          <w:sz w:val="24"/>
        </w:rPr>
        <w:t>天逆回购资金，流动性宽裕跨年的预期逐步抬升，同时带动三个月股份制银行存单大幅下行，从</w:t>
      </w:r>
      <w:r>
        <w:rPr>
          <w:color w:val="000000"/>
          <w:sz w:val="24"/>
        </w:rPr>
        <w:t>12</w:t>
      </w:r>
      <w:r>
        <w:rPr>
          <w:color w:val="000000"/>
          <w:sz w:val="24"/>
        </w:rPr>
        <w:t>月初的</w:t>
      </w:r>
      <w:r>
        <w:rPr>
          <w:color w:val="000000"/>
          <w:sz w:val="24"/>
        </w:rPr>
        <w:t>3.06%</w:t>
      </w:r>
      <w:r>
        <w:rPr>
          <w:color w:val="000000"/>
          <w:sz w:val="24"/>
        </w:rPr>
        <w:t>水平下行到月底的</w:t>
      </w:r>
      <w:r>
        <w:rPr>
          <w:color w:val="000000"/>
          <w:sz w:val="24"/>
        </w:rPr>
        <w:t>2.65%</w:t>
      </w:r>
      <w:r>
        <w:rPr>
          <w:color w:val="000000"/>
          <w:sz w:val="24"/>
        </w:rPr>
        <w:t>附近，月内下行幅度在</w:t>
      </w:r>
      <w:r>
        <w:rPr>
          <w:color w:val="000000"/>
          <w:sz w:val="24"/>
        </w:rPr>
        <w:t>30BP</w:t>
      </w:r>
      <w:r>
        <w:rPr>
          <w:color w:val="000000"/>
          <w:sz w:val="24"/>
        </w:rPr>
        <w:t>以上。报告期内，三个月</w:t>
      </w:r>
      <w:r>
        <w:rPr>
          <w:color w:val="000000"/>
          <w:sz w:val="24"/>
        </w:rPr>
        <w:t>SHIBOR</w:t>
      </w:r>
      <w:r>
        <w:rPr>
          <w:color w:val="000000"/>
          <w:sz w:val="24"/>
        </w:rPr>
        <w:t>利率上行约</w:t>
      </w:r>
      <w:r>
        <w:rPr>
          <w:color w:val="000000"/>
          <w:sz w:val="24"/>
        </w:rPr>
        <w:t>7BP</w:t>
      </w:r>
      <w:r>
        <w:rPr>
          <w:color w:val="000000"/>
          <w:sz w:val="24"/>
        </w:rPr>
        <w:t>到</w:t>
      </w:r>
      <w:r w:rsidR="00556696">
        <w:rPr>
          <w:color w:val="000000"/>
          <w:sz w:val="24"/>
        </w:rPr>
        <w:t>2.7</w:t>
      </w:r>
      <w:r>
        <w:rPr>
          <w:color w:val="000000"/>
          <w:sz w:val="24"/>
        </w:rPr>
        <w:t>6%</w:t>
      </w:r>
      <w:r>
        <w:rPr>
          <w:color w:val="000000"/>
          <w:sz w:val="24"/>
        </w:rPr>
        <w:t>。</w:t>
      </w:r>
    </w:p>
    <w:p w:rsidR="00A65EB8" w:rsidRDefault="00A51EE4">
      <w:pPr>
        <w:spacing w:before="29" w:line="288" w:lineRule="auto"/>
        <w:ind w:firstLineChars="200" w:firstLine="480"/>
        <w:rPr>
          <w:color w:val="000000"/>
          <w:sz w:val="24"/>
        </w:rPr>
      </w:pPr>
      <w:r>
        <w:rPr>
          <w:color w:val="000000"/>
          <w:sz w:val="24"/>
        </w:rPr>
        <w:t>基金操作方面，我们维持低杠杆、</w:t>
      </w:r>
      <w:proofErr w:type="gramStart"/>
      <w:r>
        <w:rPr>
          <w:color w:val="000000"/>
          <w:sz w:val="24"/>
        </w:rPr>
        <w:t>短久期</w:t>
      </w:r>
      <w:proofErr w:type="gramEnd"/>
      <w:r>
        <w:rPr>
          <w:color w:val="000000"/>
          <w:sz w:val="24"/>
        </w:rPr>
        <w:t>的操作思路，多投资于估值波动较小的银行存款与回购等，组合整体流动性良好。十二月末我们视组合流动性和市场情况，增配了高评级的同业存单、同业存款等，提高组合收益水平。</w:t>
      </w:r>
    </w:p>
    <w:p w:rsidR="00A65EB8" w:rsidRDefault="00A51EE4">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年一季度，我们将密切关注短期跨年投放的超额流动性的回笼情况以及春节前央行的再次投放操作，观察信用债违约事件后续对信用市场一级发行的负面影响</w:t>
      </w:r>
      <w:r>
        <w:rPr>
          <w:color w:val="000000"/>
          <w:sz w:val="24"/>
        </w:rPr>
        <w:lastRenderedPageBreak/>
        <w:t>是否逐步被消化，并对强劲的国内经济复苏情况进行持续跟踪。我们认为，在中央经济工作会议提出的货币政策灵活精准、合理适度的基调下，短期的银行间狭义流动性仍然具有不确定性。</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同时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7,662,241,801.43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37.66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7,192,241,801.43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35.35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4,025,513,758.27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19.78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8,550,294,334.77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42.02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109,205,538.75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20,347,255,433.22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lastRenderedPageBreak/>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9.99</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1,987,346,327.08</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10.83</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38.05</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10.83</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15.43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10.79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w:t>
            </w:r>
            <w:r w:rsidR="008B0FBB">
              <w:rPr>
                <w:color w:val="000000"/>
                <w:sz w:val="24"/>
              </w:rPr>
              <w:t>.32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41.</w:t>
            </w:r>
            <w:r w:rsidR="008B0FBB">
              <w:rPr>
                <w:color w:val="000000"/>
                <w:sz w:val="24"/>
              </w:rPr>
              <w:t>71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110.30</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10.83</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129,367,072.62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0.71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830,528,755.61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4.53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830,528,755.61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4.53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9,989,352.24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6,222,356,620.96</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33.91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7,192,241,801.43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39.20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d"/>
        <w:tblW w:w="9302" w:type="dxa"/>
        <w:jc w:val="center"/>
        <w:tblCellMar>
          <w:top w:w="57" w:type="dxa"/>
          <w:bottom w:w="57" w:type="dxa"/>
        </w:tblCellMar>
        <w:tblLook w:val="04A0" w:firstRow="1" w:lastRow="0" w:firstColumn="1" w:lastColumn="0" w:noHBand="0" w:noVBand="1"/>
      </w:tblPr>
      <w:tblGrid>
        <w:gridCol w:w="946"/>
        <w:gridCol w:w="1361"/>
        <w:gridCol w:w="1950"/>
        <w:gridCol w:w="1555"/>
        <w:gridCol w:w="1716"/>
        <w:gridCol w:w="1774"/>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65EB8">
        <w:trPr>
          <w:jc w:val="center"/>
        </w:trPr>
        <w:tc>
          <w:tcPr>
            <w:tcW w:w="0" w:type="auto"/>
            <w:vAlign w:val="center"/>
          </w:tcPr>
          <w:p w:rsidR="00A65EB8" w:rsidRDefault="00A51EE4">
            <w:pPr>
              <w:jc w:val="center"/>
            </w:pPr>
            <w:r>
              <w:rPr>
                <w:color w:val="000000"/>
                <w:sz w:val="24"/>
              </w:rPr>
              <w:t>1</w:t>
            </w:r>
          </w:p>
        </w:tc>
        <w:tc>
          <w:tcPr>
            <w:tcW w:w="0" w:type="auto"/>
            <w:vAlign w:val="center"/>
          </w:tcPr>
          <w:p w:rsidR="00A65EB8" w:rsidRDefault="00A51EE4">
            <w:pPr>
              <w:jc w:val="center"/>
            </w:pPr>
            <w:r>
              <w:rPr>
                <w:color w:val="000000"/>
                <w:sz w:val="24"/>
              </w:rPr>
              <w:t>112021529</w:t>
            </w:r>
          </w:p>
        </w:tc>
        <w:tc>
          <w:tcPr>
            <w:tcW w:w="0" w:type="auto"/>
            <w:vAlign w:val="center"/>
          </w:tcPr>
          <w:p w:rsidR="00A65EB8" w:rsidRDefault="00A51EE4">
            <w:pPr>
              <w:jc w:val="center"/>
            </w:pPr>
            <w:r>
              <w:rPr>
                <w:color w:val="000000"/>
                <w:sz w:val="24"/>
              </w:rPr>
              <w:t>20</w:t>
            </w:r>
            <w:r>
              <w:rPr>
                <w:color w:val="000000"/>
                <w:sz w:val="24"/>
              </w:rPr>
              <w:t>渤海银行</w:t>
            </w:r>
            <w:r>
              <w:rPr>
                <w:color w:val="000000"/>
                <w:sz w:val="24"/>
              </w:rPr>
              <w:t>CD529</w:t>
            </w:r>
          </w:p>
        </w:tc>
        <w:tc>
          <w:tcPr>
            <w:tcW w:w="0" w:type="auto"/>
            <w:vAlign w:val="center"/>
          </w:tcPr>
          <w:p w:rsidR="00A65EB8" w:rsidRDefault="00A51EE4">
            <w:pPr>
              <w:jc w:val="right"/>
            </w:pPr>
            <w:r>
              <w:rPr>
                <w:color w:val="000000"/>
                <w:sz w:val="24"/>
              </w:rPr>
              <w:t>4,100,000</w:t>
            </w:r>
          </w:p>
        </w:tc>
        <w:tc>
          <w:tcPr>
            <w:tcW w:w="0" w:type="auto"/>
            <w:vAlign w:val="center"/>
          </w:tcPr>
          <w:p w:rsidR="00A65EB8" w:rsidRDefault="00A51EE4">
            <w:pPr>
              <w:jc w:val="right"/>
            </w:pPr>
            <w:r>
              <w:rPr>
                <w:color w:val="000000"/>
                <w:sz w:val="24"/>
              </w:rPr>
              <w:t>404,283,629.61</w:t>
            </w:r>
          </w:p>
        </w:tc>
        <w:tc>
          <w:tcPr>
            <w:tcW w:w="0" w:type="auto"/>
            <w:vAlign w:val="center"/>
          </w:tcPr>
          <w:p w:rsidR="00A65EB8" w:rsidRDefault="00A51EE4">
            <w:pPr>
              <w:jc w:val="right"/>
            </w:pPr>
            <w:r>
              <w:rPr>
                <w:color w:val="000000"/>
                <w:sz w:val="24"/>
              </w:rPr>
              <w:t>2.20</w:t>
            </w:r>
          </w:p>
        </w:tc>
      </w:tr>
      <w:tr w:rsidR="00A65EB8">
        <w:trPr>
          <w:jc w:val="center"/>
        </w:trPr>
        <w:tc>
          <w:tcPr>
            <w:tcW w:w="0" w:type="auto"/>
            <w:vAlign w:val="center"/>
          </w:tcPr>
          <w:p w:rsidR="00A65EB8" w:rsidRDefault="00A51EE4">
            <w:pPr>
              <w:jc w:val="center"/>
            </w:pPr>
            <w:r>
              <w:rPr>
                <w:color w:val="000000"/>
                <w:sz w:val="24"/>
              </w:rPr>
              <w:t>2</w:t>
            </w:r>
          </w:p>
        </w:tc>
        <w:tc>
          <w:tcPr>
            <w:tcW w:w="0" w:type="auto"/>
            <w:vAlign w:val="center"/>
          </w:tcPr>
          <w:p w:rsidR="00A65EB8" w:rsidRDefault="00A51EE4">
            <w:pPr>
              <w:jc w:val="center"/>
            </w:pPr>
            <w:r>
              <w:rPr>
                <w:color w:val="000000"/>
                <w:sz w:val="24"/>
              </w:rPr>
              <w:t>180402</w:t>
            </w:r>
          </w:p>
        </w:tc>
        <w:tc>
          <w:tcPr>
            <w:tcW w:w="0" w:type="auto"/>
            <w:vAlign w:val="center"/>
          </w:tcPr>
          <w:p w:rsidR="00A65EB8" w:rsidRDefault="00A51EE4">
            <w:pPr>
              <w:jc w:val="center"/>
            </w:pPr>
            <w:r>
              <w:rPr>
                <w:color w:val="000000"/>
                <w:sz w:val="24"/>
              </w:rPr>
              <w:t>18</w:t>
            </w:r>
            <w:r>
              <w:rPr>
                <w:color w:val="000000"/>
                <w:sz w:val="24"/>
              </w:rPr>
              <w:t>农发</w:t>
            </w:r>
            <w:r>
              <w:rPr>
                <w:color w:val="000000"/>
                <w:sz w:val="24"/>
              </w:rPr>
              <w:t>02</w:t>
            </w:r>
          </w:p>
        </w:tc>
        <w:tc>
          <w:tcPr>
            <w:tcW w:w="0" w:type="auto"/>
            <w:vAlign w:val="center"/>
          </w:tcPr>
          <w:p w:rsidR="00A65EB8" w:rsidRDefault="00A51EE4">
            <w:pPr>
              <w:jc w:val="right"/>
            </w:pPr>
            <w:r>
              <w:rPr>
                <w:color w:val="000000"/>
                <w:sz w:val="24"/>
              </w:rPr>
              <w:t>2,500,000</w:t>
            </w:r>
          </w:p>
        </w:tc>
        <w:tc>
          <w:tcPr>
            <w:tcW w:w="0" w:type="auto"/>
            <w:vAlign w:val="center"/>
          </w:tcPr>
          <w:p w:rsidR="00A65EB8" w:rsidRDefault="00A51EE4">
            <w:pPr>
              <w:jc w:val="right"/>
            </w:pPr>
            <w:r>
              <w:rPr>
                <w:color w:val="000000"/>
                <w:sz w:val="24"/>
              </w:rPr>
              <w:t>250,328,035.56</w:t>
            </w:r>
          </w:p>
        </w:tc>
        <w:tc>
          <w:tcPr>
            <w:tcW w:w="0" w:type="auto"/>
            <w:vAlign w:val="center"/>
          </w:tcPr>
          <w:p w:rsidR="00A65EB8" w:rsidRDefault="00A51EE4">
            <w:pPr>
              <w:jc w:val="right"/>
            </w:pPr>
            <w:r>
              <w:rPr>
                <w:color w:val="000000"/>
                <w:sz w:val="24"/>
              </w:rPr>
              <w:t>1.36</w:t>
            </w:r>
          </w:p>
        </w:tc>
      </w:tr>
      <w:tr w:rsidR="00A65EB8">
        <w:trPr>
          <w:jc w:val="center"/>
        </w:trPr>
        <w:tc>
          <w:tcPr>
            <w:tcW w:w="0" w:type="auto"/>
            <w:vAlign w:val="center"/>
          </w:tcPr>
          <w:p w:rsidR="00A65EB8" w:rsidRDefault="00A51EE4">
            <w:pPr>
              <w:jc w:val="center"/>
            </w:pPr>
            <w:r>
              <w:rPr>
                <w:color w:val="000000"/>
                <w:sz w:val="24"/>
              </w:rPr>
              <w:t>3</w:t>
            </w:r>
          </w:p>
        </w:tc>
        <w:tc>
          <w:tcPr>
            <w:tcW w:w="0" w:type="auto"/>
            <w:vAlign w:val="center"/>
          </w:tcPr>
          <w:p w:rsidR="00A65EB8" w:rsidRDefault="00A51EE4">
            <w:pPr>
              <w:jc w:val="center"/>
            </w:pPr>
            <w:r>
              <w:rPr>
                <w:color w:val="000000"/>
                <w:sz w:val="24"/>
              </w:rPr>
              <w:t>112076208</w:t>
            </w:r>
          </w:p>
        </w:tc>
        <w:tc>
          <w:tcPr>
            <w:tcW w:w="0" w:type="auto"/>
            <w:vAlign w:val="center"/>
          </w:tcPr>
          <w:p w:rsidR="00A65EB8" w:rsidRDefault="00A51EE4">
            <w:pPr>
              <w:jc w:val="center"/>
            </w:pPr>
            <w:r>
              <w:rPr>
                <w:color w:val="000000"/>
                <w:sz w:val="24"/>
              </w:rPr>
              <w:t>20</w:t>
            </w:r>
            <w:r>
              <w:rPr>
                <w:color w:val="000000"/>
                <w:sz w:val="24"/>
              </w:rPr>
              <w:t>昆仑银行</w:t>
            </w:r>
            <w:r>
              <w:rPr>
                <w:color w:val="000000"/>
                <w:sz w:val="24"/>
              </w:rPr>
              <w:t>CD198</w:t>
            </w:r>
          </w:p>
        </w:tc>
        <w:tc>
          <w:tcPr>
            <w:tcW w:w="0" w:type="auto"/>
            <w:vAlign w:val="center"/>
          </w:tcPr>
          <w:p w:rsidR="00A65EB8" w:rsidRDefault="00A51EE4">
            <w:pPr>
              <w:jc w:val="right"/>
            </w:pPr>
            <w:r>
              <w:rPr>
                <w:color w:val="000000"/>
                <w:sz w:val="24"/>
              </w:rPr>
              <w:t>2,200,000</w:t>
            </w:r>
          </w:p>
        </w:tc>
        <w:tc>
          <w:tcPr>
            <w:tcW w:w="0" w:type="auto"/>
            <w:vAlign w:val="center"/>
          </w:tcPr>
          <w:p w:rsidR="00A65EB8" w:rsidRDefault="00A51EE4">
            <w:pPr>
              <w:jc w:val="right"/>
            </w:pPr>
            <w:r>
              <w:rPr>
                <w:color w:val="000000"/>
                <w:sz w:val="24"/>
              </w:rPr>
              <w:t>213,354,142.36</w:t>
            </w:r>
          </w:p>
        </w:tc>
        <w:tc>
          <w:tcPr>
            <w:tcW w:w="0" w:type="auto"/>
            <w:vAlign w:val="center"/>
          </w:tcPr>
          <w:p w:rsidR="00A65EB8" w:rsidRDefault="00A51EE4">
            <w:pPr>
              <w:jc w:val="right"/>
            </w:pPr>
            <w:r>
              <w:rPr>
                <w:color w:val="000000"/>
                <w:sz w:val="24"/>
              </w:rPr>
              <w:t>1.16</w:t>
            </w:r>
          </w:p>
        </w:tc>
      </w:tr>
      <w:tr w:rsidR="00A65EB8">
        <w:trPr>
          <w:jc w:val="center"/>
        </w:trPr>
        <w:tc>
          <w:tcPr>
            <w:tcW w:w="0" w:type="auto"/>
            <w:vAlign w:val="center"/>
          </w:tcPr>
          <w:p w:rsidR="00A65EB8" w:rsidRDefault="00A51EE4">
            <w:pPr>
              <w:jc w:val="center"/>
            </w:pPr>
            <w:r>
              <w:rPr>
                <w:color w:val="000000"/>
                <w:sz w:val="24"/>
              </w:rPr>
              <w:t>4</w:t>
            </w:r>
          </w:p>
        </w:tc>
        <w:tc>
          <w:tcPr>
            <w:tcW w:w="0" w:type="auto"/>
            <w:vAlign w:val="center"/>
          </w:tcPr>
          <w:p w:rsidR="00A65EB8" w:rsidRDefault="00A51EE4">
            <w:pPr>
              <w:jc w:val="center"/>
            </w:pPr>
            <w:r>
              <w:rPr>
                <w:color w:val="000000"/>
                <w:sz w:val="24"/>
              </w:rPr>
              <w:t>112021154</w:t>
            </w:r>
          </w:p>
        </w:tc>
        <w:tc>
          <w:tcPr>
            <w:tcW w:w="0" w:type="auto"/>
            <w:vAlign w:val="center"/>
          </w:tcPr>
          <w:p w:rsidR="00A65EB8" w:rsidRDefault="00A51EE4">
            <w:pPr>
              <w:jc w:val="center"/>
            </w:pPr>
            <w:r>
              <w:rPr>
                <w:color w:val="000000"/>
                <w:sz w:val="24"/>
              </w:rPr>
              <w:t>20</w:t>
            </w:r>
            <w:r>
              <w:rPr>
                <w:color w:val="000000"/>
                <w:sz w:val="24"/>
              </w:rPr>
              <w:t>渤海银行</w:t>
            </w:r>
            <w:r>
              <w:rPr>
                <w:color w:val="000000"/>
                <w:sz w:val="24"/>
              </w:rPr>
              <w:t>CD154</w:t>
            </w:r>
          </w:p>
        </w:tc>
        <w:tc>
          <w:tcPr>
            <w:tcW w:w="0" w:type="auto"/>
            <w:vAlign w:val="center"/>
          </w:tcPr>
          <w:p w:rsidR="00A65EB8" w:rsidRDefault="00A51EE4">
            <w:pPr>
              <w:jc w:val="right"/>
            </w:pPr>
            <w:r>
              <w:rPr>
                <w:color w:val="000000"/>
                <w:sz w:val="24"/>
              </w:rPr>
              <w:t>2,000,000</w:t>
            </w:r>
          </w:p>
        </w:tc>
        <w:tc>
          <w:tcPr>
            <w:tcW w:w="0" w:type="auto"/>
            <w:vAlign w:val="center"/>
          </w:tcPr>
          <w:p w:rsidR="00A65EB8" w:rsidRDefault="00A51EE4">
            <w:pPr>
              <w:jc w:val="right"/>
            </w:pPr>
            <w:r>
              <w:rPr>
                <w:color w:val="000000"/>
                <w:sz w:val="24"/>
              </w:rPr>
              <w:t>199,795,004.07</w:t>
            </w:r>
          </w:p>
        </w:tc>
        <w:tc>
          <w:tcPr>
            <w:tcW w:w="0" w:type="auto"/>
            <w:vAlign w:val="center"/>
          </w:tcPr>
          <w:p w:rsidR="00A65EB8" w:rsidRDefault="00A51EE4">
            <w:pPr>
              <w:jc w:val="right"/>
            </w:pPr>
            <w:r>
              <w:rPr>
                <w:color w:val="000000"/>
                <w:sz w:val="24"/>
              </w:rPr>
              <w:t>1.09</w:t>
            </w:r>
          </w:p>
        </w:tc>
      </w:tr>
      <w:tr w:rsidR="00A65EB8">
        <w:trPr>
          <w:jc w:val="center"/>
        </w:trPr>
        <w:tc>
          <w:tcPr>
            <w:tcW w:w="0" w:type="auto"/>
            <w:vAlign w:val="center"/>
          </w:tcPr>
          <w:p w:rsidR="00A65EB8" w:rsidRDefault="00A51EE4">
            <w:pPr>
              <w:jc w:val="center"/>
            </w:pPr>
            <w:r>
              <w:rPr>
                <w:color w:val="000000"/>
                <w:sz w:val="24"/>
              </w:rPr>
              <w:t>5</w:t>
            </w:r>
          </w:p>
        </w:tc>
        <w:tc>
          <w:tcPr>
            <w:tcW w:w="0" w:type="auto"/>
            <w:vAlign w:val="center"/>
          </w:tcPr>
          <w:p w:rsidR="00A65EB8" w:rsidRDefault="00A51EE4">
            <w:pPr>
              <w:jc w:val="center"/>
            </w:pPr>
            <w:r>
              <w:rPr>
                <w:color w:val="000000"/>
                <w:sz w:val="24"/>
              </w:rPr>
              <w:t>112021159</w:t>
            </w:r>
          </w:p>
        </w:tc>
        <w:tc>
          <w:tcPr>
            <w:tcW w:w="0" w:type="auto"/>
            <w:vAlign w:val="center"/>
          </w:tcPr>
          <w:p w:rsidR="00A65EB8" w:rsidRDefault="00A51EE4">
            <w:pPr>
              <w:jc w:val="center"/>
            </w:pPr>
            <w:r>
              <w:rPr>
                <w:color w:val="000000"/>
                <w:sz w:val="24"/>
              </w:rPr>
              <w:t>20</w:t>
            </w:r>
            <w:r>
              <w:rPr>
                <w:color w:val="000000"/>
                <w:sz w:val="24"/>
              </w:rPr>
              <w:t>渤海银行</w:t>
            </w:r>
            <w:r>
              <w:rPr>
                <w:color w:val="000000"/>
                <w:sz w:val="24"/>
              </w:rPr>
              <w:t>CD159</w:t>
            </w:r>
          </w:p>
        </w:tc>
        <w:tc>
          <w:tcPr>
            <w:tcW w:w="0" w:type="auto"/>
            <w:vAlign w:val="center"/>
          </w:tcPr>
          <w:p w:rsidR="00A65EB8" w:rsidRDefault="00A51EE4">
            <w:pPr>
              <w:jc w:val="right"/>
            </w:pPr>
            <w:r>
              <w:rPr>
                <w:color w:val="000000"/>
                <w:sz w:val="24"/>
              </w:rPr>
              <w:t>2,000,000</w:t>
            </w:r>
          </w:p>
        </w:tc>
        <w:tc>
          <w:tcPr>
            <w:tcW w:w="0" w:type="auto"/>
            <w:vAlign w:val="center"/>
          </w:tcPr>
          <w:p w:rsidR="00A65EB8" w:rsidRDefault="00A51EE4">
            <w:pPr>
              <w:jc w:val="right"/>
            </w:pPr>
            <w:r>
              <w:rPr>
                <w:color w:val="000000"/>
                <w:sz w:val="24"/>
              </w:rPr>
              <w:t>199,786,452.70</w:t>
            </w:r>
          </w:p>
        </w:tc>
        <w:tc>
          <w:tcPr>
            <w:tcW w:w="0" w:type="auto"/>
            <w:vAlign w:val="center"/>
          </w:tcPr>
          <w:p w:rsidR="00A65EB8" w:rsidRDefault="00A51EE4">
            <w:pPr>
              <w:jc w:val="right"/>
            </w:pPr>
            <w:r>
              <w:rPr>
                <w:color w:val="000000"/>
                <w:sz w:val="24"/>
              </w:rPr>
              <w:t>1.09</w:t>
            </w:r>
          </w:p>
        </w:tc>
      </w:tr>
      <w:tr w:rsidR="00A65EB8">
        <w:trPr>
          <w:jc w:val="center"/>
        </w:trPr>
        <w:tc>
          <w:tcPr>
            <w:tcW w:w="0" w:type="auto"/>
            <w:vAlign w:val="center"/>
          </w:tcPr>
          <w:p w:rsidR="00A65EB8" w:rsidRDefault="00A51EE4">
            <w:pPr>
              <w:jc w:val="center"/>
            </w:pPr>
            <w:r>
              <w:rPr>
                <w:color w:val="000000"/>
                <w:sz w:val="24"/>
              </w:rPr>
              <w:t>6</w:t>
            </w:r>
          </w:p>
        </w:tc>
        <w:tc>
          <w:tcPr>
            <w:tcW w:w="0" w:type="auto"/>
            <w:vAlign w:val="center"/>
          </w:tcPr>
          <w:p w:rsidR="00A65EB8" w:rsidRDefault="00A51EE4">
            <w:pPr>
              <w:jc w:val="center"/>
            </w:pPr>
            <w:r>
              <w:rPr>
                <w:color w:val="000000"/>
                <w:sz w:val="24"/>
              </w:rPr>
              <w:t>112021377</w:t>
            </w:r>
          </w:p>
        </w:tc>
        <w:tc>
          <w:tcPr>
            <w:tcW w:w="0" w:type="auto"/>
            <w:vAlign w:val="center"/>
          </w:tcPr>
          <w:p w:rsidR="00A65EB8" w:rsidRDefault="00A51EE4">
            <w:pPr>
              <w:jc w:val="center"/>
            </w:pPr>
            <w:r>
              <w:rPr>
                <w:color w:val="000000"/>
                <w:sz w:val="24"/>
              </w:rPr>
              <w:t>20</w:t>
            </w:r>
            <w:r>
              <w:rPr>
                <w:color w:val="000000"/>
                <w:sz w:val="24"/>
              </w:rPr>
              <w:t>渤海银行</w:t>
            </w:r>
            <w:r>
              <w:rPr>
                <w:color w:val="000000"/>
                <w:sz w:val="24"/>
              </w:rPr>
              <w:t>CD377</w:t>
            </w:r>
          </w:p>
        </w:tc>
        <w:tc>
          <w:tcPr>
            <w:tcW w:w="0" w:type="auto"/>
            <w:vAlign w:val="center"/>
          </w:tcPr>
          <w:p w:rsidR="00A65EB8" w:rsidRDefault="00A51EE4">
            <w:pPr>
              <w:jc w:val="right"/>
            </w:pPr>
            <w:r>
              <w:rPr>
                <w:color w:val="000000"/>
                <w:sz w:val="24"/>
              </w:rPr>
              <w:t>2,000,000</w:t>
            </w:r>
          </w:p>
        </w:tc>
        <w:tc>
          <w:tcPr>
            <w:tcW w:w="0" w:type="auto"/>
            <w:vAlign w:val="center"/>
          </w:tcPr>
          <w:p w:rsidR="00A65EB8" w:rsidRDefault="00A51EE4">
            <w:pPr>
              <w:jc w:val="right"/>
            </w:pPr>
            <w:r>
              <w:rPr>
                <w:color w:val="000000"/>
                <w:sz w:val="24"/>
              </w:rPr>
              <w:t>198,763,692.84</w:t>
            </w:r>
          </w:p>
        </w:tc>
        <w:tc>
          <w:tcPr>
            <w:tcW w:w="0" w:type="auto"/>
            <w:vAlign w:val="center"/>
          </w:tcPr>
          <w:p w:rsidR="00A65EB8" w:rsidRDefault="00A51EE4">
            <w:pPr>
              <w:jc w:val="right"/>
            </w:pPr>
            <w:r>
              <w:rPr>
                <w:color w:val="000000"/>
                <w:sz w:val="24"/>
              </w:rPr>
              <w:t>1.08</w:t>
            </w:r>
          </w:p>
        </w:tc>
      </w:tr>
      <w:tr w:rsidR="00A65EB8">
        <w:trPr>
          <w:jc w:val="center"/>
        </w:trPr>
        <w:tc>
          <w:tcPr>
            <w:tcW w:w="0" w:type="auto"/>
            <w:vAlign w:val="center"/>
          </w:tcPr>
          <w:p w:rsidR="00A65EB8" w:rsidRDefault="00A51EE4">
            <w:pPr>
              <w:jc w:val="center"/>
            </w:pPr>
            <w:r>
              <w:rPr>
                <w:color w:val="000000"/>
                <w:sz w:val="24"/>
              </w:rPr>
              <w:t>7</w:t>
            </w:r>
          </w:p>
        </w:tc>
        <w:tc>
          <w:tcPr>
            <w:tcW w:w="0" w:type="auto"/>
            <w:vAlign w:val="center"/>
          </w:tcPr>
          <w:p w:rsidR="00A65EB8" w:rsidRDefault="00A51EE4">
            <w:pPr>
              <w:jc w:val="center"/>
            </w:pPr>
            <w:r>
              <w:rPr>
                <w:color w:val="000000"/>
                <w:sz w:val="24"/>
              </w:rPr>
              <w:t>112021474</w:t>
            </w:r>
          </w:p>
        </w:tc>
        <w:tc>
          <w:tcPr>
            <w:tcW w:w="0" w:type="auto"/>
            <w:vAlign w:val="center"/>
          </w:tcPr>
          <w:p w:rsidR="00A65EB8" w:rsidRDefault="00A51EE4">
            <w:pPr>
              <w:jc w:val="center"/>
            </w:pPr>
            <w:r>
              <w:rPr>
                <w:color w:val="000000"/>
                <w:sz w:val="24"/>
              </w:rPr>
              <w:t>20</w:t>
            </w:r>
            <w:r>
              <w:rPr>
                <w:color w:val="000000"/>
                <w:sz w:val="24"/>
              </w:rPr>
              <w:t>渤海银行</w:t>
            </w:r>
            <w:r>
              <w:rPr>
                <w:color w:val="000000"/>
                <w:sz w:val="24"/>
              </w:rPr>
              <w:t>CD474</w:t>
            </w:r>
          </w:p>
        </w:tc>
        <w:tc>
          <w:tcPr>
            <w:tcW w:w="0" w:type="auto"/>
            <w:vAlign w:val="center"/>
          </w:tcPr>
          <w:p w:rsidR="00A65EB8" w:rsidRDefault="00A51EE4">
            <w:pPr>
              <w:jc w:val="right"/>
            </w:pPr>
            <w:r>
              <w:rPr>
                <w:color w:val="000000"/>
                <w:sz w:val="24"/>
              </w:rPr>
              <w:t>2,000,000</w:t>
            </w:r>
          </w:p>
        </w:tc>
        <w:tc>
          <w:tcPr>
            <w:tcW w:w="0" w:type="auto"/>
            <w:vAlign w:val="center"/>
          </w:tcPr>
          <w:p w:rsidR="00A65EB8" w:rsidRDefault="00A51EE4">
            <w:pPr>
              <w:jc w:val="right"/>
            </w:pPr>
            <w:r>
              <w:rPr>
                <w:color w:val="000000"/>
                <w:sz w:val="24"/>
              </w:rPr>
              <w:t>197,318,876.45</w:t>
            </w:r>
          </w:p>
        </w:tc>
        <w:tc>
          <w:tcPr>
            <w:tcW w:w="0" w:type="auto"/>
            <w:vAlign w:val="center"/>
          </w:tcPr>
          <w:p w:rsidR="00A65EB8" w:rsidRDefault="00A51EE4">
            <w:pPr>
              <w:jc w:val="right"/>
            </w:pPr>
            <w:r>
              <w:rPr>
                <w:color w:val="000000"/>
                <w:sz w:val="24"/>
              </w:rPr>
              <w:t>1.08</w:t>
            </w:r>
          </w:p>
        </w:tc>
      </w:tr>
      <w:tr w:rsidR="00A65EB8">
        <w:trPr>
          <w:jc w:val="center"/>
        </w:trPr>
        <w:tc>
          <w:tcPr>
            <w:tcW w:w="0" w:type="auto"/>
            <w:vAlign w:val="center"/>
          </w:tcPr>
          <w:p w:rsidR="00A65EB8" w:rsidRDefault="00A51EE4">
            <w:pPr>
              <w:jc w:val="center"/>
            </w:pPr>
            <w:r>
              <w:rPr>
                <w:color w:val="000000"/>
                <w:sz w:val="24"/>
              </w:rPr>
              <w:t>8</w:t>
            </w:r>
          </w:p>
        </w:tc>
        <w:tc>
          <w:tcPr>
            <w:tcW w:w="0" w:type="auto"/>
            <w:vAlign w:val="center"/>
          </w:tcPr>
          <w:p w:rsidR="00A65EB8" w:rsidRDefault="00A51EE4">
            <w:pPr>
              <w:jc w:val="center"/>
            </w:pPr>
            <w:r>
              <w:rPr>
                <w:color w:val="000000"/>
                <w:sz w:val="24"/>
              </w:rPr>
              <w:t>112074415</w:t>
            </w:r>
          </w:p>
        </w:tc>
        <w:tc>
          <w:tcPr>
            <w:tcW w:w="0" w:type="auto"/>
            <w:vAlign w:val="center"/>
          </w:tcPr>
          <w:p w:rsidR="00A65EB8" w:rsidRDefault="00A51EE4">
            <w:pPr>
              <w:jc w:val="center"/>
            </w:pPr>
            <w:r>
              <w:rPr>
                <w:color w:val="000000"/>
                <w:sz w:val="24"/>
              </w:rPr>
              <w:t>20</w:t>
            </w:r>
            <w:r>
              <w:rPr>
                <w:color w:val="000000"/>
                <w:sz w:val="24"/>
              </w:rPr>
              <w:t>贵阳银行</w:t>
            </w:r>
            <w:r>
              <w:rPr>
                <w:color w:val="000000"/>
                <w:sz w:val="24"/>
              </w:rPr>
              <w:t>CD168</w:t>
            </w:r>
          </w:p>
        </w:tc>
        <w:tc>
          <w:tcPr>
            <w:tcW w:w="0" w:type="auto"/>
            <w:vAlign w:val="center"/>
          </w:tcPr>
          <w:p w:rsidR="00A65EB8" w:rsidRDefault="00A51EE4">
            <w:pPr>
              <w:jc w:val="right"/>
            </w:pPr>
            <w:r>
              <w:rPr>
                <w:color w:val="000000"/>
                <w:sz w:val="24"/>
              </w:rPr>
              <w:t>2,000,000</w:t>
            </w:r>
          </w:p>
        </w:tc>
        <w:tc>
          <w:tcPr>
            <w:tcW w:w="0" w:type="auto"/>
            <w:vAlign w:val="center"/>
          </w:tcPr>
          <w:p w:rsidR="00A65EB8" w:rsidRDefault="00A51EE4">
            <w:pPr>
              <w:jc w:val="right"/>
            </w:pPr>
            <w:r>
              <w:rPr>
                <w:color w:val="000000"/>
                <w:sz w:val="24"/>
              </w:rPr>
              <w:t>197,186,317.82</w:t>
            </w:r>
          </w:p>
        </w:tc>
        <w:tc>
          <w:tcPr>
            <w:tcW w:w="0" w:type="auto"/>
            <w:vAlign w:val="center"/>
          </w:tcPr>
          <w:p w:rsidR="00A65EB8" w:rsidRDefault="00A51EE4">
            <w:pPr>
              <w:jc w:val="right"/>
            </w:pPr>
            <w:r>
              <w:rPr>
                <w:color w:val="000000"/>
                <w:sz w:val="24"/>
              </w:rPr>
              <w:t>1.07</w:t>
            </w:r>
          </w:p>
        </w:tc>
      </w:tr>
      <w:tr w:rsidR="00A65EB8" w:rsidTr="008B0FBB">
        <w:trPr>
          <w:jc w:val="center"/>
        </w:trPr>
        <w:tc>
          <w:tcPr>
            <w:tcW w:w="0" w:type="auto"/>
            <w:tcBorders>
              <w:bottom w:val="single" w:sz="4" w:space="0" w:color="000000" w:themeColor="text1"/>
            </w:tcBorders>
            <w:vAlign w:val="center"/>
          </w:tcPr>
          <w:p w:rsidR="00A65EB8" w:rsidRDefault="00A51EE4">
            <w:pPr>
              <w:jc w:val="center"/>
            </w:pPr>
            <w:r>
              <w:rPr>
                <w:color w:val="000000"/>
                <w:sz w:val="24"/>
              </w:rPr>
              <w:t>9</w:t>
            </w:r>
          </w:p>
        </w:tc>
        <w:tc>
          <w:tcPr>
            <w:tcW w:w="0" w:type="auto"/>
            <w:tcBorders>
              <w:bottom w:val="single" w:sz="4" w:space="0" w:color="000000" w:themeColor="text1"/>
            </w:tcBorders>
            <w:vAlign w:val="center"/>
          </w:tcPr>
          <w:p w:rsidR="00A65EB8" w:rsidRDefault="00A51EE4">
            <w:pPr>
              <w:jc w:val="center"/>
            </w:pPr>
            <w:r>
              <w:rPr>
                <w:color w:val="000000"/>
                <w:sz w:val="24"/>
              </w:rPr>
              <w:t>112074495</w:t>
            </w:r>
          </w:p>
        </w:tc>
        <w:tc>
          <w:tcPr>
            <w:tcW w:w="0" w:type="auto"/>
            <w:tcBorders>
              <w:bottom w:val="single" w:sz="4" w:space="0" w:color="000000" w:themeColor="text1"/>
            </w:tcBorders>
            <w:vAlign w:val="center"/>
          </w:tcPr>
          <w:p w:rsidR="00A65EB8" w:rsidRDefault="00A51EE4">
            <w:pPr>
              <w:jc w:val="center"/>
            </w:pPr>
            <w:r>
              <w:rPr>
                <w:color w:val="000000"/>
                <w:sz w:val="24"/>
              </w:rPr>
              <w:t>20</w:t>
            </w:r>
            <w:r>
              <w:rPr>
                <w:color w:val="000000"/>
                <w:sz w:val="24"/>
              </w:rPr>
              <w:t>青岛农商行</w:t>
            </w:r>
            <w:r>
              <w:rPr>
                <w:color w:val="000000"/>
                <w:sz w:val="24"/>
              </w:rPr>
              <w:t>CD203</w:t>
            </w:r>
          </w:p>
        </w:tc>
        <w:tc>
          <w:tcPr>
            <w:tcW w:w="0" w:type="auto"/>
            <w:tcBorders>
              <w:bottom w:val="single" w:sz="4" w:space="0" w:color="000000" w:themeColor="text1"/>
            </w:tcBorders>
            <w:vAlign w:val="center"/>
          </w:tcPr>
          <w:p w:rsidR="00A65EB8" w:rsidRDefault="00A51EE4">
            <w:pPr>
              <w:jc w:val="right"/>
            </w:pPr>
            <w:r>
              <w:rPr>
                <w:color w:val="000000"/>
                <w:sz w:val="24"/>
              </w:rPr>
              <w:t>2,000,000</w:t>
            </w:r>
          </w:p>
        </w:tc>
        <w:tc>
          <w:tcPr>
            <w:tcW w:w="0" w:type="auto"/>
            <w:tcBorders>
              <w:bottom w:val="single" w:sz="4" w:space="0" w:color="000000" w:themeColor="text1"/>
            </w:tcBorders>
            <w:vAlign w:val="center"/>
          </w:tcPr>
          <w:p w:rsidR="00A65EB8" w:rsidRDefault="00A51EE4">
            <w:pPr>
              <w:jc w:val="right"/>
            </w:pPr>
            <w:r>
              <w:rPr>
                <w:color w:val="000000"/>
                <w:sz w:val="24"/>
              </w:rPr>
              <w:t>197,168,636.36</w:t>
            </w:r>
          </w:p>
        </w:tc>
        <w:tc>
          <w:tcPr>
            <w:tcW w:w="0" w:type="auto"/>
            <w:tcBorders>
              <w:bottom w:val="single" w:sz="4" w:space="0" w:color="000000" w:themeColor="text1"/>
            </w:tcBorders>
            <w:vAlign w:val="center"/>
          </w:tcPr>
          <w:p w:rsidR="00A65EB8" w:rsidRDefault="00A51EE4">
            <w:pPr>
              <w:jc w:val="right"/>
            </w:pPr>
            <w:r>
              <w:rPr>
                <w:color w:val="000000"/>
                <w:sz w:val="24"/>
              </w:rPr>
              <w:t>1.07</w:t>
            </w:r>
          </w:p>
        </w:tc>
      </w:tr>
      <w:tr w:rsidR="00A65EB8" w:rsidTr="008B0FBB">
        <w:trPr>
          <w:jc w:val="center"/>
        </w:trPr>
        <w:tc>
          <w:tcPr>
            <w:tcW w:w="0" w:type="auto"/>
            <w:tcBorders>
              <w:bottom w:val="single" w:sz="4" w:space="0" w:color="auto"/>
            </w:tcBorders>
            <w:vAlign w:val="center"/>
          </w:tcPr>
          <w:p w:rsidR="00A65EB8" w:rsidRDefault="00A51EE4">
            <w:pPr>
              <w:jc w:val="center"/>
            </w:pPr>
            <w:bookmarkStart w:id="2" w:name="_GoBack"/>
            <w:r>
              <w:rPr>
                <w:color w:val="000000"/>
                <w:sz w:val="24"/>
              </w:rPr>
              <w:t>10</w:t>
            </w:r>
          </w:p>
        </w:tc>
        <w:tc>
          <w:tcPr>
            <w:tcW w:w="0" w:type="auto"/>
            <w:tcBorders>
              <w:bottom w:val="single" w:sz="4" w:space="0" w:color="auto"/>
            </w:tcBorders>
            <w:vAlign w:val="center"/>
          </w:tcPr>
          <w:p w:rsidR="00A65EB8" w:rsidRDefault="00A51EE4">
            <w:pPr>
              <w:jc w:val="center"/>
            </w:pPr>
            <w:r>
              <w:rPr>
                <w:color w:val="000000"/>
                <w:sz w:val="24"/>
              </w:rPr>
              <w:t>112021525</w:t>
            </w:r>
          </w:p>
        </w:tc>
        <w:tc>
          <w:tcPr>
            <w:tcW w:w="0" w:type="auto"/>
            <w:tcBorders>
              <w:bottom w:val="single" w:sz="4" w:space="0" w:color="auto"/>
            </w:tcBorders>
            <w:vAlign w:val="center"/>
          </w:tcPr>
          <w:p w:rsidR="00A65EB8" w:rsidRDefault="00A51EE4">
            <w:pPr>
              <w:jc w:val="center"/>
            </w:pPr>
            <w:r>
              <w:rPr>
                <w:color w:val="000000"/>
                <w:sz w:val="24"/>
              </w:rPr>
              <w:t>20</w:t>
            </w:r>
            <w:r>
              <w:rPr>
                <w:color w:val="000000"/>
                <w:sz w:val="24"/>
              </w:rPr>
              <w:t>渤海银行</w:t>
            </w:r>
            <w:r>
              <w:rPr>
                <w:color w:val="000000"/>
                <w:sz w:val="24"/>
              </w:rPr>
              <w:t>CD525</w:t>
            </w:r>
          </w:p>
        </w:tc>
        <w:tc>
          <w:tcPr>
            <w:tcW w:w="0" w:type="auto"/>
            <w:tcBorders>
              <w:bottom w:val="single" w:sz="4" w:space="0" w:color="auto"/>
            </w:tcBorders>
            <w:vAlign w:val="center"/>
          </w:tcPr>
          <w:p w:rsidR="00A65EB8" w:rsidRDefault="00A51EE4">
            <w:pPr>
              <w:jc w:val="right"/>
            </w:pPr>
            <w:r>
              <w:rPr>
                <w:color w:val="000000"/>
                <w:sz w:val="24"/>
              </w:rPr>
              <w:t>2,000,000</w:t>
            </w:r>
          </w:p>
        </w:tc>
        <w:tc>
          <w:tcPr>
            <w:tcW w:w="0" w:type="auto"/>
            <w:tcBorders>
              <w:bottom w:val="single" w:sz="4" w:space="0" w:color="auto"/>
            </w:tcBorders>
            <w:vAlign w:val="center"/>
          </w:tcPr>
          <w:p w:rsidR="00A65EB8" w:rsidRDefault="00A51EE4">
            <w:pPr>
              <w:jc w:val="right"/>
            </w:pPr>
            <w:r>
              <w:rPr>
                <w:color w:val="000000"/>
                <w:sz w:val="24"/>
              </w:rPr>
              <w:t>195,652,478.28</w:t>
            </w:r>
          </w:p>
        </w:tc>
        <w:tc>
          <w:tcPr>
            <w:tcW w:w="0" w:type="auto"/>
            <w:tcBorders>
              <w:bottom w:val="single" w:sz="4" w:space="0" w:color="auto"/>
            </w:tcBorders>
            <w:vAlign w:val="center"/>
          </w:tcPr>
          <w:p w:rsidR="00A65EB8" w:rsidRDefault="00A51EE4">
            <w:pPr>
              <w:jc w:val="right"/>
            </w:pPr>
            <w:r>
              <w:rPr>
                <w:color w:val="000000"/>
                <w:sz w:val="24"/>
              </w:rPr>
              <w:t>1.07</w:t>
            </w:r>
          </w:p>
        </w:tc>
      </w:tr>
      <w:bookmarkEnd w:id="2"/>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0.0492%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-0.0223%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w:t>
      </w:r>
      <w:proofErr w:type="gramStart"/>
      <w:r w:rsidR="00902E3F" w:rsidRPr="000E4C40">
        <w:rPr>
          <w:rFonts w:hAnsi="宋体"/>
          <w:b/>
          <w:color w:val="000000"/>
          <w:kern w:val="0"/>
          <w:sz w:val="24"/>
        </w:rPr>
        <w:t>按</w:t>
      </w:r>
      <w:r w:rsidR="00615DAC" w:rsidRPr="00615DAC">
        <w:rPr>
          <w:rFonts w:hAnsi="宋体" w:hint="eastAsia"/>
          <w:b/>
          <w:color w:val="000000"/>
          <w:kern w:val="0"/>
          <w:sz w:val="24"/>
        </w:rPr>
        <w:t>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d"/>
        <w:tblW w:w="9302" w:type="dxa"/>
        <w:jc w:val="center"/>
        <w:tblCellMar>
          <w:top w:w="57" w:type="dxa"/>
          <w:bottom w:w="57" w:type="dxa"/>
        </w:tblCellMar>
        <w:tblLook w:val="04A0" w:firstRow="1" w:lastRow="0" w:firstColumn="1" w:lastColumn="0" w:noHBand="0" w:noVBand="1"/>
      </w:tblPr>
      <w:tblGrid>
        <w:gridCol w:w="1447"/>
        <w:gridCol w:w="1470"/>
        <w:gridCol w:w="1460"/>
        <w:gridCol w:w="1585"/>
        <w:gridCol w:w="1716"/>
        <w:gridCol w:w="1624"/>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w:t>
            </w:r>
            <w:proofErr w:type="gramStart"/>
            <w:r>
              <w:rPr>
                <w:rFonts w:hAnsi="宋体" w:hint="eastAsia"/>
                <w:color w:val="000000"/>
                <w:kern w:val="0"/>
                <w:sz w:val="24"/>
              </w:rPr>
              <w:t>余成本</w:t>
            </w:r>
            <w:proofErr w:type="gramEnd"/>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A65EB8">
        <w:trPr>
          <w:jc w:val="center"/>
        </w:trPr>
        <w:tc>
          <w:tcPr>
            <w:tcW w:w="0" w:type="auto"/>
            <w:vAlign w:val="center"/>
          </w:tcPr>
          <w:p w:rsidR="00A65EB8" w:rsidRDefault="00A51EE4">
            <w:pPr>
              <w:jc w:val="center"/>
            </w:pPr>
            <w:r>
              <w:rPr>
                <w:color w:val="000000"/>
                <w:sz w:val="24"/>
              </w:rPr>
              <w:t>1</w:t>
            </w:r>
          </w:p>
        </w:tc>
        <w:tc>
          <w:tcPr>
            <w:tcW w:w="0" w:type="auto"/>
            <w:vAlign w:val="center"/>
          </w:tcPr>
          <w:p w:rsidR="00A65EB8" w:rsidRDefault="00A51EE4">
            <w:pPr>
              <w:jc w:val="center"/>
            </w:pPr>
            <w:r>
              <w:rPr>
                <w:color w:val="000000"/>
                <w:sz w:val="24"/>
              </w:rPr>
              <w:t>179319</w:t>
            </w:r>
          </w:p>
        </w:tc>
        <w:tc>
          <w:tcPr>
            <w:tcW w:w="0" w:type="auto"/>
            <w:vAlign w:val="center"/>
          </w:tcPr>
          <w:p w:rsidR="00A65EB8" w:rsidRDefault="00A51EE4">
            <w:pPr>
              <w:jc w:val="center"/>
            </w:pPr>
            <w:r>
              <w:rPr>
                <w:color w:val="000000"/>
                <w:sz w:val="24"/>
              </w:rPr>
              <w:t>东借</w:t>
            </w:r>
            <w:r>
              <w:rPr>
                <w:color w:val="000000"/>
                <w:sz w:val="24"/>
              </w:rPr>
              <w:t>09A1</w:t>
            </w:r>
          </w:p>
        </w:tc>
        <w:tc>
          <w:tcPr>
            <w:tcW w:w="0" w:type="auto"/>
            <w:vAlign w:val="center"/>
          </w:tcPr>
          <w:p w:rsidR="00A65EB8" w:rsidRDefault="00A51EE4">
            <w:pPr>
              <w:jc w:val="right"/>
            </w:pPr>
            <w:r>
              <w:rPr>
                <w:color w:val="000000"/>
                <w:sz w:val="24"/>
              </w:rPr>
              <w:t>1,500,000</w:t>
            </w:r>
          </w:p>
        </w:tc>
        <w:tc>
          <w:tcPr>
            <w:tcW w:w="0" w:type="auto"/>
            <w:vAlign w:val="center"/>
          </w:tcPr>
          <w:p w:rsidR="00A65EB8" w:rsidRDefault="00A51EE4">
            <w:pPr>
              <w:jc w:val="right"/>
            </w:pPr>
            <w:r>
              <w:rPr>
                <w:color w:val="000000"/>
                <w:sz w:val="24"/>
              </w:rPr>
              <w:t>150,000,000.00</w:t>
            </w:r>
          </w:p>
        </w:tc>
        <w:tc>
          <w:tcPr>
            <w:tcW w:w="0" w:type="auto"/>
            <w:vAlign w:val="center"/>
          </w:tcPr>
          <w:p w:rsidR="00A65EB8" w:rsidRDefault="00A51EE4">
            <w:pPr>
              <w:jc w:val="right"/>
            </w:pPr>
            <w:r>
              <w:rPr>
                <w:color w:val="000000"/>
                <w:sz w:val="24"/>
              </w:rPr>
              <w:t>0.82</w:t>
            </w:r>
          </w:p>
        </w:tc>
      </w:tr>
      <w:tr w:rsidR="00A65EB8">
        <w:trPr>
          <w:jc w:val="center"/>
        </w:trPr>
        <w:tc>
          <w:tcPr>
            <w:tcW w:w="0" w:type="auto"/>
            <w:vAlign w:val="center"/>
          </w:tcPr>
          <w:p w:rsidR="00A65EB8" w:rsidRDefault="00A51EE4">
            <w:pPr>
              <w:jc w:val="center"/>
            </w:pPr>
            <w:r>
              <w:rPr>
                <w:color w:val="000000"/>
                <w:sz w:val="24"/>
              </w:rPr>
              <w:t>2</w:t>
            </w:r>
          </w:p>
        </w:tc>
        <w:tc>
          <w:tcPr>
            <w:tcW w:w="0" w:type="auto"/>
            <w:vAlign w:val="center"/>
          </w:tcPr>
          <w:p w:rsidR="00A65EB8" w:rsidRDefault="00A51EE4">
            <w:pPr>
              <w:jc w:val="center"/>
            </w:pPr>
            <w:r>
              <w:rPr>
                <w:color w:val="000000"/>
                <w:sz w:val="24"/>
              </w:rPr>
              <w:t>169849</w:t>
            </w:r>
          </w:p>
        </w:tc>
        <w:tc>
          <w:tcPr>
            <w:tcW w:w="0" w:type="auto"/>
            <w:vAlign w:val="center"/>
          </w:tcPr>
          <w:p w:rsidR="00A65EB8" w:rsidRDefault="00A51EE4">
            <w:pPr>
              <w:jc w:val="center"/>
            </w:pPr>
            <w:r>
              <w:rPr>
                <w:color w:val="000000"/>
                <w:sz w:val="24"/>
              </w:rPr>
              <w:t>20</w:t>
            </w:r>
            <w:r>
              <w:rPr>
                <w:color w:val="000000"/>
                <w:sz w:val="24"/>
              </w:rPr>
              <w:t>花</w:t>
            </w:r>
            <w:r>
              <w:rPr>
                <w:color w:val="000000"/>
                <w:sz w:val="24"/>
              </w:rPr>
              <w:t>05A1</w:t>
            </w:r>
          </w:p>
        </w:tc>
        <w:tc>
          <w:tcPr>
            <w:tcW w:w="0" w:type="auto"/>
            <w:vAlign w:val="center"/>
          </w:tcPr>
          <w:p w:rsidR="00A65EB8" w:rsidRDefault="00A51EE4">
            <w:pPr>
              <w:jc w:val="right"/>
            </w:pPr>
            <w:r>
              <w:rPr>
                <w:color w:val="000000"/>
                <w:sz w:val="24"/>
              </w:rPr>
              <w:t>1,000,000</w:t>
            </w:r>
          </w:p>
        </w:tc>
        <w:tc>
          <w:tcPr>
            <w:tcW w:w="0" w:type="auto"/>
            <w:vAlign w:val="center"/>
          </w:tcPr>
          <w:p w:rsidR="00A65EB8" w:rsidRDefault="00A51EE4">
            <w:pPr>
              <w:jc w:val="right"/>
            </w:pPr>
            <w:r>
              <w:rPr>
                <w:color w:val="000000"/>
                <w:sz w:val="24"/>
              </w:rPr>
              <w:t>100,000,000.00</w:t>
            </w:r>
          </w:p>
        </w:tc>
        <w:tc>
          <w:tcPr>
            <w:tcW w:w="0" w:type="auto"/>
            <w:vAlign w:val="center"/>
          </w:tcPr>
          <w:p w:rsidR="00A65EB8" w:rsidRDefault="00A51EE4">
            <w:pPr>
              <w:jc w:val="right"/>
            </w:pPr>
            <w:r>
              <w:rPr>
                <w:color w:val="000000"/>
                <w:sz w:val="24"/>
              </w:rPr>
              <w:t>0.55</w:t>
            </w:r>
          </w:p>
        </w:tc>
      </w:tr>
      <w:tr w:rsidR="00A65EB8">
        <w:trPr>
          <w:jc w:val="center"/>
        </w:trPr>
        <w:tc>
          <w:tcPr>
            <w:tcW w:w="0" w:type="auto"/>
            <w:vAlign w:val="center"/>
          </w:tcPr>
          <w:p w:rsidR="00A65EB8" w:rsidRDefault="00A51EE4">
            <w:pPr>
              <w:jc w:val="center"/>
            </w:pPr>
            <w:r>
              <w:rPr>
                <w:color w:val="000000"/>
                <w:sz w:val="24"/>
              </w:rPr>
              <w:t>3</w:t>
            </w:r>
          </w:p>
        </w:tc>
        <w:tc>
          <w:tcPr>
            <w:tcW w:w="0" w:type="auto"/>
            <w:vAlign w:val="center"/>
          </w:tcPr>
          <w:p w:rsidR="00A65EB8" w:rsidRDefault="00A51EE4">
            <w:pPr>
              <w:jc w:val="center"/>
            </w:pPr>
            <w:r>
              <w:rPr>
                <w:color w:val="000000"/>
                <w:sz w:val="24"/>
              </w:rPr>
              <w:t>179142</w:t>
            </w:r>
          </w:p>
        </w:tc>
        <w:tc>
          <w:tcPr>
            <w:tcW w:w="0" w:type="auto"/>
            <w:vAlign w:val="center"/>
          </w:tcPr>
          <w:p w:rsidR="00A65EB8" w:rsidRDefault="00A51EE4">
            <w:pPr>
              <w:jc w:val="center"/>
            </w:pPr>
            <w:r>
              <w:rPr>
                <w:color w:val="000000"/>
                <w:sz w:val="24"/>
              </w:rPr>
              <w:t>20</w:t>
            </w:r>
            <w:r>
              <w:rPr>
                <w:color w:val="000000"/>
                <w:sz w:val="24"/>
              </w:rPr>
              <w:t>花</w:t>
            </w:r>
            <w:r>
              <w:rPr>
                <w:color w:val="000000"/>
                <w:sz w:val="24"/>
              </w:rPr>
              <w:t>07A1</w:t>
            </w:r>
          </w:p>
        </w:tc>
        <w:tc>
          <w:tcPr>
            <w:tcW w:w="0" w:type="auto"/>
            <w:vAlign w:val="center"/>
          </w:tcPr>
          <w:p w:rsidR="00A65EB8" w:rsidRDefault="00A51EE4">
            <w:pPr>
              <w:jc w:val="right"/>
            </w:pPr>
            <w:r>
              <w:rPr>
                <w:color w:val="000000"/>
                <w:sz w:val="24"/>
              </w:rPr>
              <w:t>1,000,000</w:t>
            </w:r>
          </w:p>
        </w:tc>
        <w:tc>
          <w:tcPr>
            <w:tcW w:w="0" w:type="auto"/>
            <w:vAlign w:val="center"/>
          </w:tcPr>
          <w:p w:rsidR="00A65EB8" w:rsidRDefault="00A51EE4">
            <w:pPr>
              <w:jc w:val="right"/>
            </w:pPr>
            <w:r>
              <w:rPr>
                <w:color w:val="000000"/>
                <w:sz w:val="24"/>
              </w:rPr>
              <w:t>100,000,000.00</w:t>
            </w:r>
          </w:p>
        </w:tc>
        <w:tc>
          <w:tcPr>
            <w:tcW w:w="0" w:type="auto"/>
            <w:vAlign w:val="center"/>
          </w:tcPr>
          <w:p w:rsidR="00A65EB8" w:rsidRDefault="00A51EE4">
            <w:pPr>
              <w:jc w:val="right"/>
            </w:pPr>
            <w:r>
              <w:rPr>
                <w:color w:val="000000"/>
                <w:sz w:val="24"/>
              </w:rPr>
              <w:t>0.55</w:t>
            </w:r>
          </w:p>
        </w:tc>
      </w:tr>
      <w:tr w:rsidR="00A65EB8">
        <w:trPr>
          <w:jc w:val="center"/>
        </w:trPr>
        <w:tc>
          <w:tcPr>
            <w:tcW w:w="0" w:type="auto"/>
            <w:vAlign w:val="center"/>
          </w:tcPr>
          <w:p w:rsidR="00A65EB8" w:rsidRDefault="00A51EE4">
            <w:pPr>
              <w:jc w:val="center"/>
            </w:pPr>
            <w:r>
              <w:rPr>
                <w:color w:val="000000"/>
                <w:sz w:val="24"/>
              </w:rPr>
              <w:t>4</w:t>
            </w:r>
          </w:p>
        </w:tc>
        <w:tc>
          <w:tcPr>
            <w:tcW w:w="0" w:type="auto"/>
            <w:vAlign w:val="center"/>
          </w:tcPr>
          <w:p w:rsidR="00A65EB8" w:rsidRDefault="00A51EE4">
            <w:pPr>
              <w:jc w:val="center"/>
            </w:pPr>
            <w:r>
              <w:rPr>
                <w:color w:val="000000"/>
                <w:sz w:val="24"/>
              </w:rPr>
              <w:t>169801</w:t>
            </w:r>
          </w:p>
        </w:tc>
        <w:tc>
          <w:tcPr>
            <w:tcW w:w="0" w:type="auto"/>
            <w:vAlign w:val="center"/>
          </w:tcPr>
          <w:p w:rsidR="00A65EB8" w:rsidRDefault="00A51EE4">
            <w:pPr>
              <w:jc w:val="center"/>
            </w:pPr>
            <w:proofErr w:type="gramStart"/>
            <w:r>
              <w:rPr>
                <w:color w:val="000000"/>
                <w:sz w:val="24"/>
              </w:rPr>
              <w:t>霄驰</w:t>
            </w:r>
            <w:proofErr w:type="gramEnd"/>
            <w:r>
              <w:rPr>
                <w:color w:val="000000"/>
                <w:sz w:val="24"/>
              </w:rPr>
              <w:t>04A</w:t>
            </w:r>
          </w:p>
        </w:tc>
        <w:tc>
          <w:tcPr>
            <w:tcW w:w="0" w:type="auto"/>
            <w:vAlign w:val="center"/>
          </w:tcPr>
          <w:p w:rsidR="00A65EB8" w:rsidRDefault="00A51EE4">
            <w:pPr>
              <w:jc w:val="right"/>
            </w:pPr>
            <w:r>
              <w:rPr>
                <w:color w:val="000000"/>
                <w:sz w:val="24"/>
              </w:rPr>
              <w:t>400,000</w:t>
            </w:r>
          </w:p>
        </w:tc>
        <w:tc>
          <w:tcPr>
            <w:tcW w:w="0" w:type="auto"/>
            <w:vAlign w:val="center"/>
          </w:tcPr>
          <w:p w:rsidR="00A65EB8" w:rsidRDefault="00A51EE4">
            <w:pPr>
              <w:jc w:val="right"/>
            </w:pPr>
            <w:r>
              <w:rPr>
                <w:color w:val="000000"/>
                <w:sz w:val="24"/>
              </w:rPr>
              <w:t>40,000,000.00</w:t>
            </w:r>
          </w:p>
        </w:tc>
        <w:tc>
          <w:tcPr>
            <w:tcW w:w="0" w:type="auto"/>
            <w:vAlign w:val="center"/>
          </w:tcPr>
          <w:p w:rsidR="00A65EB8" w:rsidRDefault="00A51EE4">
            <w:pPr>
              <w:jc w:val="right"/>
            </w:pPr>
            <w:r>
              <w:rPr>
                <w:color w:val="000000"/>
                <w:sz w:val="24"/>
              </w:rPr>
              <w:t>0.22</w:t>
            </w:r>
          </w:p>
        </w:tc>
      </w:tr>
      <w:tr w:rsidR="00A65EB8">
        <w:trPr>
          <w:jc w:val="center"/>
        </w:trPr>
        <w:tc>
          <w:tcPr>
            <w:tcW w:w="0" w:type="auto"/>
            <w:vAlign w:val="center"/>
          </w:tcPr>
          <w:p w:rsidR="00A65EB8" w:rsidRDefault="00A51EE4">
            <w:pPr>
              <w:jc w:val="center"/>
            </w:pPr>
            <w:r>
              <w:rPr>
                <w:color w:val="000000"/>
                <w:sz w:val="24"/>
              </w:rPr>
              <w:t>5</w:t>
            </w:r>
          </w:p>
        </w:tc>
        <w:tc>
          <w:tcPr>
            <w:tcW w:w="0" w:type="auto"/>
            <w:vAlign w:val="center"/>
          </w:tcPr>
          <w:p w:rsidR="00A65EB8" w:rsidRDefault="00A51EE4">
            <w:pPr>
              <w:jc w:val="center"/>
            </w:pPr>
            <w:r>
              <w:rPr>
                <w:color w:val="000000"/>
                <w:sz w:val="24"/>
              </w:rPr>
              <w:t>179016</w:t>
            </w:r>
          </w:p>
        </w:tc>
        <w:tc>
          <w:tcPr>
            <w:tcW w:w="0" w:type="auto"/>
            <w:vAlign w:val="center"/>
          </w:tcPr>
          <w:p w:rsidR="00A65EB8" w:rsidRDefault="00A51EE4">
            <w:pPr>
              <w:jc w:val="center"/>
            </w:pPr>
            <w:proofErr w:type="gramStart"/>
            <w:r>
              <w:rPr>
                <w:color w:val="000000"/>
                <w:sz w:val="24"/>
              </w:rPr>
              <w:t>惠盈</w:t>
            </w:r>
            <w:proofErr w:type="gramEnd"/>
            <w:r>
              <w:rPr>
                <w:color w:val="000000"/>
                <w:sz w:val="24"/>
              </w:rPr>
              <w:t>12A</w:t>
            </w:r>
          </w:p>
        </w:tc>
        <w:tc>
          <w:tcPr>
            <w:tcW w:w="0" w:type="auto"/>
            <w:vAlign w:val="center"/>
          </w:tcPr>
          <w:p w:rsidR="00A65EB8" w:rsidRDefault="00A51EE4">
            <w:pPr>
              <w:jc w:val="right"/>
            </w:pPr>
            <w:r>
              <w:rPr>
                <w:color w:val="000000"/>
                <w:sz w:val="24"/>
              </w:rPr>
              <w:t>400,000</w:t>
            </w:r>
          </w:p>
        </w:tc>
        <w:tc>
          <w:tcPr>
            <w:tcW w:w="0" w:type="auto"/>
            <w:vAlign w:val="center"/>
          </w:tcPr>
          <w:p w:rsidR="00A65EB8" w:rsidRDefault="00A51EE4">
            <w:pPr>
              <w:jc w:val="right"/>
            </w:pPr>
            <w:r>
              <w:rPr>
                <w:color w:val="000000"/>
                <w:sz w:val="24"/>
              </w:rPr>
              <w:t>40,000,000.00</w:t>
            </w:r>
          </w:p>
        </w:tc>
        <w:tc>
          <w:tcPr>
            <w:tcW w:w="0" w:type="auto"/>
            <w:vAlign w:val="center"/>
          </w:tcPr>
          <w:p w:rsidR="00A65EB8" w:rsidRDefault="00A51EE4">
            <w:pPr>
              <w:jc w:val="right"/>
            </w:pPr>
            <w:r>
              <w:rPr>
                <w:color w:val="000000"/>
                <w:sz w:val="24"/>
              </w:rPr>
              <w:t>0.22</w:t>
            </w:r>
          </w:p>
        </w:tc>
      </w:tr>
      <w:tr w:rsidR="00A65EB8">
        <w:trPr>
          <w:jc w:val="center"/>
        </w:trPr>
        <w:tc>
          <w:tcPr>
            <w:tcW w:w="0" w:type="auto"/>
            <w:vAlign w:val="center"/>
          </w:tcPr>
          <w:p w:rsidR="00A65EB8" w:rsidRDefault="00A51EE4">
            <w:pPr>
              <w:jc w:val="center"/>
            </w:pPr>
            <w:r>
              <w:rPr>
                <w:color w:val="000000"/>
                <w:sz w:val="24"/>
              </w:rPr>
              <w:t>6</w:t>
            </w:r>
          </w:p>
        </w:tc>
        <w:tc>
          <w:tcPr>
            <w:tcW w:w="0" w:type="auto"/>
            <w:vAlign w:val="center"/>
          </w:tcPr>
          <w:p w:rsidR="00A65EB8" w:rsidRDefault="00A51EE4">
            <w:pPr>
              <w:jc w:val="center"/>
            </w:pPr>
            <w:r>
              <w:rPr>
                <w:color w:val="000000"/>
                <w:sz w:val="24"/>
              </w:rPr>
              <w:t>169422</w:t>
            </w:r>
          </w:p>
        </w:tc>
        <w:tc>
          <w:tcPr>
            <w:tcW w:w="0" w:type="auto"/>
            <w:vAlign w:val="center"/>
          </w:tcPr>
          <w:p w:rsidR="00A65EB8" w:rsidRDefault="00A51EE4">
            <w:pPr>
              <w:jc w:val="center"/>
            </w:pPr>
            <w:proofErr w:type="gramStart"/>
            <w:r>
              <w:rPr>
                <w:color w:val="000000"/>
                <w:sz w:val="24"/>
              </w:rPr>
              <w:t>霄驰</w:t>
            </w:r>
            <w:proofErr w:type="gramEnd"/>
            <w:r>
              <w:rPr>
                <w:color w:val="000000"/>
                <w:sz w:val="24"/>
              </w:rPr>
              <w:t>01A</w:t>
            </w:r>
          </w:p>
        </w:tc>
        <w:tc>
          <w:tcPr>
            <w:tcW w:w="0" w:type="auto"/>
            <w:vAlign w:val="center"/>
          </w:tcPr>
          <w:p w:rsidR="00A65EB8" w:rsidRDefault="00A51EE4">
            <w:pPr>
              <w:jc w:val="right"/>
            </w:pPr>
            <w:r>
              <w:rPr>
                <w:color w:val="000000"/>
                <w:sz w:val="24"/>
              </w:rPr>
              <w:t>200,000</w:t>
            </w:r>
          </w:p>
        </w:tc>
        <w:tc>
          <w:tcPr>
            <w:tcW w:w="0" w:type="auto"/>
            <w:vAlign w:val="center"/>
          </w:tcPr>
          <w:p w:rsidR="00A65EB8" w:rsidRDefault="00A51EE4">
            <w:pPr>
              <w:jc w:val="right"/>
            </w:pPr>
            <w:r>
              <w:rPr>
                <w:color w:val="000000"/>
                <w:sz w:val="24"/>
              </w:rPr>
              <w:t>20,000,000.00</w:t>
            </w:r>
          </w:p>
        </w:tc>
        <w:tc>
          <w:tcPr>
            <w:tcW w:w="0" w:type="auto"/>
            <w:vAlign w:val="center"/>
          </w:tcPr>
          <w:p w:rsidR="00A65EB8" w:rsidRDefault="00A51EE4">
            <w:pPr>
              <w:jc w:val="right"/>
            </w:pPr>
            <w:r>
              <w:rPr>
                <w:color w:val="000000"/>
                <w:sz w:val="24"/>
              </w:rPr>
              <w:t>0.11</w:t>
            </w:r>
          </w:p>
        </w:tc>
      </w:tr>
      <w:tr w:rsidR="00A65EB8">
        <w:trPr>
          <w:jc w:val="center"/>
        </w:trPr>
        <w:tc>
          <w:tcPr>
            <w:tcW w:w="0" w:type="auto"/>
            <w:vAlign w:val="center"/>
          </w:tcPr>
          <w:p w:rsidR="00A65EB8" w:rsidRDefault="00A51EE4">
            <w:pPr>
              <w:jc w:val="center"/>
            </w:pPr>
            <w:r>
              <w:rPr>
                <w:color w:val="000000"/>
                <w:sz w:val="24"/>
              </w:rPr>
              <w:t>7</w:t>
            </w:r>
          </w:p>
        </w:tc>
        <w:tc>
          <w:tcPr>
            <w:tcW w:w="0" w:type="auto"/>
            <w:vAlign w:val="center"/>
          </w:tcPr>
          <w:p w:rsidR="00A65EB8" w:rsidRDefault="00A51EE4">
            <w:pPr>
              <w:jc w:val="center"/>
            </w:pPr>
            <w:r>
              <w:rPr>
                <w:color w:val="000000"/>
                <w:sz w:val="24"/>
              </w:rPr>
              <w:t>169525</w:t>
            </w:r>
          </w:p>
        </w:tc>
        <w:tc>
          <w:tcPr>
            <w:tcW w:w="0" w:type="auto"/>
            <w:vAlign w:val="center"/>
          </w:tcPr>
          <w:p w:rsidR="00A65EB8" w:rsidRDefault="00A51EE4">
            <w:pPr>
              <w:jc w:val="center"/>
            </w:pPr>
            <w:r>
              <w:rPr>
                <w:color w:val="000000"/>
                <w:sz w:val="24"/>
              </w:rPr>
              <w:t>兴辰</w:t>
            </w:r>
            <w:r>
              <w:rPr>
                <w:color w:val="000000"/>
                <w:sz w:val="24"/>
              </w:rPr>
              <w:t>03A</w:t>
            </w:r>
          </w:p>
        </w:tc>
        <w:tc>
          <w:tcPr>
            <w:tcW w:w="0" w:type="auto"/>
            <w:vAlign w:val="center"/>
          </w:tcPr>
          <w:p w:rsidR="00A65EB8" w:rsidRDefault="00A51EE4">
            <w:pPr>
              <w:jc w:val="right"/>
            </w:pPr>
            <w:r>
              <w:rPr>
                <w:color w:val="000000"/>
                <w:sz w:val="24"/>
              </w:rPr>
              <w:t>200,000</w:t>
            </w:r>
          </w:p>
        </w:tc>
        <w:tc>
          <w:tcPr>
            <w:tcW w:w="0" w:type="auto"/>
            <w:vAlign w:val="center"/>
          </w:tcPr>
          <w:p w:rsidR="00A65EB8" w:rsidRDefault="00A51EE4">
            <w:pPr>
              <w:jc w:val="right"/>
            </w:pPr>
            <w:r>
              <w:rPr>
                <w:color w:val="000000"/>
                <w:sz w:val="24"/>
              </w:rPr>
              <w:t>20,000,000.00</w:t>
            </w:r>
          </w:p>
        </w:tc>
        <w:tc>
          <w:tcPr>
            <w:tcW w:w="0" w:type="auto"/>
            <w:vAlign w:val="center"/>
          </w:tcPr>
          <w:p w:rsidR="00A65EB8" w:rsidRDefault="00A51EE4">
            <w:pPr>
              <w:jc w:val="right"/>
            </w:pPr>
            <w:r>
              <w:rPr>
                <w:color w:val="000000"/>
                <w:sz w:val="24"/>
              </w:rPr>
              <w:t>0.11</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d"/>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109,192,810.58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12,728.17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lastRenderedPageBreak/>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109,205,538.75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w:t>
            </w:r>
            <w:proofErr w:type="gramStart"/>
            <w:r w:rsidRPr="000E4C40">
              <w:rPr>
                <w:sz w:val="24"/>
              </w:rPr>
              <w:t>宝货币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w:t>
            </w:r>
            <w:proofErr w:type="gramStart"/>
            <w:r w:rsidRPr="000E4C40">
              <w:rPr>
                <w:sz w:val="24"/>
              </w:rPr>
              <w:t>宝货币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18,052,542,182.04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2,185,596,882.30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89,906,907,010.24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20,560,643.16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91,274,523,228.04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542,629,675.19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16,684,925,964.24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1,663,527,850.27</w:t>
            </w:r>
          </w:p>
        </w:tc>
      </w:tr>
    </w:tbl>
    <w:p w:rsidR="00A65EB8" w:rsidRDefault="00A51EE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f"/>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A65EB8">
        <w:trPr>
          <w:jc w:val="center"/>
        </w:trPr>
        <w:tc>
          <w:tcPr>
            <w:tcW w:w="1454" w:type="dxa"/>
            <w:vAlign w:val="center"/>
          </w:tcPr>
          <w:p w:rsidR="00A65EB8" w:rsidRDefault="00A51EE4">
            <w:pPr>
              <w:jc w:val="center"/>
            </w:pPr>
            <w:r>
              <w:rPr>
                <w:color w:val="000000"/>
                <w:sz w:val="24"/>
              </w:rPr>
              <w:t>1</w:t>
            </w:r>
          </w:p>
        </w:tc>
        <w:tc>
          <w:tcPr>
            <w:tcW w:w="1678" w:type="dxa"/>
            <w:vAlign w:val="center"/>
          </w:tcPr>
          <w:p w:rsidR="00A65EB8" w:rsidRDefault="00A51EE4">
            <w:pPr>
              <w:jc w:val="center"/>
            </w:pPr>
            <w:r>
              <w:rPr>
                <w:color w:val="000000"/>
                <w:sz w:val="24"/>
              </w:rPr>
              <w:t>E</w:t>
            </w:r>
            <w:r>
              <w:rPr>
                <w:color w:val="000000"/>
                <w:sz w:val="24"/>
              </w:rPr>
              <w:t>类份额红利再投</w:t>
            </w:r>
          </w:p>
        </w:tc>
        <w:tc>
          <w:tcPr>
            <w:tcW w:w="1249" w:type="dxa"/>
            <w:vAlign w:val="center"/>
          </w:tcPr>
          <w:p w:rsidR="00A65EB8" w:rsidRDefault="00A51EE4">
            <w:pPr>
              <w:jc w:val="center"/>
            </w:pPr>
            <w:r>
              <w:rPr>
                <w:color w:val="000000"/>
                <w:sz w:val="24"/>
              </w:rPr>
              <w:t>-</w:t>
            </w:r>
          </w:p>
        </w:tc>
        <w:tc>
          <w:tcPr>
            <w:tcW w:w="1544" w:type="dxa"/>
            <w:vAlign w:val="center"/>
          </w:tcPr>
          <w:p w:rsidR="00A65EB8" w:rsidRDefault="00A51EE4">
            <w:pPr>
              <w:jc w:val="right"/>
            </w:pPr>
            <w:r>
              <w:rPr>
                <w:color w:val="000000"/>
                <w:sz w:val="24"/>
              </w:rPr>
              <w:t>1,556.55</w:t>
            </w:r>
          </w:p>
        </w:tc>
        <w:tc>
          <w:tcPr>
            <w:tcW w:w="1670" w:type="dxa"/>
            <w:vAlign w:val="center"/>
          </w:tcPr>
          <w:p w:rsidR="00A65EB8" w:rsidRDefault="00A51EE4">
            <w:pPr>
              <w:jc w:val="right"/>
            </w:pPr>
            <w:r>
              <w:rPr>
                <w:color w:val="000000"/>
                <w:sz w:val="24"/>
              </w:rPr>
              <w:t>1,556.55</w:t>
            </w:r>
          </w:p>
        </w:tc>
        <w:tc>
          <w:tcPr>
            <w:tcW w:w="1273" w:type="dxa"/>
            <w:vAlign w:val="center"/>
          </w:tcPr>
          <w:p w:rsidR="00A65EB8" w:rsidRDefault="00A51EE4">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f"/>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1,556.55</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1,556.55</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A65EB8" w:rsidRDefault="00A51EE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274,013.25</w:t>
      </w:r>
      <w:r>
        <w:rPr>
          <w:color w:val="000000"/>
          <w:sz w:val="24"/>
        </w:rPr>
        <w:t>份，占本基金期末</w:t>
      </w:r>
      <w:r>
        <w:rPr>
          <w:color w:val="000000"/>
          <w:sz w:val="24"/>
        </w:rPr>
        <w:t>E</w:t>
      </w:r>
      <w:r>
        <w:rPr>
          <w:color w:val="000000"/>
          <w:sz w:val="24"/>
        </w:rPr>
        <w:t>类基金总份额的</w:t>
      </w:r>
      <w:r>
        <w:rPr>
          <w:color w:val="000000"/>
          <w:sz w:val="24"/>
        </w:rPr>
        <w:t>0.02%</w:t>
      </w:r>
      <w:r>
        <w:rPr>
          <w:color w:val="000000"/>
          <w:sz w:val="24"/>
        </w:rPr>
        <w:t>。</w:t>
      </w:r>
    </w:p>
    <w:p w:rsidR="000F2DA3" w:rsidRPr="000E4C40" w:rsidRDefault="000F2DA3" w:rsidP="008B0FBB">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65EB8" w:rsidRDefault="00A51EE4">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A65EB8" w:rsidRDefault="00A51EE4">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A65EB8" w:rsidRDefault="00A51EE4">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A65EB8" w:rsidRDefault="00A51EE4">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A65EB8" w:rsidRDefault="00A51EE4">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A65EB8" w:rsidRDefault="00A51EE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65EB8" w:rsidRDefault="00A51EE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65EB8" w:rsidRDefault="00A51EE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D67" w:rsidRDefault="00F31D67">
      <w:r>
        <w:separator/>
      </w:r>
    </w:p>
  </w:endnote>
  <w:endnote w:type="continuationSeparator" w:id="0">
    <w:p w:rsidR="00F31D67" w:rsidRDefault="00F3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EE" w:rsidRDefault="00FE3E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EE" w:rsidRPr="001D0DB0" w:rsidRDefault="00FE3EEE" w:rsidP="001D0DB0">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6696">
      <w:rPr>
        <w:noProof/>
        <w:kern w:val="0"/>
        <w:szCs w:val="21"/>
      </w:rPr>
      <w:t>7</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556696">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EE" w:rsidRDefault="00FE3E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D67" w:rsidRDefault="00F31D67">
      <w:r>
        <w:separator/>
      </w:r>
    </w:p>
  </w:footnote>
  <w:footnote w:type="continuationSeparator" w:id="0">
    <w:p w:rsidR="00F31D67" w:rsidRDefault="00F3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EE" w:rsidRDefault="00FE3E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EE" w:rsidRPr="00841EB4" w:rsidRDefault="00FE3EEE"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EE" w:rsidRDefault="00FE3E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56696"/>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0FBB"/>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1EE4"/>
    <w:rsid w:val="00A53C6C"/>
    <w:rsid w:val="00A55038"/>
    <w:rsid w:val="00A575D2"/>
    <w:rsid w:val="00A62469"/>
    <w:rsid w:val="00A62DD4"/>
    <w:rsid w:val="00A65A66"/>
    <w:rsid w:val="00A65EB8"/>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1D67"/>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128135"/>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character" w:styleId="af1">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2EB8E9-4A05-4E67-AB79-8C8805A2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1313</Words>
  <Characters>7485</Characters>
  <Application>Microsoft Office Word</Application>
  <DocSecurity>0</DocSecurity>
  <Lines>62</Lines>
  <Paragraphs>17</Paragraphs>
  <ScaleCrop>false</ScaleCrop>
  <Company>jysld</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341</cp:revision>
  <cp:lastPrinted>2009-01-22T10:11:00Z</cp:lastPrinted>
  <dcterms:created xsi:type="dcterms:W3CDTF">2012-11-21T05:49:00Z</dcterms:created>
  <dcterms:modified xsi:type="dcterms:W3CDTF">2021-01-18T08:52:00Z</dcterms:modified>
</cp:coreProperties>
</file>