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交银施罗德新生活力灵活配置混合型证券投资基金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4634B" w:rsidRDefault="00B7336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4634B" w:rsidRDefault="00B73361">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4634B" w:rsidRDefault="00B7336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4634B" w:rsidRDefault="00B7336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4634B" w:rsidRDefault="00B7336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交银新生活力灵活配置混合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11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4,912,824,700.89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本基金通过深度优选与新生力量息息相关的优质企业，分享中国因新生行业发展所带来的投资新机会，力争为基金份额持有人获得超越业绩比较基准的收益。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w:t>
            </w:r>
            <w:r w:rsidRPr="00414345">
              <w:rPr>
                <w:color w:val="000000"/>
                <w:kern w:val="0"/>
                <w:sz w:val="24"/>
                <w:szCs w:val="24"/>
              </w:rPr>
              <w:lastRenderedPageBreak/>
              <w:t>发展和演变，而带来的传统产业中供给改善、产业重塑的新生领域，和新兴产业中触发新消费、创造新需求的新生领域，以及在前述新生领域内具备活力的、公司价值向上流动的优秀投资标的。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r w:rsidRPr="00414345">
              <w:rPr>
                <w:color w:val="000000"/>
                <w:kern w:val="0"/>
                <w:sz w:val="24"/>
                <w:szCs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510B0" w:rsidRPr="00414345" w:rsidTr="000510B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510B0" w:rsidRPr="00414345" w:rsidTr="000510B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833,657,864.80</w:t>
            </w:r>
          </w:p>
        </w:tc>
      </w:tr>
      <w:tr w:rsidR="000510B0" w:rsidRPr="00414345" w:rsidTr="000510B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1,775,841,390.97</w:t>
            </w:r>
          </w:p>
        </w:tc>
      </w:tr>
      <w:tr w:rsidR="000510B0" w:rsidRPr="00414345" w:rsidTr="000510B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0.3525</w:t>
            </w:r>
          </w:p>
        </w:tc>
      </w:tr>
      <w:tr w:rsidR="000510B0" w:rsidRPr="00414345" w:rsidTr="000510B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16,092,000,475.26</w:t>
            </w:r>
          </w:p>
        </w:tc>
      </w:tr>
      <w:tr w:rsidR="000510B0" w:rsidRPr="00414345" w:rsidTr="000510B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3.276</w:t>
            </w:r>
          </w:p>
        </w:tc>
      </w:tr>
    </w:tbl>
    <w:p w:rsidR="00E4634B" w:rsidRDefault="00B7336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4634B">
        <w:trPr>
          <w:jc w:val="center"/>
        </w:trPr>
        <w:tc>
          <w:tcPr>
            <w:tcW w:w="1701" w:type="dxa"/>
            <w:vAlign w:val="center"/>
          </w:tcPr>
          <w:p w:rsidR="00E4634B" w:rsidRDefault="00B73361">
            <w:pPr>
              <w:jc w:val="left"/>
            </w:pPr>
            <w:r>
              <w:rPr>
                <w:color w:val="000000"/>
                <w:sz w:val="24"/>
                <w:szCs w:val="24"/>
              </w:rPr>
              <w:lastRenderedPageBreak/>
              <w:t>过去三个月</w:t>
            </w:r>
          </w:p>
        </w:tc>
        <w:tc>
          <w:tcPr>
            <w:tcW w:w="1045" w:type="dxa"/>
            <w:vAlign w:val="center"/>
          </w:tcPr>
          <w:p w:rsidR="00E4634B" w:rsidRDefault="00B73361">
            <w:pPr>
              <w:jc w:val="center"/>
            </w:pPr>
            <w:r>
              <w:rPr>
                <w:color w:val="000000"/>
                <w:sz w:val="24"/>
                <w:szCs w:val="24"/>
              </w:rPr>
              <w:t>12.23%</w:t>
            </w:r>
          </w:p>
        </w:tc>
        <w:tc>
          <w:tcPr>
            <w:tcW w:w="1344" w:type="dxa"/>
            <w:vAlign w:val="center"/>
          </w:tcPr>
          <w:p w:rsidR="00E4634B" w:rsidRDefault="00B73361">
            <w:pPr>
              <w:jc w:val="center"/>
            </w:pPr>
            <w:r>
              <w:rPr>
                <w:color w:val="000000"/>
                <w:sz w:val="24"/>
                <w:szCs w:val="24"/>
              </w:rPr>
              <w:t>1.05%</w:t>
            </w:r>
          </w:p>
        </w:tc>
        <w:tc>
          <w:tcPr>
            <w:tcW w:w="1194" w:type="dxa"/>
            <w:vAlign w:val="center"/>
          </w:tcPr>
          <w:p w:rsidR="00E4634B" w:rsidRDefault="00B73361">
            <w:pPr>
              <w:jc w:val="center"/>
            </w:pPr>
            <w:r>
              <w:rPr>
                <w:color w:val="000000"/>
                <w:sz w:val="24"/>
                <w:szCs w:val="24"/>
              </w:rPr>
              <w:t>8.55%</w:t>
            </w:r>
          </w:p>
        </w:tc>
        <w:tc>
          <w:tcPr>
            <w:tcW w:w="1492" w:type="dxa"/>
            <w:vAlign w:val="center"/>
          </w:tcPr>
          <w:p w:rsidR="00E4634B" w:rsidRDefault="00B73361">
            <w:pPr>
              <w:jc w:val="center"/>
            </w:pPr>
            <w:r>
              <w:rPr>
                <w:color w:val="000000"/>
                <w:sz w:val="24"/>
                <w:szCs w:val="24"/>
              </w:rPr>
              <w:t>0.59%</w:t>
            </w:r>
          </w:p>
        </w:tc>
        <w:tc>
          <w:tcPr>
            <w:tcW w:w="1194" w:type="dxa"/>
            <w:vAlign w:val="center"/>
          </w:tcPr>
          <w:p w:rsidR="00E4634B" w:rsidRDefault="00B73361">
            <w:pPr>
              <w:jc w:val="center"/>
            </w:pPr>
            <w:r>
              <w:rPr>
                <w:color w:val="000000"/>
                <w:sz w:val="24"/>
                <w:szCs w:val="24"/>
              </w:rPr>
              <w:t>3.68%</w:t>
            </w:r>
          </w:p>
        </w:tc>
        <w:tc>
          <w:tcPr>
            <w:tcW w:w="898" w:type="dxa"/>
            <w:vAlign w:val="center"/>
          </w:tcPr>
          <w:p w:rsidR="00E4634B" w:rsidRDefault="00B73361">
            <w:pPr>
              <w:jc w:val="center"/>
            </w:pPr>
            <w:r>
              <w:rPr>
                <w:color w:val="000000"/>
                <w:sz w:val="24"/>
                <w:szCs w:val="24"/>
              </w:rPr>
              <w:t>0.46%</w:t>
            </w:r>
          </w:p>
        </w:tc>
      </w:tr>
      <w:tr w:rsidR="00E4634B">
        <w:trPr>
          <w:jc w:val="center"/>
        </w:trPr>
        <w:tc>
          <w:tcPr>
            <w:tcW w:w="1701" w:type="dxa"/>
            <w:vAlign w:val="center"/>
          </w:tcPr>
          <w:p w:rsidR="00E4634B" w:rsidRDefault="00B73361">
            <w:pPr>
              <w:jc w:val="left"/>
            </w:pPr>
            <w:r>
              <w:rPr>
                <w:color w:val="000000"/>
                <w:sz w:val="24"/>
                <w:szCs w:val="24"/>
              </w:rPr>
              <w:t>过去六个月</w:t>
            </w:r>
          </w:p>
        </w:tc>
        <w:tc>
          <w:tcPr>
            <w:tcW w:w="1045" w:type="dxa"/>
            <w:vAlign w:val="center"/>
          </w:tcPr>
          <w:p w:rsidR="00E4634B" w:rsidRDefault="00B73361">
            <w:pPr>
              <w:jc w:val="center"/>
            </w:pPr>
            <w:r>
              <w:rPr>
                <w:color w:val="000000"/>
                <w:sz w:val="24"/>
                <w:szCs w:val="24"/>
              </w:rPr>
              <w:t>25.57%</w:t>
            </w:r>
          </w:p>
        </w:tc>
        <w:tc>
          <w:tcPr>
            <w:tcW w:w="1344" w:type="dxa"/>
            <w:vAlign w:val="center"/>
          </w:tcPr>
          <w:p w:rsidR="00E4634B" w:rsidRDefault="00B73361">
            <w:pPr>
              <w:jc w:val="center"/>
            </w:pPr>
            <w:r>
              <w:rPr>
                <w:color w:val="000000"/>
                <w:sz w:val="24"/>
                <w:szCs w:val="24"/>
              </w:rPr>
              <w:t>1.25%</w:t>
            </w:r>
          </w:p>
        </w:tc>
        <w:tc>
          <w:tcPr>
            <w:tcW w:w="1194" w:type="dxa"/>
            <w:vAlign w:val="center"/>
          </w:tcPr>
          <w:p w:rsidR="00E4634B" w:rsidRDefault="00B73361">
            <w:pPr>
              <w:jc w:val="center"/>
            </w:pPr>
            <w:r>
              <w:rPr>
                <w:color w:val="000000"/>
                <w:sz w:val="24"/>
                <w:szCs w:val="24"/>
              </w:rPr>
              <w:t>15.02%</w:t>
            </w:r>
          </w:p>
        </w:tc>
        <w:tc>
          <w:tcPr>
            <w:tcW w:w="1492" w:type="dxa"/>
            <w:vAlign w:val="center"/>
          </w:tcPr>
          <w:p w:rsidR="00E4634B" w:rsidRDefault="00B73361">
            <w:pPr>
              <w:jc w:val="center"/>
            </w:pPr>
            <w:r>
              <w:rPr>
                <w:color w:val="000000"/>
                <w:sz w:val="24"/>
                <w:szCs w:val="24"/>
              </w:rPr>
              <w:t>0.80%</w:t>
            </w:r>
          </w:p>
        </w:tc>
        <w:tc>
          <w:tcPr>
            <w:tcW w:w="1194" w:type="dxa"/>
            <w:vAlign w:val="center"/>
          </w:tcPr>
          <w:p w:rsidR="00E4634B" w:rsidRDefault="00B73361">
            <w:pPr>
              <w:jc w:val="center"/>
            </w:pPr>
            <w:r>
              <w:rPr>
                <w:color w:val="000000"/>
                <w:sz w:val="24"/>
                <w:szCs w:val="24"/>
              </w:rPr>
              <w:t>10.55%</w:t>
            </w:r>
          </w:p>
        </w:tc>
        <w:tc>
          <w:tcPr>
            <w:tcW w:w="898" w:type="dxa"/>
            <w:vAlign w:val="center"/>
          </w:tcPr>
          <w:p w:rsidR="00E4634B" w:rsidRDefault="00B73361">
            <w:pPr>
              <w:jc w:val="center"/>
            </w:pPr>
            <w:r>
              <w:rPr>
                <w:color w:val="000000"/>
                <w:sz w:val="24"/>
                <w:szCs w:val="24"/>
              </w:rPr>
              <w:t>0.45%</w:t>
            </w:r>
          </w:p>
        </w:tc>
      </w:tr>
      <w:tr w:rsidR="00E4634B">
        <w:trPr>
          <w:jc w:val="center"/>
        </w:trPr>
        <w:tc>
          <w:tcPr>
            <w:tcW w:w="1701" w:type="dxa"/>
            <w:vAlign w:val="center"/>
          </w:tcPr>
          <w:p w:rsidR="00E4634B" w:rsidRDefault="00B73361">
            <w:pPr>
              <w:jc w:val="left"/>
            </w:pPr>
            <w:r>
              <w:rPr>
                <w:color w:val="000000"/>
                <w:sz w:val="24"/>
                <w:szCs w:val="24"/>
              </w:rPr>
              <w:t>过去一年</w:t>
            </w:r>
          </w:p>
        </w:tc>
        <w:tc>
          <w:tcPr>
            <w:tcW w:w="1045" w:type="dxa"/>
            <w:vAlign w:val="center"/>
          </w:tcPr>
          <w:p w:rsidR="00E4634B" w:rsidRDefault="00B73361">
            <w:pPr>
              <w:jc w:val="center"/>
            </w:pPr>
            <w:r>
              <w:rPr>
                <w:color w:val="000000"/>
                <w:sz w:val="24"/>
                <w:szCs w:val="24"/>
              </w:rPr>
              <w:t>63.15%</w:t>
            </w:r>
          </w:p>
        </w:tc>
        <w:tc>
          <w:tcPr>
            <w:tcW w:w="1344" w:type="dxa"/>
            <w:vAlign w:val="center"/>
          </w:tcPr>
          <w:p w:rsidR="00E4634B" w:rsidRDefault="00B73361">
            <w:pPr>
              <w:jc w:val="center"/>
            </w:pPr>
            <w:r>
              <w:rPr>
                <w:color w:val="000000"/>
                <w:sz w:val="24"/>
                <w:szCs w:val="24"/>
              </w:rPr>
              <w:t>1.38%</w:t>
            </w:r>
          </w:p>
        </w:tc>
        <w:tc>
          <w:tcPr>
            <w:tcW w:w="1194" w:type="dxa"/>
            <w:vAlign w:val="center"/>
          </w:tcPr>
          <w:p w:rsidR="00E4634B" w:rsidRDefault="00B73361">
            <w:pPr>
              <w:jc w:val="center"/>
            </w:pPr>
            <w:r>
              <w:rPr>
                <w:color w:val="000000"/>
                <w:sz w:val="24"/>
                <w:szCs w:val="24"/>
              </w:rPr>
              <w:t>17.63%</w:t>
            </w:r>
          </w:p>
        </w:tc>
        <w:tc>
          <w:tcPr>
            <w:tcW w:w="1492" w:type="dxa"/>
            <w:vAlign w:val="center"/>
          </w:tcPr>
          <w:p w:rsidR="00E4634B" w:rsidRDefault="00B73361">
            <w:pPr>
              <w:jc w:val="center"/>
            </w:pPr>
            <w:r>
              <w:rPr>
                <w:color w:val="000000"/>
                <w:sz w:val="24"/>
                <w:szCs w:val="24"/>
              </w:rPr>
              <w:t>0.85%</w:t>
            </w:r>
          </w:p>
        </w:tc>
        <w:tc>
          <w:tcPr>
            <w:tcW w:w="1194" w:type="dxa"/>
            <w:vAlign w:val="center"/>
          </w:tcPr>
          <w:p w:rsidR="00E4634B" w:rsidRDefault="00B73361">
            <w:pPr>
              <w:jc w:val="center"/>
            </w:pPr>
            <w:r>
              <w:rPr>
                <w:color w:val="000000"/>
                <w:sz w:val="24"/>
                <w:szCs w:val="24"/>
              </w:rPr>
              <w:t>45.52%</w:t>
            </w:r>
          </w:p>
        </w:tc>
        <w:tc>
          <w:tcPr>
            <w:tcW w:w="898" w:type="dxa"/>
            <w:vAlign w:val="center"/>
          </w:tcPr>
          <w:p w:rsidR="00E4634B" w:rsidRDefault="00B73361">
            <w:pPr>
              <w:jc w:val="center"/>
            </w:pPr>
            <w:r>
              <w:rPr>
                <w:color w:val="000000"/>
                <w:sz w:val="24"/>
                <w:szCs w:val="24"/>
              </w:rPr>
              <w:t>0.53%</w:t>
            </w:r>
          </w:p>
        </w:tc>
      </w:tr>
      <w:tr w:rsidR="00E4634B">
        <w:trPr>
          <w:jc w:val="center"/>
        </w:trPr>
        <w:tc>
          <w:tcPr>
            <w:tcW w:w="1701" w:type="dxa"/>
            <w:vAlign w:val="center"/>
          </w:tcPr>
          <w:p w:rsidR="00E4634B" w:rsidRDefault="00B73361">
            <w:pPr>
              <w:jc w:val="left"/>
            </w:pPr>
            <w:r>
              <w:rPr>
                <w:color w:val="000000"/>
                <w:sz w:val="24"/>
                <w:szCs w:val="24"/>
              </w:rPr>
              <w:t>过去三年</w:t>
            </w:r>
          </w:p>
        </w:tc>
        <w:tc>
          <w:tcPr>
            <w:tcW w:w="1045" w:type="dxa"/>
            <w:vAlign w:val="center"/>
          </w:tcPr>
          <w:p w:rsidR="00E4634B" w:rsidRDefault="00B73361">
            <w:pPr>
              <w:jc w:val="center"/>
            </w:pPr>
            <w:r>
              <w:rPr>
                <w:color w:val="000000"/>
                <w:sz w:val="24"/>
                <w:szCs w:val="24"/>
              </w:rPr>
              <w:t>128.93%</w:t>
            </w:r>
          </w:p>
        </w:tc>
        <w:tc>
          <w:tcPr>
            <w:tcW w:w="1344" w:type="dxa"/>
            <w:vAlign w:val="center"/>
          </w:tcPr>
          <w:p w:rsidR="00E4634B" w:rsidRDefault="00B73361">
            <w:pPr>
              <w:jc w:val="center"/>
            </w:pPr>
            <w:r>
              <w:rPr>
                <w:color w:val="000000"/>
                <w:sz w:val="24"/>
                <w:szCs w:val="24"/>
              </w:rPr>
              <w:t>1.42%</w:t>
            </w:r>
          </w:p>
        </w:tc>
        <w:tc>
          <w:tcPr>
            <w:tcW w:w="1194" w:type="dxa"/>
            <w:vAlign w:val="center"/>
          </w:tcPr>
          <w:p w:rsidR="00E4634B" w:rsidRDefault="00B73361">
            <w:pPr>
              <w:jc w:val="center"/>
            </w:pPr>
            <w:r>
              <w:rPr>
                <w:color w:val="000000"/>
                <w:sz w:val="24"/>
                <w:szCs w:val="24"/>
              </w:rPr>
              <w:t>26.08%</w:t>
            </w:r>
          </w:p>
        </w:tc>
        <w:tc>
          <w:tcPr>
            <w:tcW w:w="1492" w:type="dxa"/>
            <w:vAlign w:val="center"/>
          </w:tcPr>
          <w:p w:rsidR="00E4634B" w:rsidRDefault="00B73361">
            <w:pPr>
              <w:jc w:val="center"/>
            </w:pPr>
            <w:r>
              <w:rPr>
                <w:color w:val="000000"/>
                <w:sz w:val="24"/>
                <w:szCs w:val="24"/>
              </w:rPr>
              <w:t>0.80%</w:t>
            </w:r>
          </w:p>
        </w:tc>
        <w:tc>
          <w:tcPr>
            <w:tcW w:w="1194" w:type="dxa"/>
            <w:vAlign w:val="center"/>
          </w:tcPr>
          <w:p w:rsidR="00E4634B" w:rsidRDefault="00B73361">
            <w:pPr>
              <w:jc w:val="center"/>
            </w:pPr>
            <w:r>
              <w:rPr>
                <w:color w:val="000000"/>
                <w:sz w:val="24"/>
                <w:szCs w:val="24"/>
              </w:rPr>
              <w:t>102.85%</w:t>
            </w:r>
          </w:p>
        </w:tc>
        <w:tc>
          <w:tcPr>
            <w:tcW w:w="898" w:type="dxa"/>
            <w:vAlign w:val="center"/>
          </w:tcPr>
          <w:p w:rsidR="00E4634B" w:rsidRDefault="00B73361">
            <w:pPr>
              <w:jc w:val="center"/>
            </w:pPr>
            <w:r>
              <w:rPr>
                <w:color w:val="000000"/>
                <w:sz w:val="24"/>
                <w:szCs w:val="24"/>
              </w:rPr>
              <w:t>0.62%</w:t>
            </w:r>
          </w:p>
        </w:tc>
      </w:tr>
      <w:tr w:rsidR="00E4634B">
        <w:trPr>
          <w:jc w:val="center"/>
        </w:trPr>
        <w:tc>
          <w:tcPr>
            <w:tcW w:w="1701" w:type="dxa"/>
            <w:vAlign w:val="center"/>
          </w:tcPr>
          <w:p w:rsidR="00E4634B" w:rsidRDefault="00B73361">
            <w:pPr>
              <w:jc w:val="left"/>
            </w:pPr>
            <w:r>
              <w:rPr>
                <w:color w:val="000000"/>
                <w:sz w:val="24"/>
                <w:szCs w:val="24"/>
              </w:rPr>
              <w:t>自基金合同生效起至今</w:t>
            </w:r>
          </w:p>
        </w:tc>
        <w:tc>
          <w:tcPr>
            <w:tcW w:w="1045" w:type="dxa"/>
            <w:vAlign w:val="center"/>
          </w:tcPr>
          <w:p w:rsidR="00E4634B" w:rsidRDefault="00B73361">
            <w:pPr>
              <w:jc w:val="center"/>
            </w:pPr>
            <w:r>
              <w:rPr>
                <w:color w:val="000000"/>
                <w:sz w:val="24"/>
                <w:szCs w:val="24"/>
              </w:rPr>
              <w:t>227.60%</w:t>
            </w:r>
          </w:p>
        </w:tc>
        <w:tc>
          <w:tcPr>
            <w:tcW w:w="1344" w:type="dxa"/>
            <w:vAlign w:val="center"/>
          </w:tcPr>
          <w:p w:rsidR="00E4634B" w:rsidRDefault="00B73361">
            <w:pPr>
              <w:jc w:val="center"/>
            </w:pPr>
            <w:r>
              <w:rPr>
                <w:color w:val="000000"/>
                <w:sz w:val="24"/>
                <w:szCs w:val="24"/>
              </w:rPr>
              <w:t>1.30%</w:t>
            </w:r>
          </w:p>
        </w:tc>
        <w:tc>
          <w:tcPr>
            <w:tcW w:w="1194" w:type="dxa"/>
            <w:vAlign w:val="center"/>
          </w:tcPr>
          <w:p w:rsidR="00E4634B" w:rsidRDefault="00B73361">
            <w:pPr>
              <w:jc w:val="center"/>
            </w:pPr>
            <w:r>
              <w:rPr>
                <w:color w:val="000000"/>
                <w:sz w:val="24"/>
                <w:szCs w:val="24"/>
              </w:rPr>
              <w:t>39.21%</w:t>
            </w:r>
          </w:p>
        </w:tc>
        <w:tc>
          <w:tcPr>
            <w:tcW w:w="1492" w:type="dxa"/>
            <w:vAlign w:val="center"/>
          </w:tcPr>
          <w:p w:rsidR="00E4634B" w:rsidRDefault="00B73361">
            <w:pPr>
              <w:jc w:val="center"/>
            </w:pPr>
            <w:r>
              <w:rPr>
                <w:color w:val="000000"/>
                <w:sz w:val="24"/>
                <w:szCs w:val="24"/>
              </w:rPr>
              <w:t>0.71%</w:t>
            </w:r>
          </w:p>
        </w:tc>
        <w:tc>
          <w:tcPr>
            <w:tcW w:w="1194" w:type="dxa"/>
            <w:vAlign w:val="center"/>
          </w:tcPr>
          <w:p w:rsidR="00E4634B" w:rsidRDefault="00B73361">
            <w:pPr>
              <w:jc w:val="center"/>
            </w:pPr>
            <w:r>
              <w:rPr>
                <w:color w:val="000000"/>
                <w:sz w:val="24"/>
                <w:szCs w:val="24"/>
              </w:rPr>
              <w:t>188.39%</w:t>
            </w:r>
          </w:p>
        </w:tc>
        <w:tc>
          <w:tcPr>
            <w:tcW w:w="898" w:type="dxa"/>
            <w:vAlign w:val="center"/>
          </w:tcPr>
          <w:p w:rsidR="00E4634B" w:rsidRDefault="00B73361">
            <w:pPr>
              <w:jc w:val="center"/>
            </w:pPr>
            <w:r>
              <w:rPr>
                <w:color w:val="000000"/>
                <w:sz w:val="24"/>
                <w:szCs w:val="24"/>
              </w:rPr>
              <w:t>0.59%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交银施罗德新生活力灵活配置混合型证券投资基金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4634B">
        <w:trPr>
          <w:jc w:val="center"/>
        </w:trPr>
        <w:tc>
          <w:tcPr>
            <w:tcW w:w="846" w:type="dxa"/>
            <w:vAlign w:val="center"/>
          </w:tcPr>
          <w:p w:rsidR="00E4634B" w:rsidRDefault="00B73361">
            <w:pPr>
              <w:jc w:val="center"/>
            </w:pPr>
            <w:r>
              <w:rPr>
                <w:color w:val="000000"/>
                <w:sz w:val="24"/>
                <w:szCs w:val="24"/>
              </w:rPr>
              <w:t>杨浩</w:t>
            </w:r>
          </w:p>
        </w:tc>
        <w:tc>
          <w:tcPr>
            <w:tcW w:w="845" w:type="dxa"/>
            <w:vAlign w:val="center"/>
          </w:tcPr>
          <w:p w:rsidR="00E4634B" w:rsidRDefault="00B73361">
            <w:pPr>
              <w:jc w:val="center"/>
            </w:pPr>
            <w:r>
              <w:rPr>
                <w:color w:val="000000"/>
                <w:sz w:val="24"/>
                <w:szCs w:val="24"/>
              </w:rPr>
              <w:t>交银定期支付双息平衡混合、交银新生活力灵活配置混合、交银内核驱动混合、交银科锐科技创新混合的基金经理</w:t>
            </w:r>
          </w:p>
        </w:tc>
        <w:tc>
          <w:tcPr>
            <w:tcW w:w="1549" w:type="dxa"/>
            <w:vAlign w:val="center"/>
          </w:tcPr>
          <w:p w:rsidR="00E4634B" w:rsidRDefault="00B73361">
            <w:pPr>
              <w:jc w:val="center"/>
            </w:pPr>
            <w:r>
              <w:rPr>
                <w:color w:val="000000"/>
                <w:sz w:val="24"/>
                <w:szCs w:val="24"/>
              </w:rPr>
              <w:t>2016-11-11</w:t>
            </w:r>
          </w:p>
        </w:tc>
        <w:tc>
          <w:tcPr>
            <w:tcW w:w="1548" w:type="dxa"/>
            <w:vAlign w:val="center"/>
          </w:tcPr>
          <w:p w:rsidR="00E4634B" w:rsidRDefault="00B73361">
            <w:pPr>
              <w:jc w:val="center"/>
            </w:pPr>
            <w:r>
              <w:rPr>
                <w:color w:val="000000"/>
                <w:sz w:val="24"/>
                <w:szCs w:val="24"/>
              </w:rPr>
              <w:t>-</w:t>
            </w:r>
          </w:p>
        </w:tc>
        <w:tc>
          <w:tcPr>
            <w:tcW w:w="1407" w:type="dxa"/>
            <w:vAlign w:val="center"/>
          </w:tcPr>
          <w:p w:rsidR="00E4634B" w:rsidRDefault="00B73361">
            <w:pPr>
              <w:jc w:val="center"/>
            </w:pPr>
            <w:r>
              <w:rPr>
                <w:color w:val="000000"/>
                <w:sz w:val="24"/>
                <w:szCs w:val="24"/>
              </w:rPr>
              <w:t>10</w:t>
            </w:r>
            <w:r>
              <w:rPr>
                <w:color w:val="000000"/>
                <w:sz w:val="24"/>
                <w:szCs w:val="24"/>
              </w:rPr>
              <w:t>年</w:t>
            </w:r>
          </w:p>
        </w:tc>
        <w:tc>
          <w:tcPr>
            <w:tcW w:w="2673" w:type="dxa"/>
            <w:vAlign w:val="center"/>
          </w:tcPr>
          <w:p w:rsidR="00E4634B" w:rsidRDefault="00B73361">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4634B" w:rsidRDefault="00B7336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E4634B" w:rsidRDefault="00B7336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w:t>
      </w:r>
      <w:r>
        <w:rPr>
          <w:color w:val="000000"/>
          <w:sz w:val="24"/>
          <w:szCs w:val="24"/>
        </w:rPr>
        <w:t>资信息、投资建议和实施投资决策方面享有公平的机会。公司在交易执行环节实行集中交易制度，建立</w:t>
      </w:r>
      <w:r>
        <w:rPr>
          <w:color w:val="000000"/>
          <w:sz w:val="24"/>
          <w:szCs w:val="24"/>
        </w:rPr>
        <w:lastRenderedPageBreak/>
        <w:t>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E4634B" w:rsidRDefault="00B7336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w:t>
      </w:r>
      <w:r>
        <w:rPr>
          <w:color w:val="000000"/>
          <w:sz w:val="24"/>
          <w:szCs w:val="24"/>
        </w:rPr>
        <w:t>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4634B" w:rsidRDefault="00B73361">
      <w:pPr>
        <w:spacing w:before="29" w:line="288" w:lineRule="auto"/>
        <w:ind w:firstLineChars="200" w:firstLine="480"/>
        <w:rPr>
          <w:color w:val="000000"/>
          <w:sz w:val="24"/>
          <w:szCs w:val="24"/>
        </w:rPr>
      </w:pPr>
      <w:r>
        <w:rPr>
          <w:color w:val="000000"/>
          <w:sz w:val="24"/>
          <w:szCs w:val="24"/>
        </w:rPr>
        <w:t>2020</w:t>
      </w:r>
      <w:r>
        <w:rPr>
          <w:color w:val="000000"/>
          <w:sz w:val="24"/>
          <w:szCs w:val="24"/>
        </w:rPr>
        <w:t>年四季度，沪深</w:t>
      </w:r>
      <w:r>
        <w:rPr>
          <w:color w:val="000000"/>
          <w:sz w:val="24"/>
          <w:szCs w:val="24"/>
        </w:rPr>
        <w:t>300</w:t>
      </w:r>
      <w:r>
        <w:rPr>
          <w:color w:val="000000"/>
          <w:sz w:val="24"/>
          <w:szCs w:val="24"/>
        </w:rPr>
        <w:t>上涨</w:t>
      </w:r>
      <w:r>
        <w:rPr>
          <w:color w:val="000000"/>
          <w:sz w:val="24"/>
          <w:szCs w:val="24"/>
        </w:rPr>
        <w:t>13.60%</w:t>
      </w:r>
      <w:r>
        <w:rPr>
          <w:color w:val="000000"/>
          <w:sz w:val="24"/>
          <w:szCs w:val="24"/>
        </w:rPr>
        <w:t>，创业板指数上涨</w:t>
      </w:r>
      <w:r>
        <w:rPr>
          <w:color w:val="000000"/>
          <w:sz w:val="24"/>
          <w:szCs w:val="24"/>
        </w:rPr>
        <w:t>15.21%</w:t>
      </w:r>
      <w:r>
        <w:rPr>
          <w:color w:val="000000"/>
          <w:sz w:val="24"/>
          <w:szCs w:val="24"/>
        </w:rPr>
        <w:t>。电动车，光伏，军工，白酒以及医疗服务等板块表现较好，市场呈现出极强的行业偏好和估值溢价。本季度基金净值增长</w:t>
      </w:r>
      <w:r>
        <w:rPr>
          <w:color w:val="000000"/>
          <w:sz w:val="24"/>
          <w:szCs w:val="24"/>
        </w:rPr>
        <w:t>12.23%</w:t>
      </w:r>
      <w:r>
        <w:rPr>
          <w:color w:val="000000"/>
          <w:sz w:val="24"/>
          <w:szCs w:val="24"/>
        </w:rPr>
        <w:t>，基准上涨</w:t>
      </w:r>
      <w:r w:rsidR="000510B0">
        <w:rPr>
          <w:color w:val="000000"/>
          <w:sz w:val="24"/>
          <w:szCs w:val="24"/>
        </w:rPr>
        <w:t>8.55%</w:t>
      </w:r>
      <w:bookmarkStart w:id="0" w:name="_GoBack"/>
      <w:bookmarkEnd w:id="0"/>
      <w:r>
        <w:rPr>
          <w:color w:val="000000"/>
          <w:sz w:val="24"/>
          <w:szCs w:val="24"/>
        </w:rPr>
        <w:t>。基于估值考虑，我们对热门板块配置相对较少。</w:t>
      </w:r>
    </w:p>
    <w:p w:rsidR="00E4634B" w:rsidRDefault="00B73361">
      <w:pPr>
        <w:spacing w:before="29" w:line="288" w:lineRule="auto"/>
        <w:ind w:firstLineChars="200" w:firstLine="480"/>
        <w:rPr>
          <w:color w:val="000000"/>
          <w:sz w:val="24"/>
          <w:szCs w:val="24"/>
        </w:rPr>
      </w:pPr>
      <w:r>
        <w:rPr>
          <w:color w:val="000000"/>
          <w:sz w:val="24"/>
          <w:szCs w:val="24"/>
        </w:rPr>
        <w:t>我们的投资关注社会价值和经济价值的平衡，青睐能为客户创造真正价值的公司。在我们的评判体系里面，价值创造，商业模型，产业周期，景气度以及估值水平，是一个相对综合的考虑，我们整体维持个股选择策略，在制造业，服务业以及消费品中都有较为均衡的个股投资。本季度组</w:t>
      </w:r>
      <w:r>
        <w:rPr>
          <w:color w:val="000000"/>
          <w:sz w:val="24"/>
          <w:szCs w:val="24"/>
        </w:rPr>
        <w:t>合的持股集中度有所上升，整体估值水平有所下降，是因为我们尽可能集中投资某个门类最有代表性或性价比的公司。</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我们将继续围绕数字经济和制造升级投资。</w:t>
      </w:r>
      <w:r w:rsidRPr="00414345">
        <w:rPr>
          <w:color w:val="000000"/>
          <w:sz w:val="24"/>
          <w:szCs w:val="24"/>
        </w:rPr>
        <w:t>2021</w:t>
      </w:r>
      <w:r w:rsidRPr="00414345">
        <w:rPr>
          <w:color w:val="000000"/>
          <w:sz w:val="24"/>
          <w:szCs w:val="24"/>
        </w:rPr>
        <w:t>年随着国内外经济先后复苏，新兴行业的融资大幅增加，行业内部竞争应当加剧，各项成本上涨或许是明年的主要关注点。数字经济和制造升级，是承接经济复苏，且对抗竞争成本负面因素的重要办法。本季度增持的</w:t>
      </w:r>
      <w:r w:rsidRPr="00414345">
        <w:rPr>
          <w:color w:val="000000"/>
          <w:sz w:val="24"/>
          <w:szCs w:val="24"/>
        </w:rPr>
        <w:t>IT</w:t>
      </w:r>
      <w:r w:rsidRPr="00414345">
        <w:rPr>
          <w:color w:val="000000"/>
          <w:sz w:val="24"/>
          <w:szCs w:val="24"/>
        </w:rPr>
        <w:t>技术和制造业的代表公司，不仅是产业周期的因素，这些智能化、一体化的优秀公司创造的新模式新产品也打开了全新的市场空间和估值空间。</w:t>
      </w:r>
      <w:r w:rsidRPr="00414345">
        <w:rPr>
          <w:color w:val="000000"/>
          <w:sz w:val="24"/>
          <w:szCs w:val="24"/>
        </w:rPr>
        <w:t xml:space="preserve"> </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lastRenderedPageBreak/>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14,106,084,593.94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86.86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14,106,084,593.94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86.86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783,681,535.50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783,681,535.50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1,096,471,653.77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6.75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252,859,086.08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16,239,096,869.29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238,952,969.62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10,076,732,705.82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176,224.88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1,642,439,414.79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479,781,448.29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1,714,383.21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111,116.14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162,705.52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206,673,792.55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79,445,160.06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1,379,894,673.06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14,106,084,593.94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87.66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4634B">
        <w:trPr>
          <w:jc w:val="center"/>
        </w:trPr>
        <w:tc>
          <w:tcPr>
            <w:tcW w:w="855" w:type="dxa"/>
            <w:vAlign w:val="center"/>
          </w:tcPr>
          <w:p w:rsidR="00E4634B" w:rsidRDefault="00B73361">
            <w:pPr>
              <w:jc w:val="center"/>
            </w:pPr>
            <w:r>
              <w:rPr>
                <w:color w:val="000000"/>
                <w:sz w:val="24"/>
                <w:szCs w:val="24"/>
              </w:rPr>
              <w:t>1</w:t>
            </w:r>
          </w:p>
        </w:tc>
        <w:tc>
          <w:tcPr>
            <w:tcW w:w="1334" w:type="dxa"/>
            <w:vAlign w:val="center"/>
          </w:tcPr>
          <w:p w:rsidR="00E4634B" w:rsidRDefault="00B73361">
            <w:pPr>
              <w:jc w:val="center"/>
            </w:pPr>
            <w:r>
              <w:rPr>
                <w:color w:val="000000"/>
                <w:sz w:val="24"/>
                <w:szCs w:val="24"/>
              </w:rPr>
              <w:t>000333</w:t>
            </w:r>
          </w:p>
        </w:tc>
        <w:tc>
          <w:tcPr>
            <w:tcW w:w="1777" w:type="dxa"/>
            <w:vAlign w:val="center"/>
          </w:tcPr>
          <w:p w:rsidR="00E4634B" w:rsidRDefault="00B73361">
            <w:pPr>
              <w:jc w:val="center"/>
            </w:pPr>
            <w:r>
              <w:rPr>
                <w:color w:val="000000"/>
                <w:sz w:val="24"/>
                <w:szCs w:val="24"/>
              </w:rPr>
              <w:t>美的集团</w:t>
            </w:r>
          </w:p>
        </w:tc>
        <w:tc>
          <w:tcPr>
            <w:tcW w:w="1334" w:type="dxa"/>
            <w:vAlign w:val="center"/>
          </w:tcPr>
          <w:p w:rsidR="00E4634B" w:rsidRDefault="00B73361">
            <w:pPr>
              <w:jc w:val="right"/>
            </w:pPr>
            <w:r>
              <w:rPr>
                <w:color w:val="000000"/>
                <w:sz w:val="24"/>
                <w:szCs w:val="24"/>
              </w:rPr>
              <w:t>16,018,925</w:t>
            </w:r>
          </w:p>
        </w:tc>
        <w:tc>
          <w:tcPr>
            <w:tcW w:w="1924" w:type="dxa"/>
            <w:vAlign w:val="center"/>
          </w:tcPr>
          <w:p w:rsidR="00E4634B" w:rsidRDefault="00B73361">
            <w:pPr>
              <w:jc w:val="right"/>
            </w:pPr>
            <w:r>
              <w:rPr>
                <w:color w:val="000000"/>
                <w:sz w:val="24"/>
                <w:szCs w:val="24"/>
              </w:rPr>
              <w:t>1,576,902,977.00</w:t>
            </w:r>
          </w:p>
        </w:tc>
        <w:tc>
          <w:tcPr>
            <w:tcW w:w="1644" w:type="dxa"/>
            <w:vAlign w:val="center"/>
          </w:tcPr>
          <w:p w:rsidR="00E4634B" w:rsidRDefault="00B73361">
            <w:pPr>
              <w:jc w:val="right"/>
            </w:pPr>
            <w:r>
              <w:rPr>
                <w:color w:val="000000"/>
                <w:sz w:val="24"/>
                <w:szCs w:val="24"/>
              </w:rPr>
              <w:t>9.80</w:t>
            </w:r>
          </w:p>
        </w:tc>
      </w:tr>
      <w:tr w:rsidR="00E4634B">
        <w:trPr>
          <w:jc w:val="center"/>
        </w:trPr>
        <w:tc>
          <w:tcPr>
            <w:tcW w:w="855" w:type="dxa"/>
            <w:vAlign w:val="center"/>
          </w:tcPr>
          <w:p w:rsidR="00E4634B" w:rsidRDefault="00B73361">
            <w:pPr>
              <w:jc w:val="center"/>
            </w:pPr>
            <w:r>
              <w:rPr>
                <w:color w:val="000000"/>
                <w:sz w:val="24"/>
                <w:szCs w:val="24"/>
              </w:rPr>
              <w:t>2</w:t>
            </w:r>
          </w:p>
        </w:tc>
        <w:tc>
          <w:tcPr>
            <w:tcW w:w="1334" w:type="dxa"/>
            <w:vAlign w:val="center"/>
          </w:tcPr>
          <w:p w:rsidR="00E4634B" w:rsidRDefault="00B73361">
            <w:pPr>
              <w:jc w:val="center"/>
            </w:pPr>
            <w:r>
              <w:rPr>
                <w:color w:val="000000"/>
                <w:sz w:val="24"/>
                <w:szCs w:val="24"/>
              </w:rPr>
              <w:t>002352</w:t>
            </w:r>
          </w:p>
        </w:tc>
        <w:tc>
          <w:tcPr>
            <w:tcW w:w="1777" w:type="dxa"/>
            <w:vAlign w:val="center"/>
          </w:tcPr>
          <w:p w:rsidR="00E4634B" w:rsidRDefault="00B73361">
            <w:pPr>
              <w:jc w:val="center"/>
            </w:pPr>
            <w:r>
              <w:rPr>
                <w:color w:val="000000"/>
                <w:sz w:val="24"/>
                <w:szCs w:val="24"/>
              </w:rPr>
              <w:t>顺丰控股</w:t>
            </w:r>
          </w:p>
        </w:tc>
        <w:tc>
          <w:tcPr>
            <w:tcW w:w="1334" w:type="dxa"/>
            <w:vAlign w:val="center"/>
          </w:tcPr>
          <w:p w:rsidR="00E4634B" w:rsidRDefault="00B73361">
            <w:pPr>
              <w:jc w:val="right"/>
            </w:pPr>
            <w:r>
              <w:rPr>
                <w:color w:val="000000"/>
                <w:sz w:val="24"/>
                <w:szCs w:val="24"/>
              </w:rPr>
              <w:t>17,477,459</w:t>
            </w:r>
          </w:p>
        </w:tc>
        <w:tc>
          <w:tcPr>
            <w:tcW w:w="1924" w:type="dxa"/>
            <w:vAlign w:val="center"/>
          </w:tcPr>
          <w:p w:rsidR="00E4634B" w:rsidRDefault="00B73361">
            <w:pPr>
              <w:jc w:val="right"/>
            </w:pPr>
            <w:r>
              <w:rPr>
                <w:color w:val="000000"/>
                <w:sz w:val="24"/>
                <w:szCs w:val="24"/>
              </w:rPr>
              <w:t>1,542,036,207.57</w:t>
            </w:r>
          </w:p>
        </w:tc>
        <w:tc>
          <w:tcPr>
            <w:tcW w:w="1644" w:type="dxa"/>
            <w:vAlign w:val="center"/>
          </w:tcPr>
          <w:p w:rsidR="00E4634B" w:rsidRDefault="00B73361">
            <w:pPr>
              <w:jc w:val="right"/>
            </w:pPr>
            <w:r>
              <w:rPr>
                <w:color w:val="000000"/>
                <w:sz w:val="24"/>
                <w:szCs w:val="24"/>
              </w:rPr>
              <w:t>9.58</w:t>
            </w:r>
          </w:p>
        </w:tc>
      </w:tr>
      <w:tr w:rsidR="00E4634B">
        <w:trPr>
          <w:jc w:val="center"/>
        </w:trPr>
        <w:tc>
          <w:tcPr>
            <w:tcW w:w="855" w:type="dxa"/>
            <w:vAlign w:val="center"/>
          </w:tcPr>
          <w:p w:rsidR="00E4634B" w:rsidRDefault="00B73361">
            <w:pPr>
              <w:jc w:val="center"/>
            </w:pPr>
            <w:r>
              <w:rPr>
                <w:color w:val="000000"/>
                <w:sz w:val="24"/>
                <w:szCs w:val="24"/>
              </w:rPr>
              <w:t>3</w:t>
            </w:r>
          </w:p>
        </w:tc>
        <w:tc>
          <w:tcPr>
            <w:tcW w:w="1334" w:type="dxa"/>
            <w:vAlign w:val="center"/>
          </w:tcPr>
          <w:p w:rsidR="00E4634B" w:rsidRDefault="00B73361">
            <w:pPr>
              <w:jc w:val="center"/>
            </w:pPr>
            <w:r>
              <w:rPr>
                <w:color w:val="000000"/>
                <w:sz w:val="24"/>
                <w:szCs w:val="24"/>
              </w:rPr>
              <w:t>300413</w:t>
            </w:r>
          </w:p>
        </w:tc>
        <w:tc>
          <w:tcPr>
            <w:tcW w:w="1777" w:type="dxa"/>
            <w:vAlign w:val="center"/>
          </w:tcPr>
          <w:p w:rsidR="00E4634B" w:rsidRDefault="00B73361">
            <w:pPr>
              <w:jc w:val="center"/>
            </w:pPr>
            <w:r>
              <w:rPr>
                <w:color w:val="000000"/>
                <w:sz w:val="24"/>
                <w:szCs w:val="24"/>
              </w:rPr>
              <w:t>芒果超媒</w:t>
            </w:r>
          </w:p>
        </w:tc>
        <w:tc>
          <w:tcPr>
            <w:tcW w:w="1334" w:type="dxa"/>
            <w:vAlign w:val="center"/>
          </w:tcPr>
          <w:p w:rsidR="00E4634B" w:rsidRDefault="00B73361">
            <w:pPr>
              <w:jc w:val="right"/>
            </w:pPr>
            <w:r>
              <w:rPr>
                <w:color w:val="000000"/>
                <w:sz w:val="24"/>
                <w:szCs w:val="24"/>
              </w:rPr>
              <w:t>17,177,141</w:t>
            </w:r>
          </w:p>
        </w:tc>
        <w:tc>
          <w:tcPr>
            <w:tcW w:w="1924" w:type="dxa"/>
            <w:vAlign w:val="center"/>
          </w:tcPr>
          <w:p w:rsidR="00E4634B" w:rsidRDefault="00B73361">
            <w:pPr>
              <w:jc w:val="right"/>
            </w:pPr>
            <w:r>
              <w:rPr>
                <w:color w:val="000000"/>
                <w:sz w:val="24"/>
                <w:szCs w:val="24"/>
              </w:rPr>
              <w:t>1,245,342,722.50</w:t>
            </w:r>
          </w:p>
        </w:tc>
        <w:tc>
          <w:tcPr>
            <w:tcW w:w="1644" w:type="dxa"/>
            <w:vAlign w:val="center"/>
          </w:tcPr>
          <w:p w:rsidR="00E4634B" w:rsidRDefault="00B73361">
            <w:pPr>
              <w:jc w:val="right"/>
            </w:pPr>
            <w:r>
              <w:rPr>
                <w:color w:val="000000"/>
                <w:sz w:val="24"/>
                <w:szCs w:val="24"/>
              </w:rPr>
              <w:t>7.74</w:t>
            </w:r>
          </w:p>
        </w:tc>
      </w:tr>
      <w:tr w:rsidR="00E4634B">
        <w:trPr>
          <w:jc w:val="center"/>
        </w:trPr>
        <w:tc>
          <w:tcPr>
            <w:tcW w:w="855" w:type="dxa"/>
            <w:vAlign w:val="center"/>
          </w:tcPr>
          <w:p w:rsidR="00E4634B" w:rsidRDefault="00B73361">
            <w:pPr>
              <w:jc w:val="center"/>
            </w:pPr>
            <w:r>
              <w:rPr>
                <w:color w:val="000000"/>
                <w:sz w:val="24"/>
                <w:szCs w:val="24"/>
              </w:rPr>
              <w:t>4</w:t>
            </w:r>
          </w:p>
        </w:tc>
        <w:tc>
          <w:tcPr>
            <w:tcW w:w="1334" w:type="dxa"/>
            <w:vAlign w:val="center"/>
          </w:tcPr>
          <w:p w:rsidR="00E4634B" w:rsidRDefault="00B73361">
            <w:pPr>
              <w:jc w:val="center"/>
            </w:pPr>
            <w:r>
              <w:rPr>
                <w:color w:val="000000"/>
                <w:sz w:val="24"/>
                <w:szCs w:val="24"/>
              </w:rPr>
              <w:t>002415</w:t>
            </w:r>
          </w:p>
        </w:tc>
        <w:tc>
          <w:tcPr>
            <w:tcW w:w="1777" w:type="dxa"/>
            <w:vAlign w:val="center"/>
          </w:tcPr>
          <w:p w:rsidR="00E4634B" w:rsidRDefault="00B73361">
            <w:pPr>
              <w:jc w:val="center"/>
            </w:pPr>
            <w:r>
              <w:rPr>
                <w:color w:val="000000"/>
                <w:sz w:val="24"/>
                <w:szCs w:val="24"/>
              </w:rPr>
              <w:t>海康威视</w:t>
            </w:r>
          </w:p>
        </w:tc>
        <w:tc>
          <w:tcPr>
            <w:tcW w:w="1334" w:type="dxa"/>
            <w:vAlign w:val="center"/>
          </w:tcPr>
          <w:p w:rsidR="00E4634B" w:rsidRDefault="00B73361">
            <w:pPr>
              <w:jc w:val="right"/>
            </w:pPr>
            <w:r>
              <w:rPr>
                <w:color w:val="000000"/>
                <w:sz w:val="24"/>
                <w:szCs w:val="24"/>
              </w:rPr>
              <w:t>23,663,760</w:t>
            </w:r>
          </w:p>
        </w:tc>
        <w:tc>
          <w:tcPr>
            <w:tcW w:w="1924" w:type="dxa"/>
            <w:vAlign w:val="center"/>
          </w:tcPr>
          <w:p w:rsidR="00E4634B" w:rsidRDefault="00B73361">
            <w:pPr>
              <w:jc w:val="right"/>
            </w:pPr>
            <w:r>
              <w:rPr>
                <w:color w:val="000000"/>
                <w:sz w:val="24"/>
                <w:szCs w:val="24"/>
              </w:rPr>
              <w:t>1,147,928,997.60</w:t>
            </w:r>
          </w:p>
        </w:tc>
        <w:tc>
          <w:tcPr>
            <w:tcW w:w="1644" w:type="dxa"/>
            <w:vAlign w:val="center"/>
          </w:tcPr>
          <w:p w:rsidR="00E4634B" w:rsidRDefault="00B73361">
            <w:pPr>
              <w:jc w:val="right"/>
            </w:pPr>
            <w:r>
              <w:rPr>
                <w:color w:val="000000"/>
                <w:sz w:val="24"/>
                <w:szCs w:val="24"/>
              </w:rPr>
              <w:t>7.13</w:t>
            </w:r>
          </w:p>
        </w:tc>
      </w:tr>
      <w:tr w:rsidR="00E4634B">
        <w:trPr>
          <w:jc w:val="center"/>
        </w:trPr>
        <w:tc>
          <w:tcPr>
            <w:tcW w:w="855" w:type="dxa"/>
            <w:vAlign w:val="center"/>
          </w:tcPr>
          <w:p w:rsidR="00E4634B" w:rsidRDefault="00B73361">
            <w:pPr>
              <w:jc w:val="center"/>
            </w:pPr>
            <w:r>
              <w:rPr>
                <w:color w:val="000000"/>
                <w:sz w:val="24"/>
                <w:szCs w:val="24"/>
              </w:rPr>
              <w:t>5</w:t>
            </w:r>
          </w:p>
        </w:tc>
        <w:tc>
          <w:tcPr>
            <w:tcW w:w="1334" w:type="dxa"/>
            <w:vAlign w:val="center"/>
          </w:tcPr>
          <w:p w:rsidR="00E4634B" w:rsidRDefault="00B73361">
            <w:pPr>
              <w:jc w:val="center"/>
            </w:pPr>
            <w:r>
              <w:rPr>
                <w:color w:val="000000"/>
                <w:sz w:val="24"/>
                <w:szCs w:val="24"/>
              </w:rPr>
              <w:t>002841</w:t>
            </w:r>
          </w:p>
        </w:tc>
        <w:tc>
          <w:tcPr>
            <w:tcW w:w="1777" w:type="dxa"/>
            <w:vAlign w:val="center"/>
          </w:tcPr>
          <w:p w:rsidR="00E4634B" w:rsidRDefault="00B73361">
            <w:pPr>
              <w:jc w:val="center"/>
            </w:pPr>
            <w:r>
              <w:rPr>
                <w:color w:val="000000"/>
                <w:sz w:val="24"/>
                <w:szCs w:val="24"/>
              </w:rPr>
              <w:t>视源股份</w:t>
            </w:r>
          </w:p>
        </w:tc>
        <w:tc>
          <w:tcPr>
            <w:tcW w:w="1334" w:type="dxa"/>
            <w:vAlign w:val="center"/>
          </w:tcPr>
          <w:p w:rsidR="00E4634B" w:rsidRDefault="00B73361">
            <w:pPr>
              <w:jc w:val="right"/>
            </w:pPr>
            <w:r>
              <w:rPr>
                <w:color w:val="000000"/>
                <w:sz w:val="24"/>
                <w:szCs w:val="24"/>
              </w:rPr>
              <w:t>8,686,081</w:t>
            </w:r>
          </w:p>
        </w:tc>
        <w:tc>
          <w:tcPr>
            <w:tcW w:w="1924" w:type="dxa"/>
            <w:vAlign w:val="center"/>
          </w:tcPr>
          <w:p w:rsidR="00E4634B" w:rsidRDefault="00B73361">
            <w:pPr>
              <w:jc w:val="right"/>
            </w:pPr>
            <w:r>
              <w:rPr>
                <w:color w:val="000000"/>
                <w:sz w:val="24"/>
                <w:szCs w:val="24"/>
              </w:rPr>
              <w:t>999,159,897.43</w:t>
            </w:r>
          </w:p>
        </w:tc>
        <w:tc>
          <w:tcPr>
            <w:tcW w:w="1644" w:type="dxa"/>
            <w:vAlign w:val="center"/>
          </w:tcPr>
          <w:p w:rsidR="00E4634B" w:rsidRDefault="00B73361">
            <w:pPr>
              <w:jc w:val="right"/>
            </w:pPr>
            <w:r>
              <w:rPr>
                <w:color w:val="000000"/>
                <w:sz w:val="24"/>
                <w:szCs w:val="24"/>
              </w:rPr>
              <w:t>6.21</w:t>
            </w:r>
          </w:p>
        </w:tc>
      </w:tr>
      <w:tr w:rsidR="00E4634B">
        <w:trPr>
          <w:jc w:val="center"/>
        </w:trPr>
        <w:tc>
          <w:tcPr>
            <w:tcW w:w="855" w:type="dxa"/>
            <w:vAlign w:val="center"/>
          </w:tcPr>
          <w:p w:rsidR="00E4634B" w:rsidRDefault="00B73361">
            <w:pPr>
              <w:jc w:val="center"/>
            </w:pPr>
            <w:r>
              <w:rPr>
                <w:color w:val="000000"/>
                <w:sz w:val="24"/>
                <w:szCs w:val="24"/>
              </w:rPr>
              <w:lastRenderedPageBreak/>
              <w:t>6</w:t>
            </w:r>
          </w:p>
        </w:tc>
        <w:tc>
          <w:tcPr>
            <w:tcW w:w="1334" w:type="dxa"/>
            <w:vAlign w:val="center"/>
          </w:tcPr>
          <w:p w:rsidR="00E4634B" w:rsidRDefault="00B73361">
            <w:pPr>
              <w:jc w:val="center"/>
            </w:pPr>
            <w:r>
              <w:rPr>
                <w:color w:val="000000"/>
                <w:sz w:val="24"/>
                <w:szCs w:val="24"/>
              </w:rPr>
              <w:t>600522</w:t>
            </w:r>
          </w:p>
        </w:tc>
        <w:tc>
          <w:tcPr>
            <w:tcW w:w="1777" w:type="dxa"/>
            <w:vAlign w:val="center"/>
          </w:tcPr>
          <w:p w:rsidR="00E4634B" w:rsidRDefault="00B73361">
            <w:pPr>
              <w:jc w:val="center"/>
            </w:pPr>
            <w:r>
              <w:rPr>
                <w:color w:val="000000"/>
                <w:sz w:val="24"/>
                <w:szCs w:val="24"/>
              </w:rPr>
              <w:t>中天科技</w:t>
            </w:r>
          </w:p>
        </w:tc>
        <w:tc>
          <w:tcPr>
            <w:tcW w:w="1334" w:type="dxa"/>
            <w:vAlign w:val="center"/>
          </w:tcPr>
          <w:p w:rsidR="00E4634B" w:rsidRDefault="00B73361">
            <w:pPr>
              <w:jc w:val="right"/>
            </w:pPr>
            <w:r>
              <w:rPr>
                <w:color w:val="000000"/>
                <w:sz w:val="24"/>
                <w:szCs w:val="24"/>
              </w:rPr>
              <w:t>83,346,274</w:t>
            </w:r>
          </w:p>
        </w:tc>
        <w:tc>
          <w:tcPr>
            <w:tcW w:w="1924" w:type="dxa"/>
            <w:vAlign w:val="center"/>
          </w:tcPr>
          <w:p w:rsidR="00E4634B" w:rsidRDefault="00B73361">
            <w:pPr>
              <w:jc w:val="right"/>
            </w:pPr>
            <w:r>
              <w:rPr>
                <w:color w:val="000000"/>
                <w:sz w:val="24"/>
                <w:szCs w:val="24"/>
              </w:rPr>
              <w:t>903,473,610.16</w:t>
            </w:r>
          </w:p>
        </w:tc>
        <w:tc>
          <w:tcPr>
            <w:tcW w:w="1644" w:type="dxa"/>
            <w:vAlign w:val="center"/>
          </w:tcPr>
          <w:p w:rsidR="00E4634B" w:rsidRDefault="00B73361">
            <w:pPr>
              <w:jc w:val="right"/>
            </w:pPr>
            <w:r>
              <w:rPr>
                <w:color w:val="000000"/>
                <w:sz w:val="24"/>
                <w:szCs w:val="24"/>
              </w:rPr>
              <w:t>5.61</w:t>
            </w:r>
          </w:p>
        </w:tc>
      </w:tr>
      <w:tr w:rsidR="00E4634B">
        <w:trPr>
          <w:jc w:val="center"/>
        </w:trPr>
        <w:tc>
          <w:tcPr>
            <w:tcW w:w="855" w:type="dxa"/>
            <w:vAlign w:val="center"/>
          </w:tcPr>
          <w:p w:rsidR="00E4634B" w:rsidRDefault="00B73361">
            <w:pPr>
              <w:jc w:val="center"/>
            </w:pPr>
            <w:r>
              <w:rPr>
                <w:color w:val="000000"/>
                <w:sz w:val="24"/>
                <w:szCs w:val="24"/>
              </w:rPr>
              <w:t>7</w:t>
            </w:r>
          </w:p>
        </w:tc>
        <w:tc>
          <w:tcPr>
            <w:tcW w:w="1334" w:type="dxa"/>
            <w:vAlign w:val="center"/>
          </w:tcPr>
          <w:p w:rsidR="00E4634B" w:rsidRDefault="00B73361">
            <w:pPr>
              <w:jc w:val="center"/>
            </w:pPr>
            <w:r>
              <w:rPr>
                <w:color w:val="000000"/>
                <w:sz w:val="24"/>
                <w:szCs w:val="24"/>
              </w:rPr>
              <w:t>603816</w:t>
            </w:r>
          </w:p>
        </w:tc>
        <w:tc>
          <w:tcPr>
            <w:tcW w:w="1777" w:type="dxa"/>
            <w:vAlign w:val="center"/>
          </w:tcPr>
          <w:p w:rsidR="00E4634B" w:rsidRDefault="00B73361">
            <w:pPr>
              <w:jc w:val="center"/>
            </w:pPr>
            <w:r>
              <w:rPr>
                <w:color w:val="000000"/>
                <w:sz w:val="24"/>
                <w:szCs w:val="24"/>
              </w:rPr>
              <w:t>顾家家居</w:t>
            </w:r>
          </w:p>
        </w:tc>
        <w:tc>
          <w:tcPr>
            <w:tcW w:w="1334" w:type="dxa"/>
            <w:vAlign w:val="center"/>
          </w:tcPr>
          <w:p w:rsidR="00E4634B" w:rsidRDefault="00B73361">
            <w:pPr>
              <w:jc w:val="right"/>
            </w:pPr>
            <w:r>
              <w:rPr>
                <w:color w:val="000000"/>
                <w:sz w:val="24"/>
                <w:szCs w:val="24"/>
              </w:rPr>
              <w:t>10,478,405</w:t>
            </w:r>
          </w:p>
        </w:tc>
        <w:tc>
          <w:tcPr>
            <w:tcW w:w="1924" w:type="dxa"/>
            <w:vAlign w:val="center"/>
          </w:tcPr>
          <w:p w:rsidR="00E4634B" w:rsidRDefault="00B73361">
            <w:pPr>
              <w:jc w:val="right"/>
            </w:pPr>
            <w:r>
              <w:rPr>
                <w:color w:val="000000"/>
                <w:sz w:val="24"/>
                <w:szCs w:val="24"/>
              </w:rPr>
              <w:t>736,474,336.55</w:t>
            </w:r>
          </w:p>
        </w:tc>
        <w:tc>
          <w:tcPr>
            <w:tcW w:w="1644" w:type="dxa"/>
            <w:vAlign w:val="center"/>
          </w:tcPr>
          <w:p w:rsidR="00E4634B" w:rsidRDefault="00B73361">
            <w:pPr>
              <w:jc w:val="right"/>
            </w:pPr>
            <w:r>
              <w:rPr>
                <w:color w:val="000000"/>
                <w:sz w:val="24"/>
                <w:szCs w:val="24"/>
              </w:rPr>
              <w:t>4.58</w:t>
            </w:r>
          </w:p>
        </w:tc>
      </w:tr>
      <w:tr w:rsidR="00E4634B">
        <w:trPr>
          <w:jc w:val="center"/>
        </w:trPr>
        <w:tc>
          <w:tcPr>
            <w:tcW w:w="855" w:type="dxa"/>
            <w:vAlign w:val="center"/>
          </w:tcPr>
          <w:p w:rsidR="00E4634B" w:rsidRDefault="00B73361">
            <w:pPr>
              <w:jc w:val="center"/>
            </w:pPr>
            <w:r>
              <w:rPr>
                <w:color w:val="000000"/>
                <w:sz w:val="24"/>
                <w:szCs w:val="24"/>
              </w:rPr>
              <w:t>8</w:t>
            </w:r>
          </w:p>
        </w:tc>
        <w:tc>
          <w:tcPr>
            <w:tcW w:w="1334" w:type="dxa"/>
            <w:vAlign w:val="center"/>
          </w:tcPr>
          <w:p w:rsidR="00E4634B" w:rsidRDefault="00B73361">
            <w:pPr>
              <w:jc w:val="center"/>
            </w:pPr>
            <w:r>
              <w:rPr>
                <w:color w:val="000000"/>
                <w:sz w:val="24"/>
                <w:szCs w:val="24"/>
              </w:rPr>
              <w:t>603517</w:t>
            </w:r>
          </w:p>
        </w:tc>
        <w:tc>
          <w:tcPr>
            <w:tcW w:w="1777" w:type="dxa"/>
            <w:vAlign w:val="center"/>
          </w:tcPr>
          <w:p w:rsidR="00E4634B" w:rsidRDefault="00B73361">
            <w:pPr>
              <w:jc w:val="center"/>
            </w:pPr>
            <w:r>
              <w:rPr>
                <w:color w:val="000000"/>
                <w:sz w:val="24"/>
                <w:szCs w:val="24"/>
              </w:rPr>
              <w:t>绝味食品</w:t>
            </w:r>
          </w:p>
        </w:tc>
        <w:tc>
          <w:tcPr>
            <w:tcW w:w="1334" w:type="dxa"/>
            <w:vAlign w:val="center"/>
          </w:tcPr>
          <w:p w:rsidR="00E4634B" w:rsidRDefault="00B73361">
            <w:pPr>
              <w:jc w:val="right"/>
            </w:pPr>
            <w:r>
              <w:rPr>
                <w:color w:val="000000"/>
                <w:sz w:val="24"/>
                <w:szCs w:val="24"/>
              </w:rPr>
              <w:t>9,493,751</w:t>
            </w:r>
          </w:p>
        </w:tc>
        <w:tc>
          <w:tcPr>
            <w:tcW w:w="1924" w:type="dxa"/>
            <w:vAlign w:val="center"/>
          </w:tcPr>
          <w:p w:rsidR="00E4634B" w:rsidRDefault="00B73361">
            <w:pPr>
              <w:jc w:val="right"/>
            </w:pPr>
            <w:r>
              <w:rPr>
                <w:color w:val="000000"/>
                <w:sz w:val="24"/>
                <w:szCs w:val="24"/>
              </w:rPr>
              <w:t>736,145,452.54</w:t>
            </w:r>
          </w:p>
        </w:tc>
        <w:tc>
          <w:tcPr>
            <w:tcW w:w="1644" w:type="dxa"/>
            <w:vAlign w:val="center"/>
          </w:tcPr>
          <w:p w:rsidR="00E4634B" w:rsidRDefault="00B73361">
            <w:pPr>
              <w:jc w:val="right"/>
            </w:pPr>
            <w:r>
              <w:rPr>
                <w:color w:val="000000"/>
                <w:sz w:val="24"/>
                <w:szCs w:val="24"/>
              </w:rPr>
              <w:t>4.57</w:t>
            </w:r>
          </w:p>
        </w:tc>
      </w:tr>
      <w:tr w:rsidR="00E4634B">
        <w:trPr>
          <w:jc w:val="center"/>
        </w:trPr>
        <w:tc>
          <w:tcPr>
            <w:tcW w:w="855" w:type="dxa"/>
            <w:vAlign w:val="center"/>
          </w:tcPr>
          <w:p w:rsidR="00E4634B" w:rsidRDefault="00B73361">
            <w:pPr>
              <w:jc w:val="center"/>
            </w:pPr>
            <w:r>
              <w:rPr>
                <w:color w:val="000000"/>
                <w:sz w:val="24"/>
                <w:szCs w:val="24"/>
              </w:rPr>
              <w:t>9</w:t>
            </w:r>
          </w:p>
        </w:tc>
        <w:tc>
          <w:tcPr>
            <w:tcW w:w="1334" w:type="dxa"/>
            <w:vAlign w:val="center"/>
          </w:tcPr>
          <w:p w:rsidR="00E4634B" w:rsidRDefault="00B73361">
            <w:pPr>
              <w:jc w:val="center"/>
            </w:pPr>
            <w:r>
              <w:rPr>
                <w:color w:val="000000"/>
                <w:sz w:val="24"/>
                <w:szCs w:val="24"/>
              </w:rPr>
              <w:t>002493</w:t>
            </w:r>
          </w:p>
        </w:tc>
        <w:tc>
          <w:tcPr>
            <w:tcW w:w="1777" w:type="dxa"/>
            <w:vAlign w:val="center"/>
          </w:tcPr>
          <w:p w:rsidR="00E4634B" w:rsidRDefault="00B73361">
            <w:pPr>
              <w:jc w:val="center"/>
            </w:pPr>
            <w:r>
              <w:rPr>
                <w:color w:val="000000"/>
                <w:sz w:val="24"/>
                <w:szCs w:val="24"/>
              </w:rPr>
              <w:t>荣盛石化</w:t>
            </w:r>
          </w:p>
        </w:tc>
        <w:tc>
          <w:tcPr>
            <w:tcW w:w="1334" w:type="dxa"/>
            <w:vAlign w:val="center"/>
          </w:tcPr>
          <w:p w:rsidR="00E4634B" w:rsidRDefault="00B73361">
            <w:pPr>
              <w:jc w:val="right"/>
            </w:pPr>
            <w:r>
              <w:rPr>
                <w:color w:val="000000"/>
                <w:sz w:val="24"/>
                <w:szCs w:val="24"/>
              </w:rPr>
              <w:t>24,130,407</w:t>
            </w:r>
          </w:p>
        </w:tc>
        <w:tc>
          <w:tcPr>
            <w:tcW w:w="1924" w:type="dxa"/>
            <w:vAlign w:val="center"/>
          </w:tcPr>
          <w:p w:rsidR="00E4634B" w:rsidRDefault="00B73361">
            <w:pPr>
              <w:jc w:val="right"/>
            </w:pPr>
            <w:r>
              <w:rPr>
                <w:color w:val="000000"/>
                <w:sz w:val="24"/>
                <w:szCs w:val="24"/>
              </w:rPr>
              <w:t>666,240,537.27</w:t>
            </w:r>
          </w:p>
        </w:tc>
        <w:tc>
          <w:tcPr>
            <w:tcW w:w="1644" w:type="dxa"/>
            <w:vAlign w:val="center"/>
          </w:tcPr>
          <w:p w:rsidR="00E4634B" w:rsidRDefault="00B73361">
            <w:pPr>
              <w:jc w:val="right"/>
            </w:pPr>
            <w:r>
              <w:rPr>
                <w:color w:val="000000"/>
                <w:sz w:val="24"/>
                <w:szCs w:val="24"/>
              </w:rPr>
              <w:t>4.14</w:t>
            </w:r>
          </w:p>
        </w:tc>
      </w:tr>
      <w:tr w:rsidR="00E4634B">
        <w:trPr>
          <w:jc w:val="center"/>
        </w:trPr>
        <w:tc>
          <w:tcPr>
            <w:tcW w:w="855" w:type="dxa"/>
            <w:vAlign w:val="center"/>
          </w:tcPr>
          <w:p w:rsidR="00E4634B" w:rsidRDefault="00B73361">
            <w:pPr>
              <w:jc w:val="center"/>
            </w:pPr>
            <w:r>
              <w:rPr>
                <w:color w:val="000000"/>
                <w:sz w:val="24"/>
                <w:szCs w:val="24"/>
              </w:rPr>
              <w:t>10</w:t>
            </w:r>
          </w:p>
        </w:tc>
        <w:tc>
          <w:tcPr>
            <w:tcW w:w="1334" w:type="dxa"/>
            <w:vAlign w:val="center"/>
          </w:tcPr>
          <w:p w:rsidR="00E4634B" w:rsidRDefault="00B73361">
            <w:pPr>
              <w:jc w:val="center"/>
            </w:pPr>
            <w:r>
              <w:rPr>
                <w:color w:val="000000"/>
                <w:sz w:val="24"/>
                <w:szCs w:val="24"/>
              </w:rPr>
              <w:t>002050</w:t>
            </w:r>
          </w:p>
        </w:tc>
        <w:tc>
          <w:tcPr>
            <w:tcW w:w="1777" w:type="dxa"/>
            <w:vAlign w:val="center"/>
          </w:tcPr>
          <w:p w:rsidR="00E4634B" w:rsidRDefault="00B73361">
            <w:pPr>
              <w:jc w:val="center"/>
            </w:pPr>
            <w:r>
              <w:rPr>
                <w:color w:val="000000"/>
                <w:sz w:val="24"/>
                <w:szCs w:val="24"/>
              </w:rPr>
              <w:t>三花智控</w:t>
            </w:r>
          </w:p>
        </w:tc>
        <w:tc>
          <w:tcPr>
            <w:tcW w:w="1334" w:type="dxa"/>
            <w:vAlign w:val="center"/>
          </w:tcPr>
          <w:p w:rsidR="00E4634B" w:rsidRDefault="00B73361">
            <w:pPr>
              <w:jc w:val="right"/>
            </w:pPr>
            <w:r>
              <w:rPr>
                <w:color w:val="000000"/>
                <w:sz w:val="24"/>
                <w:szCs w:val="24"/>
              </w:rPr>
              <w:t>26,604,389</w:t>
            </w:r>
          </w:p>
        </w:tc>
        <w:tc>
          <w:tcPr>
            <w:tcW w:w="1924" w:type="dxa"/>
            <w:vAlign w:val="center"/>
          </w:tcPr>
          <w:p w:rsidR="00E4634B" w:rsidRDefault="00B73361">
            <w:pPr>
              <w:jc w:val="right"/>
            </w:pPr>
            <w:r>
              <w:rPr>
                <w:color w:val="000000"/>
                <w:sz w:val="24"/>
                <w:szCs w:val="24"/>
              </w:rPr>
              <w:t>655,798,188.85</w:t>
            </w:r>
          </w:p>
        </w:tc>
        <w:tc>
          <w:tcPr>
            <w:tcW w:w="1644" w:type="dxa"/>
            <w:vAlign w:val="center"/>
          </w:tcPr>
          <w:p w:rsidR="00E4634B" w:rsidRDefault="00B73361">
            <w:pPr>
              <w:jc w:val="right"/>
            </w:pPr>
            <w:r>
              <w:rPr>
                <w:color w:val="000000"/>
                <w:sz w:val="24"/>
                <w:szCs w:val="24"/>
              </w:rPr>
              <w:t>4.08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779,235,000.00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779,235,000.00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4,446,535.50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0.03</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783,681,535.50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E4634B">
        <w:trPr>
          <w:jc w:val="center"/>
        </w:trPr>
        <w:tc>
          <w:tcPr>
            <w:tcW w:w="850" w:type="dxa"/>
            <w:vAlign w:val="center"/>
          </w:tcPr>
          <w:p w:rsidR="00E4634B" w:rsidRDefault="00B73361">
            <w:pPr>
              <w:jc w:val="center"/>
            </w:pPr>
            <w:r>
              <w:rPr>
                <w:color w:val="000000"/>
                <w:sz w:val="24"/>
                <w:szCs w:val="24"/>
              </w:rPr>
              <w:t>1</w:t>
            </w:r>
          </w:p>
        </w:tc>
        <w:tc>
          <w:tcPr>
            <w:tcW w:w="1475" w:type="dxa"/>
            <w:vAlign w:val="center"/>
          </w:tcPr>
          <w:p w:rsidR="00E4634B" w:rsidRDefault="00B73361">
            <w:pPr>
              <w:jc w:val="center"/>
            </w:pPr>
            <w:r>
              <w:rPr>
                <w:color w:val="000000"/>
                <w:sz w:val="24"/>
                <w:szCs w:val="24"/>
              </w:rPr>
              <w:t>200314</w:t>
            </w:r>
          </w:p>
        </w:tc>
        <w:tc>
          <w:tcPr>
            <w:tcW w:w="1769" w:type="dxa"/>
            <w:vAlign w:val="center"/>
          </w:tcPr>
          <w:p w:rsidR="00E4634B" w:rsidRDefault="00B73361">
            <w:pPr>
              <w:jc w:val="center"/>
            </w:pPr>
            <w:r>
              <w:rPr>
                <w:color w:val="000000"/>
                <w:sz w:val="24"/>
                <w:szCs w:val="24"/>
              </w:rPr>
              <w:t>20</w:t>
            </w:r>
            <w:r>
              <w:rPr>
                <w:color w:val="000000"/>
                <w:sz w:val="24"/>
                <w:szCs w:val="24"/>
              </w:rPr>
              <w:t>进出</w:t>
            </w:r>
            <w:r>
              <w:rPr>
                <w:color w:val="000000"/>
                <w:sz w:val="24"/>
                <w:szCs w:val="24"/>
              </w:rPr>
              <w:t>14</w:t>
            </w:r>
          </w:p>
        </w:tc>
        <w:tc>
          <w:tcPr>
            <w:tcW w:w="1387" w:type="dxa"/>
            <w:vAlign w:val="center"/>
          </w:tcPr>
          <w:p w:rsidR="00E4634B" w:rsidRDefault="00B73361">
            <w:pPr>
              <w:jc w:val="right"/>
            </w:pPr>
            <w:r>
              <w:rPr>
                <w:color w:val="000000"/>
                <w:sz w:val="24"/>
                <w:szCs w:val="24"/>
              </w:rPr>
              <w:t>3,300,000</w:t>
            </w:r>
          </w:p>
        </w:tc>
        <w:tc>
          <w:tcPr>
            <w:tcW w:w="2150" w:type="dxa"/>
            <w:vAlign w:val="center"/>
          </w:tcPr>
          <w:p w:rsidR="00E4634B" w:rsidRDefault="00B73361">
            <w:pPr>
              <w:jc w:val="right"/>
            </w:pPr>
            <w:r>
              <w:rPr>
                <w:color w:val="000000"/>
                <w:sz w:val="24"/>
                <w:szCs w:val="24"/>
              </w:rPr>
              <w:t>330,363,000.00</w:t>
            </w:r>
          </w:p>
        </w:tc>
        <w:tc>
          <w:tcPr>
            <w:tcW w:w="1237" w:type="dxa"/>
            <w:vAlign w:val="center"/>
          </w:tcPr>
          <w:p w:rsidR="00E4634B" w:rsidRDefault="00B73361">
            <w:pPr>
              <w:jc w:val="right"/>
            </w:pPr>
            <w:r>
              <w:rPr>
                <w:color w:val="000000"/>
                <w:sz w:val="24"/>
                <w:szCs w:val="24"/>
              </w:rPr>
              <w:t>2.05</w:t>
            </w:r>
          </w:p>
        </w:tc>
      </w:tr>
      <w:tr w:rsidR="00E4634B">
        <w:trPr>
          <w:jc w:val="center"/>
        </w:trPr>
        <w:tc>
          <w:tcPr>
            <w:tcW w:w="850" w:type="dxa"/>
            <w:vAlign w:val="center"/>
          </w:tcPr>
          <w:p w:rsidR="00E4634B" w:rsidRDefault="00B73361">
            <w:pPr>
              <w:jc w:val="center"/>
            </w:pPr>
            <w:r>
              <w:rPr>
                <w:color w:val="000000"/>
                <w:sz w:val="24"/>
                <w:szCs w:val="24"/>
              </w:rPr>
              <w:t>2</w:t>
            </w:r>
          </w:p>
        </w:tc>
        <w:tc>
          <w:tcPr>
            <w:tcW w:w="1475" w:type="dxa"/>
            <w:vAlign w:val="center"/>
          </w:tcPr>
          <w:p w:rsidR="00E4634B" w:rsidRDefault="00B73361">
            <w:pPr>
              <w:jc w:val="center"/>
            </w:pPr>
            <w:r>
              <w:rPr>
                <w:color w:val="000000"/>
                <w:sz w:val="24"/>
                <w:szCs w:val="24"/>
              </w:rPr>
              <w:t>200406</w:t>
            </w:r>
          </w:p>
        </w:tc>
        <w:tc>
          <w:tcPr>
            <w:tcW w:w="1769" w:type="dxa"/>
            <w:vAlign w:val="center"/>
          </w:tcPr>
          <w:p w:rsidR="00E4634B" w:rsidRDefault="00B73361">
            <w:pPr>
              <w:jc w:val="center"/>
            </w:pPr>
            <w:r>
              <w:rPr>
                <w:color w:val="000000"/>
                <w:sz w:val="24"/>
                <w:szCs w:val="24"/>
              </w:rPr>
              <w:t>20</w:t>
            </w:r>
            <w:r>
              <w:rPr>
                <w:color w:val="000000"/>
                <w:sz w:val="24"/>
                <w:szCs w:val="24"/>
              </w:rPr>
              <w:t>农发</w:t>
            </w:r>
            <w:r>
              <w:rPr>
                <w:color w:val="000000"/>
                <w:sz w:val="24"/>
                <w:szCs w:val="24"/>
              </w:rPr>
              <w:t>06</w:t>
            </w:r>
          </w:p>
        </w:tc>
        <w:tc>
          <w:tcPr>
            <w:tcW w:w="1387" w:type="dxa"/>
            <w:vAlign w:val="center"/>
          </w:tcPr>
          <w:p w:rsidR="00E4634B" w:rsidRDefault="00B73361">
            <w:pPr>
              <w:jc w:val="right"/>
            </w:pPr>
            <w:r>
              <w:rPr>
                <w:color w:val="000000"/>
                <w:sz w:val="24"/>
                <w:szCs w:val="24"/>
              </w:rPr>
              <w:t>2,100,000</w:t>
            </w:r>
          </w:p>
        </w:tc>
        <w:tc>
          <w:tcPr>
            <w:tcW w:w="2150" w:type="dxa"/>
            <w:vAlign w:val="center"/>
          </w:tcPr>
          <w:p w:rsidR="00E4634B" w:rsidRDefault="00B73361">
            <w:pPr>
              <w:jc w:val="right"/>
            </w:pPr>
            <w:r>
              <w:rPr>
                <w:color w:val="000000"/>
                <w:sz w:val="24"/>
                <w:szCs w:val="24"/>
              </w:rPr>
              <w:t>209,496,000.00</w:t>
            </w:r>
          </w:p>
        </w:tc>
        <w:tc>
          <w:tcPr>
            <w:tcW w:w="1237" w:type="dxa"/>
            <w:vAlign w:val="center"/>
          </w:tcPr>
          <w:p w:rsidR="00E4634B" w:rsidRDefault="00B73361">
            <w:pPr>
              <w:jc w:val="right"/>
            </w:pPr>
            <w:r>
              <w:rPr>
                <w:color w:val="000000"/>
                <w:sz w:val="24"/>
                <w:szCs w:val="24"/>
              </w:rPr>
              <w:t>1.30</w:t>
            </w:r>
          </w:p>
        </w:tc>
      </w:tr>
      <w:tr w:rsidR="00E4634B">
        <w:trPr>
          <w:jc w:val="center"/>
        </w:trPr>
        <w:tc>
          <w:tcPr>
            <w:tcW w:w="850" w:type="dxa"/>
            <w:vAlign w:val="center"/>
          </w:tcPr>
          <w:p w:rsidR="00E4634B" w:rsidRDefault="00B73361">
            <w:pPr>
              <w:jc w:val="center"/>
            </w:pPr>
            <w:r>
              <w:rPr>
                <w:color w:val="000000"/>
                <w:sz w:val="24"/>
                <w:szCs w:val="24"/>
              </w:rPr>
              <w:t>3</w:t>
            </w:r>
          </w:p>
        </w:tc>
        <w:tc>
          <w:tcPr>
            <w:tcW w:w="1475" w:type="dxa"/>
            <w:vAlign w:val="center"/>
          </w:tcPr>
          <w:p w:rsidR="00E4634B" w:rsidRDefault="00B73361">
            <w:pPr>
              <w:jc w:val="center"/>
            </w:pPr>
            <w:r>
              <w:rPr>
                <w:color w:val="000000"/>
                <w:sz w:val="24"/>
                <w:szCs w:val="24"/>
              </w:rPr>
              <w:t>200211</w:t>
            </w:r>
          </w:p>
        </w:tc>
        <w:tc>
          <w:tcPr>
            <w:tcW w:w="1769" w:type="dxa"/>
            <w:vAlign w:val="center"/>
          </w:tcPr>
          <w:p w:rsidR="00E4634B" w:rsidRDefault="00B73361">
            <w:pPr>
              <w:jc w:val="center"/>
            </w:pPr>
            <w:r>
              <w:rPr>
                <w:color w:val="000000"/>
                <w:sz w:val="24"/>
                <w:szCs w:val="24"/>
              </w:rPr>
              <w:t>20</w:t>
            </w:r>
            <w:r>
              <w:rPr>
                <w:color w:val="000000"/>
                <w:sz w:val="24"/>
                <w:szCs w:val="24"/>
              </w:rPr>
              <w:t>国开</w:t>
            </w:r>
            <w:r>
              <w:rPr>
                <w:color w:val="000000"/>
                <w:sz w:val="24"/>
                <w:szCs w:val="24"/>
              </w:rPr>
              <w:t>11</w:t>
            </w:r>
          </w:p>
        </w:tc>
        <w:tc>
          <w:tcPr>
            <w:tcW w:w="1387" w:type="dxa"/>
            <w:vAlign w:val="center"/>
          </w:tcPr>
          <w:p w:rsidR="00E4634B" w:rsidRDefault="00B73361">
            <w:pPr>
              <w:jc w:val="right"/>
            </w:pPr>
            <w:r>
              <w:rPr>
                <w:color w:val="000000"/>
                <w:sz w:val="24"/>
                <w:szCs w:val="24"/>
              </w:rPr>
              <w:t>1,500,000</w:t>
            </w:r>
          </w:p>
        </w:tc>
        <w:tc>
          <w:tcPr>
            <w:tcW w:w="2150" w:type="dxa"/>
            <w:vAlign w:val="center"/>
          </w:tcPr>
          <w:p w:rsidR="00E4634B" w:rsidRDefault="00B73361">
            <w:pPr>
              <w:jc w:val="right"/>
            </w:pPr>
            <w:r>
              <w:rPr>
                <w:color w:val="000000"/>
                <w:sz w:val="24"/>
                <w:szCs w:val="24"/>
              </w:rPr>
              <w:t>149,400,000.00</w:t>
            </w:r>
          </w:p>
        </w:tc>
        <w:tc>
          <w:tcPr>
            <w:tcW w:w="1237" w:type="dxa"/>
            <w:vAlign w:val="center"/>
          </w:tcPr>
          <w:p w:rsidR="00E4634B" w:rsidRDefault="00B73361">
            <w:pPr>
              <w:jc w:val="right"/>
            </w:pPr>
            <w:r>
              <w:rPr>
                <w:color w:val="000000"/>
                <w:sz w:val="24"/>
                <w:szCs w:val="24"/>
              </w:rPr>
              <w:t>0.93</w:t>
            </w:r>
          </w:p>
        </w:tc>
      </w:tr>
      <w:tr w:rsidR="00E4634B">
        <w:trPr>
          <w:jc w:val="center"/>
        </w:trPr>
        <w:tc>
          <w:tcPr>
            <w:tcW w:w="850" w:type="dxa"/>
            <w:vAlign w:val="center"/>
          </w:tcPr>
          <w:p w:rsidR="00E4634B" w:rsidRDefault="00B73361">
            <w:pPr>
              <w:jc w:val="center"/>
            </w:pPr>
            <w:r>
              <w:rPr>
                <w:color w:val="000000"/>
                <w:sz w:val="24"/>
                <w:szCs w:val="24"/>
              </w:rPr>
              <w:t>4</w:t>
            </w:r>
          </w:p>
        </w:tc>
        <w:tc>
          <w:tcPr>
            <w:tcW w:w="1475" w:type="dxa"/>
            <w:vAlign w:val="center"/>
          </w:tcPr>
          <w:p w:rsidR="00E4634B" w:rsidRDefault="00B73361">
            <w:pPr>
              <w:jc w:val="center"/>
            </w:pPr>
            <w:r>
              <w:rPr>
                <w:color w:val="000000"/>
                <w:sz w:val="24"/>
                <w:szCs w:val="24"/>
              </w:rPr>
              <w:t>200309</w:t>
            </w:r>
          </w:p>
        </w:tc>
        <w:tc>
          <w:tcPr>
            <w:tcW w:w="1769" w:type="dxa"/>
            <w:vAlign w:val="center"/>
          </w:tcPr>
          <w:p w:rsidR="00E4634B" w:rsidRDefault="00B73361">
            <w:pPr>
              <w:jc w:val="center"/>
            </w:pPr>
            <w:r>
              <w:rPr>
                <w:color w:val="000000"/>
                <w:sz w:val="24"/>
                <w:szCs w:val="24"/>
              </w:rPr>
              <w:t>20</w:t>
            </w:r>
            <w:r>
              <w:rPr>
                <w:color w:val="000000"/>
                <w:sz w:val="24"/>
                <w:szCs w:val="24"/>
              </w:rPr>
              <w:t>进出</w:t>
            </w:r>
            <w:r>
              <w:rPr>
                <w:color w:val="000000"/>
                <w:sz w:val="24"/>
                <w:szCs w:val="24"/>
              </w:rPr>
              <w:t>09</w:t>
            </w:r>
          </w:p>
        </w:tc>
        <w:tc>
          <w:tcPr>
            <w:tcW w:w="1387" w:type="dxa"/>
            <w:vAlign w:val="center"/>
          </w:tcPr>
          <w:p w:rsidR="00E4634B" w:rsidRDefault="00B73361">
            <w:pPr>
              <w:jc w:val="right"/>
            </w:pPr>
            <w:r>
              <w:rPr>
                <w:color w:val="000000"/>
                <w:sz w:val="24"/>
                <w:szCs w:val="24"/>
              </w:rPr>
              <w:t>600,000</w:t>
            </w:r>
          </w:p>
        </w:tc>
        <w:tc>
          <w:tcPr>
            <w:tcW w:w="2150" w:type="dxa"/>
            <w:vAlign w:val="center"/>
          </w:tcPr>
          <w:p w:rsidR="00E4634B" w:rsidRDefault="00B73361">
            <w:pPr>
              <w:jc w:val="right"/>
            </w:pPr>
            <w:r>
              <w:rPr>
                <w:color w:val="000000"/>
                <w:sz w:val="24"/>
                <w:szCs w:val="24"/>
              </w:rPr>
              <w:t>59,988,000.00</w:t>
            </w:r>
          </w:p>
        </w:tc>
        <w:tc>
          <w:tcPr>
            <w:tcW w:w="1237" w:type="dxa"/>
            <w:vAlign w:val="center"/>
          </w:tcPr>
          <w:p w:rsidR="00E4634B" w:rsidRDefault="00B73361">
            <w:pPr>
              <w:jc w:val="right"/>
            </w:pPr>
            <w:r>
              <w:rPr>
                <w:color w:val="000000"/>
                <w:sz w:val="24"/>
                <w:szCs w:val="24"/>
              </w:rPr>
              <w:t>0.37</w:t>
            </w:r>
          </w:p>
        </w:tc>
      </w:tr>
      <w:tr w:rsidR="00E4634B">
        <w:trPr>
          <w:jc w:val="center"/>
        </w:trPr>
        <w:tc>
          <w:tcPr>
            <w:tcW w:w="850" w:type="dxa"/>
            <w:vAlign w:val="center"/>
          </w:tcPr>
          <w:p w:rsidR="00E4634B" w:rsidRDefault="00B73361">
            <w:pPr>
              <w:jc w:val="center"/>
            </w:pPr>
            <w:r>
              <w:rPr>
                <w:color w:val="000000"/>
                <w:sz w:val="24"/>
                <w:szCs w:val="24"/>
              </w:rPr>
              <w:t>5</w:t>
            </w:r>
          </w:p>
        </w:tc>
        <w:tc>
          <w:tcPr>
            <w:tcW w:w="1475" w:type="dxa"/>
            <w:vAlign w:val="center"/>
          </w:tcPr>
          <w:p w:rsidR="00E4634B" w:rsidRDefault="00B73361">
            <w:pPr>
              <w:jc w:val="center"/>
            </w:pPr>
            <w:r>
              <w:rPr>
                <w:color w:val="000000"/>
                <w:sz w:val="24"/>
                <w:szCs w:val="24"/>
              </w:rPr>
              <w:t>200304</w:t>
            </w:r>
          </w:p>
        </w:tc>
        <w:tc>
          <w:tcPr>
            <w:tcW w:w="1769" w:type="dxa"/>
            <w:vAlign w:val="center"/>
          </w:tcPr>
          <w:p w:rsidR="00E4634B" w:rsidRDefault="00B73361">
            <w:pPr>
              <w:jc w:val="center"/>
            </w:pPr>
            <w:r>
              <w:rPr>
                <w:color w:val="000000"/>
                <w:sz w:val="24"/>
                <w:szCs w:val="24"/>
              </w:rPr>
              <w:t>20</w:t>
            </w:r>
            <w:r>
              <w:rPr>
                <w:color w:val="000000"/>
                <w:sz w:val="24"/>
                <w:szCs w:val="24"/>
              </w:rPr>
              <w:t>进出</w:t>
            </w:r>
            <w:r>
              <w:rPr>
                <w:color w:val="000000"/>
                <w:sz w:val="24"/>
                <w:szCs w:val="24"/>
              </w:rPr>
              <w:t>04</w:t>
            </w:r>
          </w:p>
        </w:tc>
        <w:tc>
          <w:tcPr>
            <w:tcW w:w="1387" w:type="dxa"/>
            <w:vAlign w:val="center"/>
          </w:tcPr>
          <w:p w:rsidR="00E4634B" w:rsidRDefault="00B73361">
            <w:pPr>
              <w:jc w:val="right"/>
            </w:pPr>
            <w:r>
              <w:rPr>
                <w:color w:val="000000"/>
                <w:sz w:val="24"/>
                <w:szCs w:val="24"/>
              </w:rPr>
              <w:t>300,000</w:t>
            </w:r>
          </w:p>
        </w:tc>
        <w:tc>
          <w:tcPr>
            <w:tcW w:w="2150" w:type="dxa"/>
            <w:vAlign w:val="center"/>
          </w:tcPr>
          <w:p w:rsidR="00E4634B" w:rsidRDefault="00B73361">
            <w:pPr>
              <w:jc w:val="right"/>
            </w:pPr>
            <w:r>
              <w:rPr>
                <w:color w:val="000000"/>
                <w:sz w:val="24"/>
                <w:szCs w:val="24"/>
              </w:rPr>
              <w:t>29,988,000.00</w:t>
            </w:r>
          </w:p>
        </w:tc>
        <w:tc>
          <w:tcPr>
            <w:tcW w:w="1237" w:type="dxa"/>
            <w:vAlign w:val="center"/>
          </w:tcPr>
          <w:p w:rsidR="00E4634B" w:rsidRDefault="00B73361">
            <w:pPr>
              <w:jc w:val="right"/>
            </w:pPr>
            <w:r>
              <w:rPr>
                <w:color w:val="000000"/>
                <w:sz w:val="24"/>
                <w:szCs w:val="24"/>
              </w:rPr>
              <w:t>0.19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4,684,278.93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209,046,582.52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6,295,874.24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32,832,350.39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252,859,086.08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rsidR="00E4634B">
        <w:trPr>
          <w:jc w:val="center"/>
        </w:trPr>
        <w:tc>
          <w:tcPr>
            <w:tcW w:w="1883" w:type="dxa"/>
            <w:vAlign w:val="center"/>
          </w:tcPr>
          <w:p w:rsidR="00E4634B" w:rsidRDefault="00B73361">
            <w:pPr>
              <w:jc w:val="center"/>
            </w:pPr>
            <w:r>
              <w:rPr>
                <w:color w:val="000000"/>
                <w:sz w:val="24"/>
                <w:szCs w:val="24"/>
              </w:rPr>
              <w:t>1</w:t>
            </w:r>
          </w:p>
        </w:tc>
        <w:tc>
          <w:tcPr>
            <w:tcW w:w="1801" w:type="dxa"/>
            <w:vAlign w:val="center"/>
          </w:tcPr>
          <w:p w:rsidR="00E4634B" w:rsidRDefault="00B73361">
            <w:pPr>
              <w:jc w:val="center"/>
            </w:pPr>
            <w:r>
              <w:rPr>
                <w:color w:val="000000"/>
                <w:sz w:val="24"/>
                <w:szCs w:val="24"/>
              </w:rPr>
              <w:t>110069</w:t>
            </w:r>
          </w:p>
        </w:tc>
        <w:tc>
          <w:tcPr>
            <w:tcW w:w="1727" w:type="dxa"/>
            <w:vAlign w:val="center"/>
          </w:tcPr>
          <w:p w:rsidR="00E4634B" w:rsidRDefault="00B73361">
            <w:pPr>
              <w:jc w:val="center"/>
            </w:pPr>
            <w:r>
              <w:rPr>
                <w:color w:val="000000"/>
                <w:sz w:val="24"/>
                <w:szCs w:val="24"/>
              </w:rPr>
              <w:t>瀚蓝转债</w:t>
            </w:r>
          </w:p>
        </w:tc>
        <w:tc>
          <w:tcPr>
            <w:tcW w:w="1768" w:type="dxa"/>
            <w:vAlign w:val="center"/>
          </w:tcPr>
          <w:p w:rsidR="00E4634B" w:rsidRDefault="00B73361">
            <w:pPr>
              <w:jc w:val="right"/>
            </w:pPr>
            <w:r>
              <w:rPr>
                <w:color w:val="000000"/>
                <w:sz w:val="24"/>
                <w:szCs w:val="24"/>
              </w:rPr>
              <w:t>4,446,535.50</w:t>
            </w:r>
          </w:p>
        </w:tc>
        <w:tc>
          <w:tcPr>
            <w:tcW w:w="1689" w:type="dxa"/>
            <w:vAlign w:val="center"/>
          </w:tcPr>
          <w:p w:rsidR="00E4634B" w:rsidRDefault="00B73361">
            <w:pPr>
              <w:jc w:val="right"/>
            </w:pPr>
            <w:r>
              <w:rPr>
                <w:color w:val="000000"/>
                <w:sz w:val="24"/>
                <w:szCs w:val="24"/>
              </w:rPr>
              <w:t>0.03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E4634B">
        <w:trPr>
          <w:jc w:val="center"/>
        </w:trPr>
        <w:tc>
          <w:tcPr>
            <w:tcW w:w="1129" w:type="dxa"/>
            <w:vAlign w:val="center"/>
          </w:tcPr>
          <w:p w:rsidR="00E4634B" w:rsidRDefault="00B73361">
            <w:pPr>
              <w:jc w:val="center"/>
            </w:pPr>
            <w:r>
              <w:rPr>
                <w:color w:val="000000"/>
                <w:sz w:val="24"/>
                <w:szCs w:val="24"/>
              </w:rPr>
              <w:t>1</w:t>
            </w:r>
          </w:p>
        </w:tc>
        <w:tc>
          <w:tcPr>
            <w:tcW w:w="1356" w:type="dxa"/>
            <w:vAlign w:val="center"/>
          </w:tcPr>
          <w:p w:rsidR="00E4634B" w:rsidRDefault="00B73361">
            <w:pPr>
              <w:jc w:val="center"/>
            </w:pPr>
            <w:r>
              <w:rPr>
                <w:color w:val="000000"/>
                <w:sz w:val="24"/>
                <w:szCs w:val="24"/>
              </w:rPr>
              <w:t>603816</w:t>
            </w:r>
          </w:p>
        </w:tc>
        <w:tc>
          <w:tcPr>
            <w:tcW w:w="1355" w:type="dxa"/>
            <w:vAlign w:val="center"/>
          </w:tcPr>
          <w:p w:rsidR="00E4634B" w:rsidRDefault="00B73361">
            <w:pPr>
              <w:jc w:val="center"/>
            </w:pPr>
            <w:r>
              <w:rPr>
                <w:color w:val="000000"/>
                <w:sz w:val="24"/>
                <w:szCs w:val="24"/>
              </w:rPr>
              <w:t>顾家家居</w:t>
            </w:r>
          </w:p>
        </w:tc>
        <w:tc>
          <w:tcPr>
            <w:tcW w:w="1880" w:type="dxa"/>
            <w:vAlign w:val="center"/>
          </w:tcPr>
          <w:p w:rsidR="00E4634B" w:rsidRDefault="00B73361">
            <w:pPr>
              <w:jc w:val="right"/>
            </w:pPr>
            <w:r>
              <w:rPr>
                <w:color w:val="000000"/>
                <w:sz w:val="24"/>
                <w:szCs w:val="24"/>
              </w:rPr>
              <w:t>124,560,000.00</w:t>
            </w:r>
          </w:p>
        </w:tc>
        <w:tc>
          <w:tcPr>
            <w:tcW w:w="1724" w:type="dxa"/>
            <w:vAlign w:val="center"/>
          </w:tcPr>
          <w:p w:rsidR="00E4634B" w:rsidRDefault="00B73361">
            <w:pPr>
              <w:jc w:val="right"/>
            </w:pPr>
            <w:r>
              <w:rPr>
                <w:color w:val="000000"/>
                <w:sz w:val="24"/>
                <w:szCs w:val="24"/>
              </w:rPr>
              <w:t>0.77</w:t>
            </w:r>
          </w:p>
        </w:tc>
        <w:tc>
          <w:tcPr>
            <w:tcW w:w="1424" w:type="dxa"/>
            <w:vAlign w:val="center"/>
          </w:tcPr>
          <w:p w:rsidR="00E4634B" w:rsidRDefault="00B73361">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4,997,462,899.11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933,409,080.90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1,018,047,279.12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4,912,824,700.89</w:t>
            </w:r>
          </w:p>
        </w:tc>
      </w:tr>
    </w:tbl>
    <w:p w:rsidR="00E4634B" w:rsidRDefault="00B7336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 xml:space="preserve">    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lastRenderedPageBreak/>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E4634B" w:rsidRDefault="00B7336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、中国证监会准予交银施罗德新生活力灵活配置混合型证券投资基金募集注册的文件；</w:t>
      </w:r>
      <w:r>
        <w:rPr>
          <w:color w:val="000000"/>
          <w:sz w:val="24"/>
          <w:szCs w:val="24"/>
        </w:rPr>
        <w:t xml:space="preserve"> </w:t>
      </w:r>
    </w:p>
    <w:p w:rsidR="00E4634B" w:rsidRDefault="00B7336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、《交银施罗德新生活力灵活配置混合型证券投资基金基金合同》；</w:t>
      </w:r>
      <w:r>
        <w:rPr>
          <w:color w:val="000000"/>
          <w:sz w:val="24"/>
          <w:szCs w:val="24"/>
        </w:rPr>
        <w:t xml:space="preserve"> </w:t>
      </w:r>
    </w:p>
    <w:p w:rsidR="00E4634B" w:rsidRDefault="00B7336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、《交银施罗德新生活力灵活配置混合型证券投资基金招募说明书》；</w:t>
      </w:r>
      <w:r>
        <w:rPr>
          <w:color w:val="000000"/>
          <w:sz w:val="24"/>
          <w:szCs w:val="24"/>
        </w:rPr>
        <w:t xml:space="preserve"> </w:t>
      </w:r>
    </w:p>
    <w:p w:rsidR="00E4634B" w:rsidRDefault="00B7336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、《交银施罗德新生活力灵活配置混合型证券投资基金托管协议》；</w:t>
      </w:r>
      <w:r>
        <w:rPr>
          <w:color w:val="000000"/>
          <w:sz w:val="24"/>
          <w:szCs w:val="24"/>
        </w:rPr>
        <w:t xml:space="preserve"> </w:t>
      </w:r>
    </w:p>
    <w:p w:rsidR="00E4634B" w:rsidRDefault="00B73361">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、关于申请募集注册交银施罗德新生活力灵活配置混合型证券投资基金的法律意见书；</w:t>
      </w:r>
      <w:r>
        <w:rPr>
          <w:color w:val="000000"/>
          <w:sz w:val="24"/>
          <w:szCs w:val="24"/>
        </w:rPr>
        <w:t xml:space="preserve"> </w:t>
      </w:r>
    </w:p>
    <w:p w:rsidR="00E4634B" w:rsidRDefault="00B7336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E4634B" w:rsidRDefault="00B7336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、报告期内交银施罗德新生活力灵活配置混合型证券投资基金在指定报刊上各项公告的原稿。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E4634B" w:rsidRDefault="00B7336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361" w:rsidRDefault="00B73361" w:rsidP="00876D65">
      <w:r>
        <w:separator/>
      </w:r>
    </w:p>
  </w:endnote>
  <w:endnote w:type="continuationSeparator" w:id="0">
    <w:p w:rsidR="00B73361" w:rsidRDefault="00B7336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0510B0">
      <w:rPr>
        <w:noProof/>
        <w:kern w:val="0"/>
        <w:szCs w:val="21"/>
      </w:rPr>
      <w:t>5</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0510B0">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361" w:rsidRDefault="00B73361" w:rsidP="00876D65">
      <w:r>
        <w:separator/>
      </w:r>
    </w:p>
  </w:footnote>
  <w:footnote w:type="continuationSeparator" w:id="0">
    <w:p w:rsidR="00B73361" w:rsidRDefault="00B7336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交银施罗德新生活力灵活配置混合型证券投资基金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510B0"/>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361"/>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4634B"/>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130C3-1058-4316-8B0C-EB929750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13</Pages>
  <Words>1142</Words>
  <Characters>6510</Characters>
  <Application>Microsoft Office Word</Application>
  <DocSecurity>0</DocSecurity>
  <Lines>54</Lines>
  <Paragraphs>15</Paragraphs>
  <ScaleCrop>false</ScaleCrop>
  <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601</cp:revision>
  <dcterms:created xsi:type="dcterms:W3CDTF">2012-10-16T06:07:00Z</dcterms:created>
  <dcterms:modified xsi:type="dcterms:W3CDTF">2021-01-15T01:26:00Z</dcterms:modified>
</cp:coreProperties>
</file>