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673" w:rsidRPr="00EC5CE0" w:rsidRDefault="00A62673" w:rsidP="00074E9F">
      <w:pPr>
        <w:autoSpaceDE w:val="0"/>
        <w:autoSpaceDN w:val="0"/>
        <w:adjustRightInd w:val="0"/>
        <w:spacing w:line="360" w:lineRule="auto"/>
        <w:jc w:val="left"/>
        <w:rPr>
          <w:rFonts w:ascii="宋体" w:cs="Arial"/>
          <w:color w:val="000000"/>
          <w:kern w:val="0"/>
          <w:sz w:val="24"/>
        </w:rPr>
      </w:pPr>
    </w:p>
    <w:p w:rsidR="00A62673" w:rsidRPr="00EC5CE0" w:rsidRDefault="00A62673" w:rsidP="00074E9F">
      <w:pPr>
        <w:autoSpaceDE w:val="0"/>
        <w:autoSpaceDN w:val="0"/>
        <w:adjustRightInd w:val="0"/>
        <w:spacing w:line="360" w:lineRule="auto"/>
        <w:jc w:val="left"/>
        <w:rPr>
          <w:rFonts w:ascii="宋体" w:cs="Arial"/>
          <w:color w:val="000000"/>
          <w:kern w:val="0"/>
          <w:sz w:val="24"/>
        </w:rPr>
      </w:pPr>
    </w:p>
    <w:p w:rsidR="00A62673" w:rsidRPr="00EC5CE0" w:rsidRDefault="00A62673" w:rsidP="00074E9F">
      <w:pPr>
        <w:autoSpaceDE w:val="0"/>
        <w:autoSpaceDN w:val="0"/>
        <w:adjustRightInd w:val="0"/>
        <w:spacing w:line="360" w:lineRule="auto"/>
        <w:jc w:val="left"/>
        <w:rPr>
          <w:rFonts w:ascii="宋体" w:cs="Arial"/>
          <w:color w:val="000000"/>
          <w:kern w:val="0"/>
          <w:sz w:val="24"/>
        </w:rPr>
      </w:pPr>
    </w:p>
    <w:p w:rsidR="00A62673" w:rsidRPr="00EC5CE0" w:rsidRDefault="00A62673" w:rsidP="00074E9F">
      <w:pPr>
        <w:autoSpaceDE w:val="0"/>
        <w:autoSpaceDN w:val="0"/>
        <w:adjustRightInd w:val="0"/>
        <w:spacing w:line="360" w:lineRule="auto"/>
        <w:jc w:val="left"/>
        <w:rPr>
          <w:rFonts w:ascii="宋体" w:cs="Arial"/>
          <w:color w:val="000000"/>
          <w:kern w:val="0"/>
          <w:sz w:val="36"/>
          <w:szCs w:val="36"/>
        </w:rPr>
      </w:pPr>
    </w:p>
    <w:p w:rsidR="00A62673" w:rsidRPr="00EC5CE0" w:rsidRDefault="00A62673" w:rsidP="000020BB">
      <w:pPr>
        <w:spacing w:line="360" w:lineRule="auto"/>
        <w:jc w:val="center"/>
        <w:rPr>
          <w:rFonts w:ascii="宋体" w:hAnsi="宋体"/>
          <w:b/>
          <w:sz w:val="36"/>
          <w:szCs w:val="36"/>
        </w:rPr>
      </w:pPr>
      <w:r w:rsidRPr="00EC5CE0">
        <w:rPr>
          <w:rFonts w:ascii="宋体" w:hAnsi="宋体"/>
          <w:b/>
          <w:sz w:val="36"/>
          <w:szCs w:val="36"/>
        </w:rPr>
        <w:t>交银施罗德创业板50指数型证券投资基金</w:t>
      </w:r>
    </w:p>
    <w:p w:rsidR="00A62673" w:rsidRPr="00EC5CE0" w:rsidRDefault="00A62673" w:rsidP="000020BB">
      <w:pPr>
        <w:spacing w:line="360" w:lineRule="auto"/>
        <w:jc w:val="center"/>
        <w:rPr>
          <w:rFonts w:ascii="宋体" w:hAnsi="宋体"/>
          <w:b/>
          <w:sz w:val="36"/>
          <w:szCs w:val="36"/>
        </w:rPr>
      </w:pPr>
      <w:r w:rsidRPr="00EC5CE0">
        <w:rPr>
          <w:rFonts w:ascii="宋体" w:hAnsi="宋体"/>
          <w:b/>
          <w:sz w:val="36"/>
          <w:szCs w:val="36"/>
        </w:rPr>
        <w:t>2020年第4季度报告</w:t>
      </w:r>
    </w:p>
    <w:p w:rsidR="00A62673" w:rsidRPr="00977154" w:rsidRDefault="00A62673" w:rsidP="000020BB">
      <w:pPr>
        <w:spacing w:line="360" w:lineRule="auto"/>
        <w:jc w:val="center"/>
        <w:rPr>
          <w:rFonts w:ascii="宋体" w:hAnsi="宋体"/>
          <w:b/>
          <w:sz w:val="24"/>
        </w:rPr>
      </w:pPr>
      <w:r w:rsidRPr="00977154">
        <w:rPr>
          <w:rFonts w:ascii="宋体" w:hAnsi="宋体"/>
          <w:b/>
          <w:sz w:val="24"/>
        </w:rPr>
        <w:t>2020年12月31日</w:t>
      </w: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rPr>
          <w:rFonts w:ascii="宋体"/>
          <w:b/>
          <w:color w:val="000000"/>
          <w:sz w:val="24"/>
        </w:rPr>
      </w:pPr>
    </w:p>
    <w:p w:rsidR="00A62673" w:rsidRPr="00EC5CE0" w:rsidRDefault="00A62673" w:rsidP="005A2769">
      <w:pPr>
        <w:spacing w:line="360" w:lineRule="auto"/>
        <w:ind w:firstLineChars="900" w:firstLine="2168"/>
        <w:rPr>
          <w:rFonts w:ascii="宋体" w:hAnsi="宋体"/>
          <w:b/>
          <w:color w:val="000000"/>
          <w:sz w:val="24"/>
        </w:rPr>
      </w:pPr>
      <w:r w:rsidRPr="00EC5CE0">
        <w:rPr>
          <w:rFonts w:ascii="宋体" w:hAnsi="宋体" w:hint="eastAsia"/>
          <w:b/>
          <w:color w:val="000000"/>
          <w:sz w:val="24"/>
        </w:rPr>
        <w:t>基金管理人：</w:t>
      </w:r>
      <w:r w:rsidRPr="00EC5CE0">
        <w:rPr>
          <w:rFonts w:ascii="宋体" w:hAnsi="宋体"/>
          <w:b/>
          <w:color w:val="000000"/>
          <w:sz w:val="24"/>
        </w:rPr>
        <w:t>交银施罗德基金管理有限公司</w:t>
      </w:r>
    </w:p>
    <w:p w:rsidR="00A62673" w:rsidRPr="00EC5CE0" w:rsidRDefault="00A62673" w:rsidP="005A2769">
      <w:pPr>
        <w:spacing w:line="360" w:lineRule="auto"/>
        <w:ind w:firstLineChars="900" w:firstLine="2168"/>
        <w:rPr>
          <w:rFonts w:ascii="宋体" w:hAnsi="宋体"/>
          <w:b/>
          <w:color w:val="000000"/>
          <w:sz w:val="24"/>
        </w:rPr>
      </w:pPr>
      <w:r w:rsidRPr="00EC5CE0">
        <w:rPr>
          <w:rFonts w:ascii="宋体" w:hAnsi="宋体" w:hint="eastAsia"/>
          <w:b/>
          <w:color w:val="000000"/>
          <w:sz w:val="24"/>
        </w:rPr>
        <w:t>基金托管人：</w:t>
      </w:r>
      <w:r w:rsidRPr="00EC5CE0">
        <w:rPr>
          <w:rFonts w:ascii="宋体" w:hAnsi="宋体"/>
          <w:b/>
          <w:color w:val="000000"/>
          <w:sz w:val="24"/>
        </w:rPr>
        <w:t>招商银行股份有限公司</w:t>
      </w:r>
    </w:p>
    <w:p w:rsidR="00A62673" w:rsidRPr="00EC5CE0" w:rsidRDefault="00A62673" w:rsidP="005A2769">
      <w:pPr>
        <w:spacing w:line="360" w:lineRule="auto"/>
        <w:ind w:firstLineChars="900" w:firstLine="2168"/>
        <w:rPr>
          <w:rFonts w:ascii="宋体" w:hAnsi="宋体"/>
          <w:b/>
          <w:color w:val="000000"/>
          <w:sz w:val="24"/>
        </w:rPr>
        <w:sectPr w:rsidR="00A62673" w:rsidRPr="00EC5CE0" w:rsidSect="00230A66">
          <w:headerReference w:type="default" r:id="rId7"/>
          <w:footerReference w:type="default" r:id="rId8"/>
          <w:pgSz w:w="11926" w:h="15840"/>
          <w:pgMar w:top="1418" w:right="1418" w:bottom="851" w:left="1418" w:header="851" w:footer="992" w:gutter="0"/>
          <w:cols w:space="720"/>
          <w:noEndnote/>
        </w:sectPr>
      </w:pPr>
      <w:r w:rsidRPr="00EC5CE0">
        <w:rPr>
          <w:rFonts w:ascii="宋体" w:hAnsi="宋体" w:hint="eastAsia"/>
          <w:b/>
          <w:color w:val="000000"/>
          <w:sz w:val="24"/>
        </w:rPr>
        <w:t>报告送出日期：</w:t>
      </w:r>
      <w:r w:rsidRPr="00EC5CE0">
        <w:rPr>
          <w:rFonts w:ascii="宋体" w:hAnsi="宋体"/>
          <w:b/>
          <w:color w:val="000000"/>
          <w:sz w:val="24"/>
        </w:rPr>
        <w:t>二〇二一年一月二十一日</w:t>
      </w:r>
    </w:p>
    <w:p w:rsidR="00A62673" w:rsidRPr="00EC5CE0" w:rsidRDefault="00A62673" w:rsidP="00F729DC">
      <w:pPr>
        <w:pStyle w:val="1"/>
        <w:spacing w:beforeLines="100" w:before="312" w:afterLines="100" w:after="312" w:line="360" w:lineRule="auto"/>
        <w:jc w:val="center"/>
        <w:rPr>
          <w:rFonts w:ascii="宋体" w:cs="Arial"/>
          <w:b w:val="0"/>
          <w:color w:val="000000"/>
          <w:kern w:val="0"/>
          <w:sz w:val="24"/>
          <w:szCs w:val="24"/>
        </w:rPr>
      </w:pPr>
      <w:r w:rsidRPr="00EC5CE0">
        <w:rPr>
          <w:rFonts w:ascii="宋体" w:hAnsi="宋体" w:cs="Arial" w:hint="eastAsia"/>
          <w:color w:val="000000"/>
          <w:kern w:val="0"/>
          <w:sz w:val="24"/>
          <w:szCs w:val="24"/>
        </w:rPr>
        <w:lastRenderedPageBreak/>
        <w:t>§</w:t>
      </w:r>
      <w:r w:rsidRPr="00EC5CE0">
        <w:rPr>
          <w:rFonts w:ascii="宋体" w:hAnsi="宋体" w:cs="Arial"/>
          <w:color w:val="000000"/>
          <w:kern w:val="0"/>
          <w:sz w:val="24"/>
          <w:szCs w:val="24"/>
        </w:rPr>
        <w:t xml:space="preserve">1  </w:t>
      </w:r>
      <w:r w:rsidRPr="00EC5CE0">
        <w:rPr>
          <w:rFonts w:ascii="宋体" w:hAnsi="宋体" w:cs="Arial" w:hint="eastAsia"/>
          <w:color w:val="000000"/>
          <w:kern w:val="0"/>
          <w:sz w:val="24"/>
          <w:szCs w:val="24"/>
        </w:rPr>
        <w:t>重要提示</w:t>
      </w:r>
    </w:p>
    <w:p w:rsidR="00AE51F5" w:rsidRDefault="009A78F6">
      <w:pPr>
        <w:spacing w:line="360"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AE51F5" w:rsidRDefault="009A78F6">
      <w:pPr>
        <w:spacing w:line="360" w:lineRule="auto"/>
        <w:ind w:firstLineChars="200" w:firstLine="480"/>
        <w:rPr>
          <w:color w:val="000000"/>
          <w:sz w:val="24"/>
        </w:rPr>
      </w:pPr>
      <w:r>
        <w:rPr>
          <w:color w:val="000000"/>
          <w:sz w:val="24"/>
        </w:rPr>
        <w:t>基金托管人招商银行股份有限公司根据本基金合同规定，于</w:t>
      </w:r>
      <w:r>
        <w:rPr>
          <w:color w:val="000000"/>
          <w:sz w:val="24"/>
        </w:rPr>
        <w:t>2021</w:t>
      </w:r>
      <w:r>
        <w:rPr>
          <w:color w:val="000000"/>
          <w:sz w:val="24"/>
        </w:rPr>
        <w:t>年</w:t>
      </w:r>
      <w:r>
        <w:rPr>
          <w:color w:val="000000"/>
          <w:sz w:val="24"/>
        </w:rPr>
        <w:t>1</w:t>
      </w:r>
      <w:r>
        <w:rPr>
          <w:color w:val="000000"/>
          <w:sz w:val="24"/>
        </w:rPr>
        <w:t>月</w:t>
      </w:r>
      <w:r>
        <w:rPr>
          <w:color w:val="000000"/>
          <w:sz w:val="24"/>
        </w:rPr>
        <w:t>20</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AE51F5" w:rsidRDefault="009A78F6">
      <w:pPr>
        <w:spacing w:line="360"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AE51F5" w:rsidRDefault="009A78F6">
      <w:pPr>
        <w:spacing w:line="360" w:lineRule="auto"/>
        <w:ind w:firstLineChars="200" w:firstLine="480"/>
        <w:rPr>
          <w:color w:val="000000"/>
          <w:sz w:val="24"/>
        </w:rPr>
      </w:pPr>
      <w:r>
        <w:rPr>
          <w:color w:val="000000"/>
          <w:sz w:val="24"/>
        </w:rPr>
        <w:t>基金的过往业绩并不代表其未来表现。投资有风险，投</w:t>
      </w:r>
      <w:r>
        <w:rPr>
          <w:color w:val="000000"/>
          <w:sz w:val="24"/>
        </w:rPr>
        <w:t>资者在作出投资决策前应仔细阅读本基金的招募说明书。</w:t>
      </w:r>
      <w:r>
        <w:rPr>
          <w:color w:val="000000"/>
          <w:sz w:val="24"/>
        </w:rPr>
        <w:t xml:space="preserve"> </w:t>
      </w:r>
    </w:p>
    <w:p w:rsidR="00AE51F5" w:rsidRDefault="009A78F6">
      <w:pPr>
        <w:spacing w:line="360" w:lineRule="auto"/>
        <w:ind w:firstLineChars="200" w:firstLine="480"/>
        <w:rPr>
          <w:color w:val="000000"/>
          <w:sz w:val="24"/>
        </w:rPr>
      </w:pPr>
      <w:r>
        <w:rPr>
          <w:color w:val="000000"/>
          <w:sz w:val="24"/>
        </w:rPr>
        <w:t>本报告中财务资料未经审计。</w:t>
      </w:r>
    </w:p>
    <w:p w:rsidR="00A62673" w:rsidRPr="00DC315B" w:rsidRDefault="00A62673" w:rsidP="00DC315B">
      <w:pPr>
        <w:spacing w:line="360" w:lineRule="auto"/>
        <w:ind w:firstLineChars="200" w:firstLine="480"/>
        <w:rPr>
          <w:color w:val="000000"/>
          <w:sz w:val="24"/>
        </w:rPr>
      </w:pPr>
      <w:r w:rsidRPr="00DC315B">
        <w:rPr>
          <w:color w:val="000000"/>
          <w:sz w:val="24"/>
        </w:rPr>
        <w:t>本报告期自</w:t>
      </w:r>
      <w:r w:rsidRPr="00DC315B">
        <w:rPr>
          <w:color w:val="000000"/>
          <w:sz w:val="24"/>
        </w:rPr>
        <w:t>2020</w:t>
      </w:r>
      <w:r w:rsidRPr="00DC315B">
        <w:rPr>
          <w:color w:val="000000"/>
          <w:sz w:val="24"/>
        </w:rPr>
        <w:t>年</w:t>
      </w:r>
      <w:r w:rsidRPr="00DC315B">
        <w:rPr>
          <w:color w:val="000000"/>
          <w:sz w:val="24"/>
        </w:rPr>
        <w:t>10</w:t>
      </w:r>
      <w:r w:rsidRPr="00DC315B">
        <w:rPr>
          <w:color w:val="000000"/>
          <w:sz w:val="24"/>
        </w:rPr>
        <w:t>月</w:t>
      </w:r>
      <w:r w:rsidRPr="00DC315B">
        <w:rPr>
          <w:color w:val="000000"/>
          <w:sz w:val="24"/>
        </w:rPr>
        <w:t>1</w:t>
      </w:r>
      <w:r w:rsidRPr="00DC315B">
        <w:rPr>
          <w:color w:val="000000"/>
          <w:sz w:val="24"/>
        </w:rPr>
        <w:t>日起至</w:t>
      </w:r>
      <w:r w:rsidRPr="00DC315B">
        <w:rPr>
          <w:color w:val="000000"/>
          <w:sz w:val="24"/>
        </w:rPr>
        <w:t>12</w:t>
      </w:r>
      <w:r w:rsidRPr="00DC315B">
        <w:rPr>
          <w:color w:val="000000"/>
          <w:sz w:val="24"/>
        </w:rPr>
        <w:t>月</w:t>
      </w:r>
      <w:r w:rsidRPr="00DC315B">
        <w:rPr>
          <w:color w:val="000000"/>
          <w:sz w:val="24"/>
        </w:rPr>
        <w:t>31</w:t>
      </w:r>
      <w:r w:rsidRPr="00DC315B">
        <w:rPr>
          <w:color w:val="000000"/>
          <w:sz w:val="24"/>
        </w:rPr>
        <w:t>日止。</w:t>
      </w:r>
    </w:p>
    <w:p w:rsidR="00A62673" w:rsidRPr="00EC5CE0" w:rsidRDefault="00A62673" w:rsidP="00F729DC">
      <w:pPr>
        <w:pStyle w:val="1"/>
        <w:spacing w:beforeLines="100" w:before="312" w:afterLines="100" w:after="312" w:line="360" w:lineRule="auto"/>
        <w:jc w:val="center"/>
        <w:rPr>
          <w:rFonts w:ascii="宋体" w:cs="Arial"/>
          <w:color w:val="000000"/>
          <w:kern w:val="0"/>
          <w:sz w:val="24"/>
          <w:szCs w:val="24"/>
        </w:rPr>
      </w:pPr>
      <w:r w:rsidRPr="00EC5CE0">
        <w:rPr>
          <w:rFonts w:ascii="宋体" w:hAnsi="宋体" w:cs="Arial" w:hint="eastAsia"/>
          <w:color w:val="000000"/>
          <w:kern w:val="0"/>
          <w:sz w:val="24"/>
          <w:szCs w:val="24"/>
        </w:rPr>
        <w:t>§</w:t>
      </w:r>
      <w:r w:rsidRPr="00EC5CE0">
        <w:rPr>
          <w:rFonts w:ascii="宋体" w:hAnsi="宋体" w:cs="Arial"/>
          <w:color w:val="000000"/>
          <w:kern w:val="0"/>
          <w:sz w:val="24"/>
          <w:szCs w:val="24"/>
        </w:rPr>
        <w:t xml:space="preserve">2  </w:t>
      </w:r>
      <w:r w:rsidRPr="00EC5CE0">
        <w:rPr>
          <w:rFonts w:ascii="宋体" w:hAnsi="宋体" w:cs="Arial"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694"/>
        <w:gridCol w:w="2693"/>
      </w:tblGrid>
      <w:tr w:rsidR="00A62673" w:rsidRPr="00EC5CE0" w:rsidTr="005F23CA">
        <w:tc>
          <w:tcPr>
            <w:tcW w:w="2835" w:type="dxa"/>
          </w:tcPr>
          <w:p w:rsidR="00A62673" w:rsidRPr="00DC315B" w:rsidRDefault="00A62673" w:rsidP="00C21C43">
            <w:pPr>
              <w:adjustRightInd w:val="0"/>
              <w:spacing w:before="29" w:line="360" w:lineRule="auto"/>
              <w:ind w:left="17"/>
              <w:jc w:val="left"/>
              <w:rPr>
                <w:kern w:val="0"/>
                <w:sz w:val="24"/>
              </w:rPr>
            </w:pPr>
            <w:r w:rsidRPr="00DC315B">
              <w:rPr>
                <w:kern w:val="0"/>
                <w:sz w:val="24"/>
              </w:rPr>
              <w:t>基金简称</w:t>
            </w:r>
          </w:p>
        </w:tc>
        <w:tc>
          <w:tcPr>
            <w:tcW w:w="5387" w:type="dxa"/>
            <w:gridSpan w:val="2"/>
          </w:tcPr>
          <w:p w:rsidR="00A62673" w:rsidRPr="00DC315B" w:rsidRDefault="00A62673" w:rsidP="00C21C43">
            <w:pPr>
              <w:adjustRightInd w:val="0"/>
              <w:spacing w:before="29" w:line="360" w:lineRule="auto"/>
              <w:ind w:left="17"/>
              <w:jc w:val="left"/>
              <w:rPr>
                <w:color w:val="000000"/>
                <w:kern w:val="0"/>
                <w:sz w:val="24"/>
              </w:rPr>
            </w:pPr>
            <w:r w:rsidRPr="00DC315B">
              <w:rPr>
                <w:color w:val="000000"/>
                <w:kern w:val="0"/>
                <w:sz w:val="24"/>
              </w:rPr>
              <w:t>交银创业板</w:t>
            </w:r>
            <w:r w:rsidRPr="00DC315B">
              <w:rPr>
                <w:color w:val="000000"/>
                <w:kern w:val="0"/>
                <w:sz w:val="24"/>
              </w:rPr>
              <w:t>50</w:t>
            </w:r>
            <w:r w:rsidRPr="00DC315B">
              <w:rPr>
                <w:color w:val="000000"/>
                <w:kern w:val="0"/>
                <w:sz w:val="24"/>
              </w:rPr>
              <w:t>指数</w:t>
            </w:r>
          </w:p>
        </w:tc>
      </w:tr>
      <w:tr w:rsidR="00A62673" w:rsidRPr="00EC5CE0" w:rsidTr="005F23CA">
        <w:tc>
          <w:tcPr>
            <w:tcW w:w="2835" w:type="dxa"/>
          </w:tcPr>
          <w:p w:rsidR="00A62673" w:rsidRPr="00DC315B" w:rsidRDefault="00A62673">
            <w:pPr>
              <w:adjustRightInd w:val="0"/>
              <w:spacing w:before="29" w:line="360" w:lineRule="auto"/>
              <w:ind w:left="17"/>
              <w:jc w:val="left"/>
              <w:rPr>
                <w:kern w:val="0"/>
                <w:sz w:val="24"/>
              </w:rPr>
            </w:pPr>
            <w:r w:rsidRPr="00DC315B">
              <w:rPr>
                <w:kern w:val="0"/>
                <w:sz w:val="24"/>
              </w:rPr>
              <w:t>基金主代码</w:t>
            </w:r>
          </w:p>
        </w:tc>
        <w:tc>
          <w:tcPr>
            <w:tcW w:w="5387" w:type="dxa"/>
            <w:gridSpan w:val="2"/>
          </w:tcPr>
          <w:p w:rsidR="00A62673" w:rsidRPr="00DC315B" w:rsidRDefault="00A62673">
            <w:pPr>
              <w:adjustRightInd w:val="0"/>
              <w:spacing w:before="29" w:line="360" w:lineRule="auto"/>
              <w:ind w:left="17"/>
              <w:jc w:val="left"/>
              <w:rPr>
                <w:color w:val="000000"/>
                <w:kern w:val="0"/>
                <w:sz w:val="24"/>
              </w:rPr>
            </w:pPr>
            <w:r w:rsidRPr="00DC315B">
              <w:rPr>
                <w:color w:val="000000"/>
                <w:kern w:val="0"/>
                <w:sz w:val="24"/>
              </w:rPr>
              <w:t>007464</w:t>
            </w:r>
          </w:p>
        </w:tc>
      </w:tr>
      <w:tr w:rsidR="00A62673" w:rsidRPr="00EC5CE0" w:rsidTr="005F23CA">
        <w:tc>
          <w:tcPr>
            <w:tcW w:w="2835" w:type="dxa"/>
          </w:tcPr>
          <w:p w:rsidR="00A62673" w:rsidRPr="00DC315B" w:rsidRDefault="00A62673" w:rsidP="00C21C43">
            <w:pPr>
              <w:adjustRightInd w:val="0"/>
              <w:spacing w:before="29" w:line="360" w:lineRule="auto"/>
              <w:ind w:left="17"/>
              <w:jc w:val="left"/>
              <w:rPr>
                <w:sz w:val="24"/>
              </w:rPr>
            </w:pPr>
            <w:r w:rsidRPr="00DC315B">
              <w:rPr>
                <w:kern w:val="0"/>
                <w:sz w:val="24"/>
              </w:rPr>
              <w:t>基金运作方式</w:t>
            </w:r>
          </w:p>
        </w:tc>
        <w:tc>
          <w:tcPr>
            <w:tcW w:w="5387" w:type="dxa"/>
            <w:gridSpan w:val="2"/>
          </w:tcPr>
          <w:p w:rsidR="00A62673" w:rsidRPr="00DC315B" w:rsidRDefault="00A62673" w:rsidP="00C21C43">
            <w:pPr>
              <w:adjustRightInd w:val="0"/>
              <w:spacing w:before="29" w:line="360" w:lineRule="auto"/>
              <w:ind w:left="17"/>
              <w:jc w:val="left"/>
              <w:rPr>
                <w:color w:val="000000"/>
                <w:sz w:val="24"/>
              </w:rPr>
            </w:pPr>
            <w:r w:rsidRPr="00DC315B">
              <w:rPr>
                <w:color w:val="000000"/>
                <w:kern w:val="0"/>
                <w:sz w:val="24"/>
              </w:rPr>
              <w:t>契约型开放式</w:t>
            </w:r>
          </w:p>
        </w:tc>
      </w:tr>
      <w:tr w:rsidR="00A62673" w:rsidRPr="00EC5CE0" w:rsidTr="005F23CA">
        <w:tc>
          <w:tcPr>
            <w:tcW w:w="2835" w:type="dxa"/>
          </w:tcPr>
          <w:p w:rsidR="00A62673" w:rsidRPr="00DC315B" w:rsidRDefault="00A62673" w:rsidP="00C21C43">
            <w:pPr>
              <w:adjustRightInd w:val="0"/>
              <w:spacing w:before="29" w:line="360" w:lineRule="auto"/>
              <w:ind w:left="17"/>
              <w:jc w:val="left"/>
              <w:rPr>
                <w:sz w:val="24"/>
              </w:rPr>
            </w:pPr>
            <w:r w:rsidRPr="00DC315B">
              <w:rPr>
                <w:kern w:val="0"/>
                <w:sz w:val="24"/>
              </w:rPr>
              <w:t>基金合同生效日</w:t>
            </w:r>
          </w:p>
        </w:tc>
        <w:tc>
          <w:tcPr>
            <w:tcW w:w="5387" w:type="dxa"/>
            <w:gridSpan w:val="2"/>
          </w:tcPr>
          <w:p w:rsidR="00A62673" w:rsidRPr="00DC315B" w:rsidRDefault="00A62673" w:rsidP="00C21C43">
            <w:pPr>
              <w:adjustRightInd w:val="0"/>
              <w:spacing w:before="29" w:line="360" w:lineRule="auto"/>
              <w:ind w:left="17"/>
              <w:jc w:val="left"/>
              <w:rPr>
                <w:color w:val="000000"/>
                <w:sz w:val="24"/>
              </w:rPr>
            </w:pPr>
            <w:r w:rsidRPr="00DC315B">
              <w:rPr>
                <w:color w:val="000000"/>
                <w:kern w:val="0"/>
                <w:sz w:val="24"/>
              </w:rPr>
              <w:t>2019</w:t>
            </w:r>
            <w:r w:rsidRPr="00DC315B">
              <w:rPr>
                <w:color w:val="000000"/>
                <w:kern w:val="0"/>
                <w:sz w:val="24"/>
              </w:rPr>
              <w:t>年</w:t>
            </w:r>
            <w:r w:rsidRPr="00DC315B">
              <w:rPr>
                <w:color w:val="000000"/>
                <w:kern w:val="0"/>
                <w:sz w:val="24"/>
              </w:rPr>
              <w:t>11</w:t>
            </w:r>
            <w:r w:rsidRPr="00DC315B">
              <w:rPr>
                <w:color w:val="000000"/>
                <w:kern w:val="0"/>
                <w:sz w:val="24"/>
              </w:rPr>
              <w:t>月</w:t>
            </w:r>
            <w:r w:rsidRPr="00DC315B">
              <w:rPr>
                <w:color w:val="000000"/>
                <w:kern w:val="0"/>
                <w:sz w:val="24"/>
              </w:rPr>
              <w:t>20</w:t>
            </w:r>
            <w:r w:rsidRPr="00DC315B">
              <w:rPr>
                <w:color w:val="000000"/>
                <w:kern w:val="0"/>
                <w:sz w:val="24"/>
              </w:rPr>
              <w:t>日</w:t>
            </w:r>
          </w:p>
        </w:tc>
      </w:tr>
      <w:tr w:rsidR="00A62673" w:rsidRPr="00EC5CE0" w:rsidTr="005F23CA">
        <w:tc>
          <w:tcPr>
            <w:tcW w:w="2835" w:type="dxa"/>
          </w:tcPr>
          <w:p w:rsidR="00A62673" w:rsidRPr="00DC315B" w:rsidRDefault="00A62673" w:rsidP="00C21C43">
            <w:pPr>
              <w:adjustRightInd w:val="0"/>
              <w:spacing w:before="29" w:line="360" w:lineRule="auto"/>
              <w:ind w:left="17"/>
              <w:jc w:val="left"/>
              <w:rPr>
                <w:sz w:val="24"/>
              </w:rPr>
            </w:pPr>
            <w:r w:rsidRPr="00DC315B">
              <w:rPr>
                <w:kern w:val="0"/>
                <w:sz w:val="24"/>
              </w:rPr>
              <w:t>报告期末基金份额总额</w:t>
            </w:r>
          </w:p>
        </w:tc>
        <w:tc>
          <w:tcPr>
            <w:tcW w:w="5387" w:type="dxa"/>
            <w:gridSpan w:val="2"/>
          </w:tcPr>
          <w:p w:rsidR="00A62673" w:rsidRPr="00DC315B" w:rsidRDefault="00A62673" w:rsidP="00C21C43">
            <w:pPr>
              <w:adjustRightInd w:val="0"/>
              <w:spacing w:before="29" w:line="360" w:lineRule="auto"/>
              <w:ind w:left="17"/>
              <w:jc w:val="left"/>
              <w:rPr>
                <w:color w:val="000000"/>
                <w:sz w:val="24"/>
              </w:rPr>
            </w:pPr>
            <w:r w:rsidRPr="00DC315B">
              <w:rPr>
                <w:color w:val="000000"/>
                <w:kern w:val="0"/>
                <w:sz w:val="24"/>
              </w:rPr>
              <w:t>571,393,276.61</w:t>
            </w:r>
            <w:r w:rsidRPr="00DC315B">
              <w:rPr>
                <w:color w:val="000000"/>
                <w:kern w:val="0"/>
                <w:sz w:val="24"/>
              </w:rPr>
              <w:t>份</w:t>
            </w:r>
          </w:p>
        </w:tc>
      </w:tr>
      <w:tr w:rsidR="00A62673" w:rsidRPr="00EC5CE0" w:rsidTr="005F23CA">
        <w:tc>
          <w:tcPr>
            <w:tcW w:w="2835" w:type="dxa"/>
          </w:tcPr>
          <w:p w:rsidR="00A62673" w:rsidRPr="00DC315B" w:rsidRDefault="00A62673" w:rsidP="00C21C43">
            <w:pPr>
              <w:adjustRightInd w:val="0"/>
              <w:spacing w:before="29" w:line="360" w:lineRule="auto"/>
              <w:ind w:left="17"/>
              <w:jc w:val="left"/>
              <w:rPr>
                <w:sz w:val="24"/>
              </w:rPr>
            </w:pPr>
            <w:r w:rsidRPr="00DC315B">
              <w:rPr>
                <w:kern w:val="0"/>
                <w:sz w:val="24"/>
              </w:rPr>
              <w:t>投资目标</w:t>
            </w:r>
          </w:p>
        </w:tc>
        <w:tc>
          <w:tcPr>
            <w:tcW w:w="5387" w:type="dxa"/>
            <w:gridSpan w:val="2"/>
          </w:tcPr>
          <w:p w:rsidR="00A62673" w:rsidRPr="00DC315B" w:rsidRDefault="00A62673" w:rsidP="00C21C43">
            <w:pPr>
              <w:adjustRightInd w:val="0"/>
              <w:spacing w:before="29" w:line="360" w:lineRule="auto"/>
              <w:ind w:left="17"/>
              <w:jc w:val="left"/>
              <w:rPr>
                <w:color w:val="000000"/>
                <w:sz w:val="24"/>
              </w:rPr>
            </w:pPr>
            <w:r w:rsidRPr="00DC315B">
              <w:rPr>
                <w:color w:val="000000"/>
                <w:kern w:val="0"/>
                <w:sz w:val="24"/>
              </w:rPr>
              <w:t>本基金采用指数化投资策略，紧密跟踪创业板</w:t>
            </w:r>
            <w:r w:rsidRPr="00DC315B">
              <w:rPr>
                <w:color w:val="000000"/>
                <w:kern w:val="0"/>
                <w:sz w:val="24"/>
              </w:rPr>
              <w:t>50</w:t>
            </w:r>
            <w:r w:rsidRPr="00DC315B">
              <w:rPr>
                <w:color w:val="000000"/>
                <w:kern w:val="0"/>
                <w:sz w:val="24"/>
              </w:rPr>
              <w:t>指数，追求跟踪偏离度与跟踪误差最小化。</w:t>
            </w:r>
          </w:p>
        </w:tc>
      </w:tr>
      <w:tr w:rsidR="00A62673" w:rsidRPr="00EC5CE0" w:rsidTr="005F23CA">
        <w:tc>
          <w:tcPr>
            <w:tcW w:w="2835" w:type="dxa"/>
          </w:tcPr>
          <w:p w:rsidR="00A62673" w:rsidRPr="00DC315B" w:rsidRDefault="00A62673" w:rsidP="00C21C43">
            <w:pPr>
              <w:adjustRightInd w:val="0"/>
              <w:spacing w:before="29" w:line="360" w:lineRule="auto"/>
              <w:ind w:left="17"/>
              <w:jc w:val="left"/>
              <w:rPr>
                <w:sz w:val="24"/>
              </w:rPr>
            </w:pPr>
            <w:r w:rsidRPr="00DC315B">
              <w:rPr>
                <w:kern w:val="0"/>
                <w:sz w:val="24"/>
              </w:rPr>
              <w:t>投资策略</w:t>
            </w:r>
          </w:p>
        </w:tc>
        <w:tc>
          <w:tcPr>
            <w:tcW w:w="5387" w:type="dxa"/>
            <w:gridSpan w:val="2"/>
          </w:tcPr>
          <w:p w:rsidR="00A62673" w:rsidRPr="00DC315B" w:rsidRDefault="00A62673" w:rsidP="00C21C43">
            <w:pPr>
              <w:adjustRightInd w:val="0"/>
              <w:spacing w:before="29" w:line="360" w:lineRule="auto"/>
              <w:ind w:left="17"/>
              <w:jc w:val="left"/>
              <w:rPr>
                <w:color w:val="000000"/>
                <w:sz w:val="24"/>
              </w:rPr>
            </w:pPr>
            <w:r w:rsidRPr="00DC315B">
              <w:rPr>
                <w:color w:val="000000"/>
                <w:kern w:val="0"/>
                <w:sz w:val="24"/>
              </w:rPr>
              <w:t>本基金主要采用组合复制策略及适当的替代性策略以更好的跟踪标的指数，实现基金投资目标。当指数编制方法变更、成份股发生变更、成份股权重由于自由流通量调整而发生变化、成份股派发现金股息、配股及增发、股票长期停牌、市场流动性不足等情况发生时，基金管理人将对投资</w:t>
            </w:r>
            <w:r w:rsidRPr="00DC315B">
              <w:rPr>
                <w:color w:val="000000"/>
                <w:kern w:val="0"/>
                <w:sz w:val="24"/>
              </w:rPr>
              <w:lastRenderedPageBreak/>
              <w:t>组合进行优化，尽量降低跟踪误差。</w:t>
            </w:r>
          </w:p>
        </w:tc>
      </w:tr>
      <w:tr w:rsidR="00A62673" w:rsidRPr="00EC5CE0" w:rsidTr="005F23CA">
        <w:tc>
          <w:tcPr>
            <w:tcW w:w="2835" w:type="dxa"/>
          </w:tcPr>
          <w:p w:rsidR="00A62673" w:rsidRPr="00DC315B" w:rsidRDefault="00A62673" w:rsidP="00C21C43">
            <w:pPr>
              <w:adjustRightInd w:val="0"/>
              <w:spacing w:before="29" w:line="360" w:lineRule="auto"/>
              <w:ind w:left="17"/>
              <w:jc w:val="left"/>
              <w:rPr>
                <w:sz w:val="24"/>
              </w:rPr>
            </w:pPr>
            <w:r w:rsidRPr="00DC315B">
              <w:rPr>
                <w:kern w:val="0"/>
                <w:sz w:val="24"/>
              </w:rPr>
              <w:lastRenderedPageBreak/>
              <w:t>业绩比较基准</w:t>
            </w:r>
          </w:p>
        </w:tc>
        <w:tc>
          <w:tcPr>
            <w:tcW w:w="5387" w:type="dxa"/>
            <w:gridSpan w:val="2"/>
          </w:tcPr>
          <w:p w:rsidR="00A62673" w:rsidRPr="00DC315B" w:rsidRDefault="00A62673" w:rsidP="00C21C43">
            <w:pPr>
              <w:adjustRightInd w:val="0"/>
              <w:spacing w:before="29" w:line="360" w:lineRule="auto"/>
              <w:ind w:left="17"/>
              <w:jc w:val="left"/>
              <w:rPr>
                <w:color w:val="000000"/>
                <w:sz w:val="24"/>
              </w:rPr>
            </w:pPr>
            <w:r w:rsidRPr="00DC315B">
              <w:rPr>
                <w:color w:val="000000"/>
                <w:kern w:val="0"/>
                <w:sz w:val="24"/>
              </w:rPr>
              <w:t>创业板</w:t>
            </w:r>
            <w:r w:rsidRPr="00DC315B">
              <w:rPr>
                <w:color w:val="000000"/>
                <w:kern w:val="0"/>
                <w:sz w:val="24"/>
              </w:rPr>
              <w:t>50</w:t>
            </w:r>
            <w:r w:rsidRPr="00DC315B">
              <w:rPr>
                <w:color w:val="000000"/>
                <w:kern w:val="0"/>
                <w:sz w:val="24"/>
              </w:rPr>
              <w:t>指数收益率</w:t>
            </w:r>
            <w:r w:rsidRPr="00DC315B">
              <w:rPr>
                <w:color w:val="000000"/>
                <w:kern w:val="0"/>
                <w:sz w:val="24"/>
              </w:rPr>
              <w:t>×95%</w:t>
            </w:r>
            <w:r w:rsidRPr="00DC315B">
              <w:rPr>
                <w:color w:val="000000"/>
                <w:kern w:val="0"/>
                <w:sz w:val="24"/>
              </w:rPr>
              <w:t>＋人民币银行活期存款利率（税后）</w:t>
            </w:r>
            <w:r w:rsidRPr="00DC315B">
              <w:rPr>
                <w:color w:val="000000"/>
                <w:kern w:val="0"/>
                <w:sz w:val="24"/>
              </w:rPr>
              <w:t>×5%</w:t>
            </w:r>
          </w:p>
        </w:tc>
      </w:tr>
      <w:tr w:rsidR="00A62673" w:rsidRPr="00EC5CE0" w:rsidTr="005F23CA">
        <w:tc>
          <w:tcPr>
            <w:tcW w:w="2835" w:type="dxa"/>
          </w:tcPr>
          <w:p w:rsidR="00A62673" w:rsidRPr="00DC315B" w:rsidRDefault="00A62673" w:rsidP="00C21C43">
            <w:pPr>
              <w:adjustRightInd w:val="0"/>
              <w:spacing w:before="29" w:line="360" w:lineRule="auto"/>
              <w:ind w:left="17"/>
              <w:jc w:val="left"/>
              <w:rPr>
                <w:sz w:val="24"/>
              </w:rPr>
            </w:pPr>
            <w:r w:rsidRPr="00DC315B">
              <w:rPr>
                <w:kern w:val="0"/>
                <w:sz w:val="24"/>
              </w:rPr>
              <w:t>风险收益特征</w:t>
            </w:r>
          </w:p>
        </w:tc>
        <w:tc>
          <w:tcPr>
            <w:tcW w:w="5387" w:type="dxa"/>
            <w:gridSpan w:val="2"/>
          </w:tcPr>
          <w:p w:rsidR="00AE51F5" w:rsidRDefault="009A78F6">
            <w:pPr>
              <w:adjustRightInd w:val="0"/>
              <w:spacing w:before="29" w:line="360" w:lineRule="auto"/>
              <w:ind w:left="17"/>
              <w:jc w:val="left"/>
              <w:rPr>
                <w:color w:val="000000"/>
                <w:sz w:val="24"/>
              </w:rPr>
            </w:pPr>
            <w:r>
              <w:rPr>
                <w:color w:val="000000"/>
                <w:kern w:val="0"/>
                <w:sz w:val="24"/>
              </w:rPr>
              <w:t>本基金是一只股票型基金，其预期风险和预期收益高于混合型基金、债券型基金和货币市场基金。</w:t>
            </w:r>
          </w:p>
          <w:p w:rsidR="00A62673" w:rsidRPr="00DC315B" w:rsidRDefault="00A62673" w:rsidP="00C21C43">
            <w:pPr>
              <w:adjustRightInd w:val="0"/>
              <w:spacing w:before="29" w:line="360" w:lineRule="auto"/>
              <w:ind w:left="17"/>
              <w:jc w:val="left"/>
              <w:rPr>
                <w:color w:val="000000"/>
                <w:sz w:val="24"/>
              </w:rPr>
            </w:pPr>
            <w:r w:rsidRPr="00DC315B">
              <w:rPr>
                <w:color w:val="000000"/>
                <w:kern w:val="0"/>
                <w:sz w:val="24"/>
              </w:rPr>
              <w:t>本基金为指数型基金，主要采用组合复制策略及适当的替代性策略跟踪创业板</w:t>
            </w:r>
            <w:r w:rsidRPr="00DC315B">
              <w:rPr>
                <w:color w:val="000000"/>
                <w:kern w:val="0"/>
                <w:sz w:val="24"/>
              </w:rPr>
              <w:t>50</w:t>
            </w:r>
            <w:r w:rsidRPr="00DC315B">
              <w:rPr>
                <w:color w:val="000000"/>
                <w:kern w:val="0"/>
                <w:sz w:val="24"/>
              </w:rPr>
              <w:t>指数，具有与标的指数以及标的指数所代表的股票市场相似的风险收益特征。</w:t>
            </w:r>
          </w:p>
        </w:tc>
      </w:tr>
      <w:tr w:rsidR="00A62673" w:rsidRPr="00EC5CE0" w:rsidTr="005F23CA">
        <w:tc>
          <w:tcPr>
            <w:tcW w:w="2835" w:type="dxa"/>
          </w:tcPr>
          <w:p w:rsidR="00A62673" w:rsidRPr="00DC315B" w:rsidRDefault="00A62673" w:rsidP="00C21C43">
            <w:pPr>
              <w:adjustRightInd w:val="0"/>
              <w:spacing w:before="29" w:line="360" w:lineRule="auto"/>
              <w:ind w:left="17"/>
              <w:jc w:val="left"/>
              <w:rPr>
                <w:sz w:val="24"/>
              </w:rPr>
            </w:pPr>
            <w:r w:rsidRPr="00DC315B">
              <w:rPr>
                <w:kern w:val="0"/>
                <w:sz w:val="24"/>
              </w:rPr>
              <w:t>基金管理人</w:t>
            </w:r>
          </w:p>
        </w:tc>
        <w:tc>
          <w:tcPr>
            <w:tcW w:w="5387" w:type="dxa"/>
            <w:gridSpan w:val="2"/>
          </w:tcPr>
          <w:p w:rsidR="00A62673" w:rsidRPr="00DC315B" w:rsidRDefault="00A62673" w:rsidP="00C21C43">
            <w:pPr>
              <w:adjustRightInd w:val="0"/>
              <w:spacing w:before="29" w:line="360" w:lineRule="auto"/>
              <w:ind w:left="17"/>
              <w:jc w:val="left"/>
              <w:rPr>
                <w:color w:val="000000"/>
                <w:sz w:val="24"/>
              </w:rPr>
            </w:pPr>
            <w:r w:rsidRPr="00DC315B">
              <w:rPr>
                <w:color w:val="000000"/>
                <w:kern w:val="0"/>
                <w:sz w:val="24"/>
              </w:rPr>
              <w:t>交银施罗德基金管理有限公司</w:t>
            </w:r>
          </w:p>
        </w:tc>
      </w:tr>
      <w:tr w:rsidR="00A62673" w:rsidRPr="00EC5CE0" w:rsidTr="005F23CA">
        <w:tc>
          <w:tcPr>
            <w:tcW w:w="2835" w:type="dxa"/>
          </w:tcPr>
          <w:p w:rsidR="00A62673" w:rsidRPr="00DC315B" w:rsidRDefault="00A62673" w:rsidP="00C21C43">
            <w:pPr>
              <w:adjustRightInd w:val="0"/>
              <w:spacing w:before="29" w:line="360" w:lineRule="auto"/>
              <w:ind w:left="17"/>
              <w:jc w:val="left"/>
              <w:rPr>
                <w:sz w:val="24"/>
              </w:rPr>
            </w:pPr>
            <w:r w:rsidRPr="00DC315B">
              <w:rPr>
                <w:kern w:val="0"/>
                <w:sz w:val="24"/>
              </w:rPr>
              <w:t>基金托管人</w:t>
            </w:r>
          </w:p>
        </w:tc>
        <w:tc>
          <w:tcPr>
            <w:tcW w:w="5387" w:type="dxa"/>
            <w:gridSpan w:val="2"/>
          </w:tcPr>
          <w:p w:rsidR="00A62673" w:rsidRPr="00DC315B" w:rsidRDefault="00A62673" w:rsidP="00C21C43">
            <w:pPr>
              <w:adjustRightInd w:val="0"/>
              <w:spacing w:before="29" w:line="360" w:lineRule="auto"/>
              <w:ind w:left="17"/>
              <w:jc w:val="left"/>
              <w:rPr>
                <w:color w:val="000000"/>
                <w:sz w:val="24"/>
              </w:rPr>
            </w:pPr>
            <w:r w:rsidRPr="00DC315B">
              <w:rPr>
                <w:color w:val="000000"/>
                <w:kern w:val="0"/>
                <w:sz w:val="24"/>
              </w:rPr>
              <w:t>招商银行股份有限公司</w:t>
            </w:r>
          </w:p>
        </w:tc>
      </w:tr>
      <w:tr w:rsidR="002C4578" w:rsidRPr="00C30CFF" w:rsidTr="005F23CA">
        <w:tc>
          <w:tcPr>
            <w:tcW w:w="2835" w:type="dxa"/>
          </w:tcPr>
          <w:p w:rsidR="002C4578" w:rsidRPr="00C30CFF" w:rsidRDefault="002C4578" w:rsidP="00320C1E">
            <w:pPr>
              <w:adjustRightInd w:val="0"/>
              <w:spacing w:before="29" w:line="360" w:lineRule="auto"/>
              <w:ind w:left="17"/>
              <w:jc w:val="left"/>
              <w:rPr>
                <w:kern w:val="0"/>
                <w:sz w:val="24"/>
              </w:rPr>
            </w:pPr>
            <w:r w:rsidRPr="00C30CFF">
              <w:rPr>
                <w:color w:val="000000"/>
                <w:sz w:val="24"/>
              </w:rPr>
              <w:t>下属</w:t>
            </w:r>
            <w:r w:rsidR="00D70274">
              <w:rPr>
                <w:rFonts w:hint="eastAsia"/>
                <w:color w:val="000000"/>
                <w:sz w:val="24"/>
              </w:rPr>
              <w:t>两</w:t>
            </w:r>
            <w:r w:rsidRPr="00C30CFF">
              <w:rPr>
                <w:color w:val="000000"/>
                <w:sz w:val="24"/>
              </w:rPr>
              <w:t>级基金的基金简称</w:t>
            </w:r>
          </w:p>
        </w:tc>
        <w:tc>
          <w:tcPr>
            <w:tcW w:w="2694" w:type="dxa"/>
            <w:vAlign w:val="center"/>
          </w:tcPr>
          <w:p w:rsidR="002C4578" w:rsidRPr="00C30CFF" w:rsidRDefault="002C4578" w:rsidP="00320C1E">
            <w:pPr>
              <w:jc w:val="left"/>
              <w:rPr>
                <w:sz w:val="24"/>
              </w:rPr>
            </w:pPr>
            <w:r w:rsidRPr="00C30CFF">
              <w:rPr>
                <w:sz w:val="24"/>
              </w:rPr>
              <w:t>交银创业板</w:t>
            </w:r>
            <w:r w:rsidRPr="00C30CFF">
              <w:rPr>
                <w:sz w:val="24"/>
              </w:rPr>
              <w:t>50</w:t>
            </w:r>
            <w:r w:rsidRPr="00C30CFF">
              <w:rPr>
                <w:sz w:val="24"/>
              </w:rPr>
              <w:t>指数</w:t>
            </w:r>
            <w:r w:rsidRPr="00C30CFF">
              <w:rPr>
                <w:sz w:val="24"/>
              </w:rPr>
              <w:t>A</w:t>
            </w:r>
          </w:p>
        </w:tc>
        <w:tc>
          <w:tcPr>
            <w:tcW w:w="2693" w:type="dxa"/>
            <w:vAlign w:val="center"/>
          </w:tcPr>
          <w:p w:rsidR="002C4578" w:rsidRPr="00C30CFF" w:rsidRDefault="002C4578" w:rsidP="00320C1E">
            <w:pPr>
              <w:jc w:val="left"/>
              <w:rPr>
                <w:sz w:val="24"/>
              </w:rPr>
            </w:pPr>
            <w:r w:rsidRPr="00C30CFF">
              <w:rPr>
                <w:sz w:val="24"/>
              </w:rPr>
              <w:t>交银创业板</w:t>
            </w:r>
            <w:r w:rsidRPr="00C30CFF">
              <w:rPr>
                <w:sz w:val="24"/>
              </w:rPr>
              <w:t>50</w:t>
            </w:r>
            <w:r w:rsidRPr="00C30CFF">
              <w:rPr>
                <w:sz w:val="24"/>
              </w:rPr>
              <w:t>指数</w:t>
            </w:r>
            <w:r w:rsidRPr="00C30CFF">
              <w:rPr>
                <w:sz w:val="24"/>
              </w:rPr>
              <w:t>C</w:t>
            </w:r>
          </w:p>
        </w:tc>
      </w:tr>
      <w:tr w:rsidR="002C4578" w:rsidRPr="00C30CFF" w:rsidTr="005F23CA">
        <w:tc>
          <w:tcPr>
            <w:tcW w:w="2835" w:type="dxa"/>
          </w:tcPr>
          <w:p w:rsidR="002C4578" w:rsidRPr="00C30CFF" w:rsidRDefault="002C4578" w:rsidP="00320C1E">
            <w:pPr>
              <w:adjustRightInd w:val="0"/>
              <w:spacing w:before="29" w:line="360" w:lineRule="auto"/>
              <w:ind w:left="17"/>
              <w:jc w:val="left"/>
              <w:rPr>
                <w:color w:val="000000"/>
                <w:sz w:val="24"/>
              </w:rPr>
            </w:pPr>
            <w:r w:rsidRPr="00C30CFF">
              <w:rPr>
                <w:color w:val="000000"/>
                <w:sz w:val="24"/>
              </w:rPr>
              <w:t>下属</w:t>
            </w:r>
            <w:r w:rsidR="00D70274">
              <w:rPr>
                <w:rFonts w:hint="eastAsia"/>
                <w:color w:val="000000"/>
                <w:sz w:val="24"/>
              </w:rPr>
              <w:t>两</w:t>
            </w:r>
            <w:r w:rsidRPr="00C30CFF">
              <w:rPr>
                <w:color w:val="000000"/>
                <w:sz w:val="24"/>
              </w:rPr>
              <w:t>级基金的交易代码</w:t>
            </w:r>
          </w:p>
        </w:tc>
        <w:tc>
          <w:tcPr>
            <w:tcW w:w="2694" w:type="dxa"/>
            <w:vAlign w:val="center"/>
          </w:tcPr>
          <w:p w:rsidR="002C4578" w:rsidRPr="00C30CFF" w:rsidRDefault="002C4578" w:rsidP="00320C1E">
            <w:pPr>
              <w:jc w:val="left"/>
              <w:rPr>
                <w:color w:val="000000"/>
                <w:sz w:val="24"/>
              </w:rPr>
            </w:pPr>
            <w:r w:rsidRPr="00C30CFF">
              <w:rPr>
                <w:color w:val="000000"/>
                <w:sz w:val="24"/>
              </w:rPr>
              <w:t>007464</w:t>
            </w:r>
          </w:p>
        </w:tc>
        <w:tc>
          <w:tcPr>
            <w:tcW w:w="2693" w:type="dxa"/>
            <w:vAlign w:val="center"/>
          </w:tcPr>
          <w:p w:rsidR="002C4578" w:rsidRPr="00C30CFF" w:rsidRDefault="002C4578" w:rsidP="00320C1E">
            <w:pPr>
              <w:jc w:val="left"/>
              <w:rPr>
                <w:color w:val="000000"/>
                <w:sz w:val="24"/>
              </w:rPr>
            </w:pPr>
            <w:r w:rsidRPr="00C30CFF">
              <w:rPr>
                <w:color w:val="000000"/>
                <w:sz w:val="24"/>
              </w:rPr>
              <w:t>007465</w:t>
            </w:r>
          </w:p>
        </w:tc>
      </w:tr>
      <w:tr w:rsidR="002C4578" w:rsidRPr="00C30CFF" w:rsidTr="005F23CA">
        <w:tc>
          <w:tcPr>
            <w:tcW w:w="2835" w:type="dxa"/>
          </w:tcPr>
          <w:p w:rsidR="002C4578" w:rsidRPr="00C30CFF" w:rsidRDefault="002C4578" w:rsidP="00A869F6">
            <w:pPr>
              <w:adjustRightInd w:val="0"/>
              <w:spacing w:before="29" w:line="360" w:lineRule="auto"/>
              <w:ind w:left="17"/>
              <w:jc w:val="left"/>
              <w:rPr>
                <w:color w:val="000000"/>
                <w:sz w:val="24"/>
              </w:rPr>
            </w:pPr>
            <w:r w:rsidRPr="00C30CFF">
              <w:rPr>
                <w:color w:val="000000"/>
                <w:sz w:val="24"/>
              </w:rPr>
              <w:t>报告期末下属</w:t>
            </w:r>
            <w:r w:rsidR="00A869F6">
              <w:rPr>
                <w:rFonts w:hint="eastAsia"/>
                <w:color w:val="000000"/>
                <w:sz w:val="24"/>
              </w:rPr>
              <w:t>两级</w:t>
            </w:r>
            <w:r w:rsidRPr="00C30CFF">
              <w:rPr>
                <w:color w:val="000000"/>
                <w:sz w:val="24"/>
              </w:rPr>
              <w:t>基金的份额总额</w:t>
            </w:r>
          </w:p>
        </w:tc>
        <w:tc>
          <w:tcPr>
            <w:tcW w:w="2694" w:type="dxa"/>
            <w:vAlign w:val="center"/>
          </w:tcPr>
          <w:p w:rsidR="002C4578" w:rsidRPr="00C30CFF" w:rsidRDefault="002C4578" w:rsidP="00320C1E">
            <w:pPr>
              <w:jc w:val="left"/>
              <w:rPr>
                <w:sz w:val="24"/>
              </w:rPr>
            </w:pPr>
            <w:r w:rsidRPr="00C30CFF">
              <w:rPr>
                <w:sz w:val="24"/>
              </w:rPr>
              <w:t>390,082,342.85</w:t>
            </w:r>
            <w:r w:rsidRPr="00C30CFF">
              <w:rPr>
                <w:color w:val="000000"/>
                <w:kern w:val="0"/>
                <w:sz w:val="24"/>
              </w:rPr>
              <w:t>份</w:t>
            </w:r>
          </w:p>
        </w:tc>
        <w:tc>
          <w:tcPr>
            <w:tcW w:w="2693" w:type="dxa"/>
            <w:vAlign w:val="center"/>
          </w:tcPr>
          <w:p w:rsidR="002C4578" w:rsidRPr="00C30CFF" w:rsidRDefault="002C4578" w:rsidP="00320C1E">
            <w:pPr>
              <w:jc w:val="left"/>
              <w:rPr>
                <w:sz w:val="24"/>
              </w:rPr>
            </w:pPr>
            <w:r w:rsidRPr="00C30CFF">
              <w:rPr>
                <w:sz w:val="24"/>
              </w:rPr>
              <w:t>181,310,933.76</w:t>
            </w:r>
            <w:r w:rsidRPr="00C30CFF">
              <w:rPr>
                <w:color w:val="000000"/>
                <w:kern w:val="0"/>
                <w:sz w:val="24"/>
              </w:rPr>
              <w:t>份</w:t>
            </w:r>
          </w:p>
        </w:tc>
      </w:tr>
    </w:tbl>
    <w:p w:rsidR="00A62673" w:rsidRPr="00EC5CE0" w:rsidRDefault="00A62673" w:rsidP="00F729DC">
      <w:pPr>
        <w:pStyle w:val="1"/>
        <w:spacing w:beforeLines="100" w:before="312" w:afterLines="100" w:after="312" w:line="360" w:lineRule="auto"/>
        <w:jc w:val="center"/>
        <w:rPr>
          <w:rFonts w:ascii="宋体" w:cs="Arial"/>
          <w:color w:val="000000"/>
          <w:kern w:val="0"/>
          <w:sz w:val="24"/>
          <w:szCs w:val="24"/>
        </w:rPr>
      </w:pPr>
      <w:r w:rsidRPr="00EC5CE0">
        <w:rPr>
          <w:rFonts w:ascii="宋体" w:hAnsi="宋体" w:cs="Arial" w:hint="eastAsia"/>
          <w:color w:val="000000"/>
          <w:kern w:val="0"/>
          <w:sz w:val="24"/>
          <w:szCs w:val="24"/>
        </w:rPr>
        <w:t>§</w:t>
      </w:r>
      <w:r w:rsidRPr="00EC5CE0">
        <w:rPr>
          <w:rFonts w:ascii="宋体" w:hAnsi="宋体" w:cs="Arial"/>
          <w:color w:val="000000"/>
          <w:kern w:val="0"/>
          <w:sz w:val="24"/>
          <w:szCs w:val="24"/>
        </w:rPr>
        <w:t xml:space="preserve">3  </w:t>
      </w:r>
      <w:r w:rsidRPr="00EC5CE0">
        <w:rPr>
          <w:rFonts w:ascii="宋体" w:hAnsi="宋体" w:cs="Arial" w:hint="eastAsia"/>
          <w:color w:val="000000"/>
          <w:kern w:val="0"/>
          <w:sz w:val="24"/>
          <w:szCs w:val="24"/>
        </w:rPr>
        <w:t>主要财务指标和基金净值表现</w:t>
      </w:r>
    </w:p>
    <w:p w:rsidR="00A62673" w:rsidRPr="00EC5CE0" w:rsidRDefault="00A62673" w:rsidP="005A2DCB">
      <w:pPr>
        <w:autoSpaceDE w:val="0"/>
        <w:autoSpaceDN w:val="0"/>
        <w:adjustRightInd w:val="0"/>
        <w:spacing w:line="360" w:lineRule="auto"/>
        <w:jc w:val="left"/>
        <w:rPr>
          <w:rFonts w:ascii="宋体" w:cs="Arial"/>
          <w:b/>
          <w:color w:val="000000"/>
          <w:kern w:val="0"/>
          <w:sz w:val="24"/>
        </w:rPr>
      </w:pPr>
      <w:r w:rsidRPr="00EC5CE0">
        <w:rPr>
          <w:rFonts w:ascii="宋体" w:hAnsi="宋体" w:cs="Arial"/>
          <w:b/>
          <w:color w:val="000000"/>
          <w:kern w:val="0"/>
          <w:sz w:val="24"/>
        </w:rPr>
        <w:t xml:space="preserve">3.1 </w:t>
      </w:r>
      <w:r w:rsidRPr="00EC5CE0">
        <w:rPr>
          <w:rFonts w:ascii="宋体" w:hAnsi="宋体" w:cs="Arial" w:hint="eastAsia"/>
          <w:b/>
          <w:color w:val="000000"/>
          <w:kern w:val="0"/>
          <w:sz w:val="24"/>
        </w:rPr>
        <w:t>主要财务指标</w:t>
      </w:r>
    </w:p>
    <w:p w:rsidR="005F23CA" w:rsidRPr="00FA472B" w:rsidRDefault="005F23CA" w:rsidP="005F23CA">
      <w:pPr>
        <w:autoSpaceDE w:val="0"/>
        <w:autoSpaceDN w:val="0"/>
        <w:adjustRightInd w:val="0"/>
        <w:spacing w:before="29" w:line="288" w:lineRule="auto"/>
        <w:ind w:left="15" w:right="480"/>
        <w:jc w:val="right"/>
        <w:rPr>
          <w:rFonts w:ascii="宋体" w:hAnsi="宋体" w:cs="Arial"/>
          <w:color w:val="000000"/>
          <w:kern w:val="0"/>
          <w:sz w:val="24"/>
        </w:rPr>
      </w:pPr>
      <w:r w:rsidRPr="00FA472B">
        <w:rPr>
          <w:rFonts w:ascii="宋体" w:hAnsi="宋体" w:cs="Arial" w:hint="eastAsia"/>
          <w:color w:val="000000"/>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5F23CA" w:rsidRPr="00FA472B" w:rsidTr="00320C1E">
        <w:tc>
          <w:tcPr>
            <w:tcW w:w="3402" w:type="dxa"/>
            <w:vMerge w:val="restart"/>
            <w:vAlign w:val="center"/>
          </w:tcPr>
          <w:p w:rsidR="005F23CA" w:rsidRPr="00FA472B" w:rsidRDefault="005F23CA" w:rsidP="00320C1E">
            <w:pPr>
              <w:adjustRightInd w:val="0"/>
              <w:spacing w:before="29" w:line="360" w:lineRule="auto"/>
              <w:ind w:left="17"/>
              <w:jc w:val="center"/>
              <w:rPr>
                <w:kern w:val="0"/>
                <w:sz w:val="24"/>
              </w:rPr>
            </w:pPr>
            <w:r w:rsidRPr="00FA472B">
              <w:rPr>
                <w:kern w:val="0"/>
                <w:sz w:val="24"/>
              </w:rPr>
              <w:t>主要财务指标</w:t>
            </w:r>
          </w:p>
        </w:tc>
        <w:tc>
          <w:tcPr>
            <w:tcW w:w="4962" w:type="dxa"/>
            <w:gridSpan w:val="2"/>
            <w:vAlign w:val="center"/>
          </w:tcPr>
          <w:p w:rsidR="005F23CA" w:rsidRPr="00FA472B" w:rsidRDefault="005F23CA" w:rsidP="00320C1E">
            <w:pPr>
              <w:adjustRightInd w:val="0"/>
              <w:spacing w:before="29" w:line="360" w:lineRule="auto"/>
              <w:ind w:left="17"/>
              <w:jc w:val="center"/>
              <w:rPr>
                <w:color w:val="000000"/>
                <w:sz w:val="24"/>
              </w:rPr>
            </w:pPr>
            <w:r w:rsidRPr="00FA472B">
              <w:rPr>
                <w:color w:val="000000"/>
                <w:sz w:val="24"/>
              </w:rPr>
              <w:t>报告期</w:t>
            </w:r>
          </w:p>
          <w:p w:rsidR="005F23CA" w:rsidRPr="00FA472B" w:rsidRDefault="005F23CA" w:rsidP="00320C1E">
            <w:pPr>
              <w:adjustRightInd w:val="0"/>
              <w:spacing w:before="29" w:line="360" w:lineRule="auto"/>
              <w:ind w:left="17"/>
              <w:jc w:val="center"/>
              <w:rPr>
                <w:color w:val="000000"/>
                <w:sz w:val="24"/>
              </w:rPr>
            </w:pPr>
            <w:r w:rsidRPr="00FA472B">
              <w:rPr>
                <w:color w:val="000000"/>
                <w:sz w:val="24"/>
              </w:rPr>
              <w:t>(2020</w:t>
            </w:r>
            <w:r w:rsidRPr="00FA472B">
              <w:rPr>
                <w:color w:val="000000"/>
                <w:sz w:val="24"/>
              </w:rPr>
              <w:t>年</w:t>
            </w:r>
            <w:r w:rsidRPr="00FA472B">
              <w:rPr>
                <w:color w:val="000000"/>
                <w:sz w:val="24"/>
              </w:rPr>
              <w:t>10</w:t>
            </w:r>
            <w:r w:rsidRPr="00FA472B">
              <w:rPr>
                <w:color w:val="000000"/>
                <w:sz w:val="24"/>
              </w:rPr>
              <w:t>月</w:t>
            </w:r>
            <w:r w:rsidRPr="00FA472B">
              <w:rPr>
                <w:color w:val="000000"/>
                <w:sz w:val="24"/>
              </w:rPr>
              <w:t>1</w:t>
            </w:r>
            <w:r w:rsidRPr="00FA472B">
              <w:rPr>
                <w:color w:val="000000"/>
                <w:sz w:val="24"/>
              </w:rPr>
              <w:t>日</w:t>
            </w:r>
            <w:r w:rsidRPr="00FA472B">
              <w:rPr>
                <w:color w:val="000000"/>
                <w:sz w:val="24"/>
              </w:rPr>
              <w:t>-2020</w:t>
            </w:r>
            <w:r w:rsidRPr="00FA472B">
              <w:rPr>
                <w:color w:val="000000"/>
                <w:sz w:val="24"/>
              </w:rPr>
              <w:t>年</w:t>
            </w:r>
            <w:r w:rsidRPr="00FA472B">
              <w:rPr>
                <w:color w:val="000000"/>
                <w:sz w:val="24"/>
              </w:rPr>
              <w:t>12</w:t>
            </w:r>
            <w:r w:rsidRPr="00FA472B">
              <w:rPr>
                <w:color w:val="000000"/>
                <w:sz w:val="24"/>
              </w:rPr>
              <w:t>月</w:t>
            </w:r>
            <w:r w:rsidRPr="00FA472B">
              <w:rPr>
                <w:color w:val="000000"/>
                <w:sz w:val="24"/>
              </w:rPr>
              <w:t>31</w:t>
            </w:r>
            <w:r w:rsidRPr="00FA472B">
              <w:rPr>
                <w:color w:val="000000"/>
                <w:sz w:val="24"/>
              </w:rPr>
              <w:t>日</w:t>
            </w:r>
            <w:r w:rsidRPr="00FA472B">
              <w:rPr>
                <w:color w:val="000000"/>
                <w:sz w:val="24"/>
              </w:rPr>
              <w:t>)</w:t>
            </w:r>
          </w:p>
        </w:tc>
      </w:tr>
      <w:tr w:rsidR="005F23CA" w:rsidRPr="00FA472B" w:rsidTr="00320C1E">
        <w:tc>
          <w:tcPr>
            <w:tcW w:w="3402" w:type="dxa"/>
            <w:vMerge/>
            <w:vAlign w:val="center"/>
          </w:tcPr>
          <w:p w:rsidR="005F23CA" w:rsidRPr="00FA472B" w:rsidRDefault="005F23CA" w:rsidP="00320C1E">
            <w:pPr>
              <w:adjustRightInd w:val="0"/>
              <w:spacing w:before="29" w:line="360" w:lineRule="auto"/>
              <w:ind w:left="17"/>
              <w:jc w:val="center"/>
              <w:rPr>
                <w:kern w:val="0"/>
                <w:sz w:val="24"/>
              </w:rPr>
            </w:pPr>
          </w:p>
        </w:tc>
        <w:tc>
          <w:tcPr>
            <w:tcW w:w="2481" w:type="dxa"/>
            <w:vAlign w:val="center"/>
          </w:tcPr>
          <w:p w:rsidR="005F23CA" w:rsidRPr="00FA472B" w:rsidRDefault="005F23CA" w:rsidP="00320C1E">
            <w:pPr>
              <w:adjustRightInd w:val="0"/>
              <w:spacing w:before="29" w:line="360" w:lineRule="auto"/>
              <w:ind w:left="17"/>
              <w:jc w:val="center"/>
              <w:rPr>
                <w:color w:val="000000"/>
                <w:sz w:val="24"/>
              </w:rPr>
            </w:pPr>
            <w:r w:rsidRPr="00FA472B">
              <w:rPr>
                <w:sz w:val="24"/>
              </w:rPr>
              <w:t>交银创业板</w:t>
            </w:r>
            <w:r w:rsidRPr="00FA472B">
              <w:rPr>
                <w:sz w:val="24"/>
              </w:rPr>
              <w:t>50</w:t>
            </w:r>
            <w:r w:rsidRPr="00FA472B">
              <w:rPr>
                <w:sz w:val="24"/>
              </w:rPr>
              <w:t>指数</w:t>
            </w:r>
            <w:r w:rsidRPr="00FA472B">
              <w:rPr>
                <w:sz w:val="24"/>
              </w:rPr>
              <w:t>A</w:t>
            </w:r>
          </w:p>
        </w:tc>
        <w:tc>
          <w:tcPr>
            <w:tcW w:w="2481" w:type="dxa"/>
            <w:vAlign w:val="center"/>
          </w:tcPr>
          <w:p w:rsidR="005F23CA" w:rsidRPr="00FA472B" w:rsidRDefault="005F23CA" w:rsidP="00320C1E">
            <w:pPr>
              <w:adjustRightInd w:val="0"/>
              <w:spacing w:before="29" w:line="360" w:lineRule="auto"/>
              <w:ind w:left="17"/>
              <w:jc w:val="center"/>
              <w:rPr>
                <w:color w:val="000000"/>
                <w:sz w:val="24"/>
              </w:rPr>
            </w:pPr>
            <w:r w:rsidRPr="00FA472B">
              <w:rPr>
                <w:sz w:val="24"/>
              </w:rPr>
              <w:t>交银创业板</w:t>
            </w:r>
            <w:r w:rsidRPr="00FA472B">
              <w:rPr>
                <w:sz w:val="24"/>
              </w:rPr>
              <w:t>50</w:t>
            </w:r>
            <w:r w:rsidRPr="00FA472B">
              <w:rPr>
                <w:sz w:val="24"/>
              </w:rPr>
              <w:t>指数</w:t>
            </w:r>
            <w:r w:rsidRPr="00FA472B">
              <w:rPr>
                <w:sz w:val="24"/>
              </w:rPr>
              <w:t>C</w:t>
            </w:r>
          </w:p>
        </w:tc>
      </w:tr>
      <w:tr w:rsidR="005F23CA" w:rsidRPr="00FA472B" w:rsidTr="00320C1E">
        <w:tc>
          <w:tcPr>
            <w:tcW w:w="3402" w:type="dxa"/>
          </w:tcPr>
          <w:p w:rsidR="005F23CA" w:rsidRPr="00FA472B" w:rsidRDefault="005F23CA" w:rsidP="00320C1E">
            <w:pPr>
              <w:adjustRightInd w:val="0"/>
              <w:spacing w:before="29" w:line="360" w:lineRule="auto"/>
              <w:ind w:left="17"/>
              <w:rPr>
                <w:kern w:val="0"/>
                <w:sz w:val="24"/>
              </w:rPr>
            </w:pPr>
            <w:r w:rsidRPr="00FA472B">
              <w:rPr>
                <w:kern w:val="0"/>
                <w:sz w:val="24"/>
              </w:rPr>
              <w:t>1.</w:t>
            </w:r>
            <w:r w:rsidRPr="00FA472B">
              <w:rPr>
                <w:kern w:val="0"/>
                <w:sz w:val="24"/>
              </w:rPr>
              <w:t>本期已实现收益</w:t>
            </w:r>
          </w:p>
        </w:tc>
        <w:tc>
          <w:tcPr>
            <w:tcW w:w="2481" w:type="dxa"/>
            <w:vAlign w:val="bottom"/>
          </w:tcPr>
          <w:p w:rsidR="005F23CA" w:rsidRPr="00FA472B" w:rsidRDefault="005F23CA" w:rsidP="00320C1E">
            <w:pPr>
              <w:adjustRightInd w:val="0"/>
              <w:spacing w:before="29" w:line="360" w:lineRule="auto"/>
              <w:ind w:left="17"/>
              <w:jc w:val="right"/>
              <w:rPr>
                <w:color w:val="000000"/>
                <w:sz w:val="24"/>
              </w:rPr>
            </w:pPr>
            <w:r w:rsidRPr="00FA472B">
              <w:rPr>
                <w:color w:val="000000"/>
                <w:sz w:val="24"/>
              </w:rPr>
              <w:t>67,059,899.54</w:t>
            </w:r>
          </w:p>
        </w:tc>
        <w:tc>
          <w:tcPr>
            <w:tcW w:w="2481" w:type="dxa"/>
            <w:vAlign w:val="bottom"/>
          </w:tcPr>
          <w:p w:rsidR="005F23CA" w:rsidRPr="00FA472B" w:rsidRDefault="005F23CA" w:rsidP="00320C1E">
            <w:pPr>
              <w:adjustRightInd w:val="0"/>
              <w:spacing w:before="29" w:line="360" w:lineRule="auto"/>
              <w:ind w:left="17"/>
              <w:jc w:val="right"/>
              <w:rPr>
                <w:color w:val="000000"/>
                <w:sz w:val="24"/>
              </w:rPr>
            </w:pPr>
            <w:r w:rsidRPr="00FA472B">
              <w:rPr>
                <w:color w:val="000000"/>
                <w:sz w:val="24"/>
              </w:rPr>
              <w:t>32,612,143.87</w:t>
            </w:r>
          </w:p>
        </w:tc>
      </w:tr>
      <w:tr w:rsidR="005F23CA" w:rsidRPr="00FA472B" w:rsidTr="00320C1E">
        <w:tc>
          <w:tcPr>
            <w:tcW w:w="3402" w:type="dxa"/>
          </w:tcPr>
          <w:p w:rsidR="005F23CA" w:rsidRPr="00FA472B" w:rsidRDefault="005F23CA" w:rsidP="00320C1E">
            <w:pPr>
              <w:adjustRightInd w:val="0"/>
              <w:spacing w:before="29" w:line="360" w:lineRule="auto"/>
              <w:ind w:left="17"/>
              <w:rPr>
                <w:kern w:val="0"/>
                <w:sz w:val="24"/>
              </w:rPr>
            </w:pPr>
            <w:r w:rsidRPr="00FA472B">
              <w:rPr>
                <w:kern w:val="0"/>
                <w:sz w:val="24"/>
              </w:rPr>
              <w:t>2.</w:t>
            </w:r>
            <w:r w:rsidRPr="00FA472B">
              <w:rPr>
                <w:kern w:val="0"/>
                <w:sz w:val="24"/>
              </w:rPr>
              <w:t>本期利润</w:t>
            </w:r>
          </w:p>
        </w:tc>
        <w:tc>
          <w:tcPr>
            <w:tcW w:w="2481" w:type="dxa"/>
            <w:vAlign w:val="bottom"/>
          </w:tcPr>
          <w:p w:rsidR="005F23CA" w:rsidRPr="00FA472B" w:rsidRDefault="005F23CA" w:rsidP="00320C1E">
            <w:pPr>
              <w:adjustRightInd w:val="0"/>
              <w:spacing w:before="29" w:line="360" w:lineRule="auto"/>
              <w:ind w:left="17"/>
              <w:jc w:val="right"/>
              <w:rPr>
                <w:color w:val="000000"/>
                <w:sz w:val="24"/>
              </w:rPr>
            </w:pPr>
            <w:r w:rsidRPr="00FA472B">
              <w:rPr>
                <w:color w:val="000000"/>
                <w:sz w:val="24"/>
              </w:rPr>
              <w:t>140,023,272.17</w:t>
            </w:r>
          </w:p>
        </w:tc>
        <w:tc>
          <w:tcPr>
            <w:tcW w:w="2481" w:type="dxa"/>
            <w:vAlign w:val="bottom"/>
          </w:tcPr>
          <w:p w:rsidR="005F23CA" w:rsidRPr="00FA472B" w:rsidRDefault="005F23CA" w:rsidP="00320C1E">
            <w:pPr>
              <w:adjustRightInd w:val="0"/>
              <w:spacing w:before="29" w:line="360" w:lineRule="auto"/>
              <w:ind w:left="17"/>
              <w:jc w:val="right"/>
              <w:rPr>
                <w:color w:val="000000"/>
                <w:sz w:val="24"/>
              </w:rPr>
            </w:pPr>
            <w:r w:rsidRPr="00FA472B">
              <w:rPr>
                <w:color w:val="000000"/>
                <w:sz w:val="24"/>
              </w:rPr>
              <w:t>72,943,082.38</w:t>
            </w:r>
          </w:p>
        </w:tc>
      </w:tr>
      <w:tr w:rsidR="005F23CA" w:rsidRPr="00FA472B" w:rsidTr="00320C1E">
        <w:tc>
          <w:tcPr>
            <w:tcW w:w="3402" w:type="dxa"/>
          </w:tcPr>
          <w:p w:rsidR="005F23CA" w:rsidRPr="00FA472B" w:rsidRDefault="005F23CA" w:rsidP="00320C1E">
            <w:pPr>
              <w:adjustRightInd w:val="0"/>
              <w:spacing w:before="29" w:line="360" w:lineRule="auto"/>
              <w:ind w:left="17"/>
              <w:rPr>
                <w:kern w:val="0"/>
                <w:sz w:val="24"/>
              </w:rPr>
            </w:pPr>
            <w:r w:rsidRPr="00FA472B">
              <w:rPr>
                <w:kern w:val="0"/>
                <w:sz w:val="24"/>
              </w:rPr>
              <w:t>3.</w:t>
            </w:r>
            <w:r w:rsidRPr="00FA472B">
              <w:rPr>
                <w:kern w:val="0"/>
                <w:sz w:val="24"/>
              </w:rPr>
              <w:t>加权平均基金份额本期利润</w:t>
            </w:r>
          </w:p>
        </w:tc>
        <w:tc>
          <w:tcPr>
            <w:tcW w:w="2481" w:type="dxa"/>
            <w:vAlign w:val="bottom"/>
          </w:tcPr>
          <w:p w:rsidR="005F23CA" w:rsidRPr="00FA472B" w:rsidRDefault="005F23CA" w:rsidP="00320C1E">
            <w:pPr>
              <w:adjustRightInd w:val="0"/>
              <w:spacing w:before="29" w:line="360" w:lineRule="auto"/>
              <w:ind w:left="17"/>
              <w:jc w:val="right"/>
              <w:rPr>
                <w:color w:val="000000"/>
                <w:sz w:val="24"/>
              </w:rPr>
            </w:pPr>
            <w:r w:rsidRPr="00FA472B">
              <w:rPr>
                <w:color w:val="000000"/>
                <w:sz w:val="24"/>
              </w:rPr>
              <w:t>0.3193</w:t>
            </w:r>
          </w:p>
        </w:tc>
        <w:tc>
          <w:tcPr>
            <w:tcW w:w="2481" w:type="dxa"/>
            <w:vAlign w:val="bottom"/>
          </w:tcPr>
          <w:p w:rsidR="005F23CA" w:rsidRPr="00FA472B" w:rsidRDefault="005F23CA" w:rsidP="00320C1E">
            <w:pPr>
              <w:adjustRightInd w:val="0"/>
              <w:spacing w:before="29" w:line="360" w:lineRule="auto"/>
              <w:ind w:left="17"/>
              <w:jc w:val="right"/>
              <w:rPr>
                <w:color w:val="000000"/>
                <w:sz w:val="24"/>
              </w:rPr>
            </w:pPr>
            <w:r w:rsidRPr="00FA472B">
              <w:rPr>
                <w:color w:val="000000"/>
                <w:sz w:val="24"/>
              </w:rPr>
              <w:t>0.3242</w:t>
            </w:r>
          </w:p>
        </w:tc>
      </w:tr>
      <w:tr w:rsidR="005F23CA" w:rsidRPr="00FA472B" w:rsidTr="00320C1E">
        <w:tc>
          <w:tcPr>
            <w:tcW w:w="3402" w:type="dxa"/>
          </w:tcPr>
          <w:p w:rsidR="005F23CA" w:rsidRPr="00FA472B" w:rsidRDefault="005F23CA" w:rsidP="00320C1E">
            <w:pPr>
              <w:adjustRightInd w:val="0"/>
              <w:spacing w:before="29" w:line="360" w:lineRule="auto"/>
              <w:ind w:left="17"/>
              <w:rPr>
                <w:kern w:val="0"/>
                <w:sz w:val="24"/>
              </w:rPr>
            </w:pPr>
            <w:r w:rsidRPr="00FA472B">
              <w:rPr>
                <w:kern w:val="0"/>
                <w:sz w:val="24"/>
              </w:rPr>
              <w:t>4.</w:t>
            </w:r>
            <w:r w:rsidRPr="00FA472B">
              <w:rPr>
                <w:kern w:val="0"/>
                <w:sz w:val="24"/>
              </w:rPr>
              <w:t>期末基金资产净值</w:t>
            </w:r>
          </w:p>
        </w:tc>
        <w:tc>
          <w:tcPr>
            <w:tcW w:w="2481" w:type="dxa"/>
          </w:tcPr>
          <w:p w:rsidR="005F23CA" w:rsidRPr="00FA472B" w:rsidRDefault="005F23CA" w:rsidP="00320C1E">
            <w:pPr>
              <w:adjustRightInd w:val="0"/>
              <w:spacing w:before="29" w:line="360" w:lineRule="auto"/>
              <w:ind w:left="17"/>
              <w:jc w:val="right"/>
              <w:rPr>
                <w:color w:val="000000"/>
                <w:sz w:val="24"/>
              </w:rPr>
            </w:pPr>
            <w:r w:rsidRPr="00FA472B">
              <w:rPr>
                <w:color w:val="000000"/>
                <w:sz w:val="24"/>
              </w:rPr>
              <w:t>744,424,273.36</w:t>
            </w:r>
          </w:p>
        </w:tc>
        <w:tc>
          <w:tcPr>
            <w:tcW w:w="2481" w:type="dxa"/>
          </w:tcPr>
          <w:p w:rsidR="005F23CA" w:rsidRPr="00FA472B" w:rsidRDefault="005F23CA" w:rsidP="00320C1E">
            <w:pPr>
              <w:adjustRightInd w:val="0"/>
              <w:spacing w:before="29" w:line="360" w:lineRule="auto"/>
              <w:ind w:left="17"/>
              <w:jc w:val="right"/>
              <w:rPr>
                <w:color w:val="000000"/>
                <w:sz w:val="24"/>
              </w:rPr>
            </w:pPr>
            <w:r w:rsidRPr="00FA472B">
              <w:rPr>
                <w:color w:val="000000"/>
                <w:sz w:val="24"/>
              </w:rPr>
              <w:t>344,511,143.12</w:t>
            </w:r>
          </w:p>
        </w:tc>
      </w:tr>
      <w:tr w:rsidR="005F23CA" w:rsidRPr="00FA472B" w:rsidTr="00320C1E">
        <w:trPr>
          <w:trHeight w:val="158"/>
        </w:trPr>
        <w:tc>
          <w:tcPr>
            <w:tcW w:w="3402" w:type="dxa"/>
          </w:tcPr>
          <w:p w:rsidR="005F23CA" w:rsidRPr="00FA472B" w:rsidRDefault="005F23CA" w:rsidP="00320C1E">
            <w:pPr>
              <w:adjustRightInd w:val="0"/>
              <w:spacing w:before="29" w:line="360" w:lineRule="auto"/>
              <w:ind w:left="17"/>
              <w:rPr>
                <w:kern w:val="0"/>
                <w:sz w:val="24"/>
              </w:rPr>
            </w:pPr>
            <w:r w:rsidRPr="00FA472B">
              <w:rPr>
                <w:kern w:val="0"/>
                <w:sz w:val="24"/>
              </w:rPr>
              <w:lastRenderedPageBreak/>
              <w:t>5.</w:t>
            </w:r>
            <w:r w:rsidRPr="00FA472B">
              <w:rPr>
                <w:kern w:val="0"/>
                <w:sz w:val="24"/>
              </w:rPr>
              <w:t>期末基金份额净值</w:t>
            </w:r>
          </w:p>
        </w:tc>
        <w:tc>
          <w:tcPr>
            <w:tcW w:w="2481" w:type="dxa"/>
          </w:tcPr>
          <w:p w:rsidR="005F23CA" w:rsidRPr="00FA472B" w:rsidRDefault="005F23CA" w:rsidP="00320C1E">
            <w:pPr>
              <w:adjustRightInd w:val="0"/>
              <w:spacing w:before="29" w:line="360" w:lineRule="auto"/>
              <w:ind w:left="17"/>
              <w:jc w:val="right"/>
              <w:rPr>
                <w:color w:val="000000"/>
                <w:sz w:val="24"/>
              </w:rPr>
            </w:pPr>
            <w:r w:rsidRPr="00FA472B">
              <w:rPr>
                <w:color w:val="000000"/>
                <w:sz w:val="24"/>
              </w:rPr>
              <w:t>1.9084</w:t>
            </w:r>
          </w:p>
        </w:tc>
        <w:tc>
          <w:tcPr>
            <w:tcW w:w="2481" w:type="dxa"/>
          </w:tcPr>
          <w:p w:rsidR="005F23CA" w:rsidRPr="00FA472B" w:rsidRDefault="005F23CA" w:rsidP="00320C1E">
            <w:pPr>
              <w:adjustRightInd w:val="0"/>
              <w:spacing w:before="29" w:line="360" w:lineRule="auto"/>
              <w:ind w:left="17"/>
              <w:jc w:val="right"/>
              <w:rPr>
                <w:color w:val="000000"/>
                <w:sz w:val="24"/>
              </w:rPr>
            </w:pPr>
            <w:r w:rsidRPr="00FA472B">
              <w:rPr>
                <w:color w:val="000000"/>
                <w:sz w:val="24"/>
              </w:rPr>
              <w:t>1.9001</w:t>
            </w:r>
          </w:p>
        </w:tc>
      </w:tr>
    </w:tbl>
    <w:p w:rsidR="00AE51F5" w:rsidRDefault="009A78F6">
      <w:pPr>
        <w:spacing w:line="360" w:lineRule="auto"/>
        <w:ind w:firstLineChars="200" w:firstLine="480"/>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A62673" w:rsidRPr="00C1648E" w:rsidRDefault="005F23CA" w:rsidP="00C1648E">
      <w:pPr>
        <w:spacing w:line="360" w:lineRule="auto"/>
        <w:ind w:firstLineChars="200" w:firstLine="480"/>
        <w:rPr>
          <w:color w:val="000000"/>
          <w:sz w:val="24"/>
        </w:rPr>
      </w:pPr>
      <w:r w:rsidRPr="00C30CFF">
        <w:rPr>
          <w:color w:val="000000"/>
          <w:sz w:val="24"/>
        </w:rPr>
        <w:t>2</w:t>
      </w:r>
      <w:r w:rsidRPr="00C30CFF">
        <w:rPr>
          <w:color w:val="000000"/>
          <w:sz w:val="24"/>
        </w:rPr>
        <w:t>、本期已实现收益指基金本期利息收入、投资收益、其他收入（不含公允价值变动收益）扣除相关费用后的余额，本期利润为本期已实现收益加上本期公允价值变动收益</w:t>
      </w:r>
    </w:p>
    <w:p w:rsidR="00A62673" w:rsidRPr="00EC5CE0" w:rsidRDefault="00A62673" w:rsidP="005A2DCB">
      <w:pPr>
        <w:autoSpaceDE w:val="0"/>
        <w:autoSpaceDN w:val="0"/>
        <w:adjustRightInd w:val="0"/>
        <w:spacing w:line="360" w:lineRule="auto"/>
        <w:jc w:val="left"/>
        <w:rPr>
          <w:rFonts w:ascii="宋体" w:cs="Arial"/>
          <w:b/>
          <w:color w:val="000000"/>
          <w:kern w:val="0"/>
          <w:sz w:val="24"/>
        </w:rPr>
      </w:pPr>
      <w:r w:rsidRPr="00EC5CE0">
        <w:rPr>
          <w:rFonts w:ascii="宋体" w:hAnsi="宋体" w:cs="Arial"/>
          <w:b/>
          <w:color w:val="000000"/>
          <w:kern w:val="0"/>
          <w:sz w:val="24"/>
        </w:rPr>
        <w:t xml:space="preserve">3.2 </w:t>
      </w:r>
      <w:r w:rsidRPr="00EC5CE0">
        <w:rPr>
          <w:rFonts w:ascii="宋体" w:hAnsi="宋体" w:cs="Arial" w:hint="eastAsia"/>
          <w:b/>
          <w:color w:val="000000"/>
          <w:kern w:val="0"/>
          <w:sz w:val="24"/>
        </w:rPr>
        <w:t>基金净值表现</w:t>
      </w:r>
    </w:p>
    <w:p w:rsidR="009B2EE9" w:rsidRPr="0078105B" w:rsidRDefault="009B2EE9" w:rsidP="009B2EE9">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3.2.1</w:t>
      </w:r>
      <w:r w:rsidRPr="0078105B">
        <w:rPr>
          <w:rFonts w:ascii="宋体" w:hAnsi="宋体" w:cs="Arial" w:hint="eastAsia"/>
          <w:b/>
          <w:color w:val="000000"/>
          <w:kern w:val="0"/>
          <w:sz w:val="24"/>
        </w:rPr>
        <w:t>本报告期基金份额净值增长率及其与同期业绩比较基准收益率的比较</w:t>
      </w:r>
    </w:p>
    <w:p w:rsidR="009B2EE9" w:rsidRPr="0078105B" w:rsidRDefault="009B2EE9" w:rsidP="009B2EE9">
      <w:pPr>
        <w:spacing w:line="360" w:lineRule="auto"/>
        <w:ind w:firstLineChars="150" w:firstLine="361"/>
        <w:rPr>
          <w:rFonts w:ascii="宋体"/>
          <w:b/>
          <w:sz w:val="24"/>
        </w:rPr>
      </w:pPr>
      <w:r w:rsidRPr="0078105B">
        <w:rPr>
          <w:rFonts w:ascii="宋体" w:hAnsi="宋体" w:cs="Arial"/>
          <w:b/>
          <w:color w:val="000000"/>
          <w:kern w:val="0"/>
          <w:sz w:val="24"/>
        </w:rPr>
        <w:t>交银创业板50指数A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0"/>
        <w:gridCol w:w="1291"/>
        <w:gridCol w:w="1291"/>
        <w:gridCol w:w="1291"/>
        <w:gridCol w:w="1291"/>
        <w:gridCol w:w="1291"/>
        <w:gridCol w:w="1291"/>
      </w:tblGrid>
      <w:tr w:rsidR="009B2EE9" w:rsidRPr="0078105B" w:rsidTr="00AE7FCD">
        <w:trPr>
          <w:jc w:val="center"/>
        </w:trPr>
        <w:tc>
          <w:tcPr>
            <w:tcW w:w="1290" w:type="dxa"/>
            <w:vAlign w:val="center"/>
          </w:tcPr>
          <w:p w:rsidR="009B2EE9" w:rsidRPr="00FA472B" w:rsidRDefault="009B2EE9" w:rsidP="00320C1E">
            <w:pPr>
              <w:snapToGrid w:val="0"/>
              <w:spacing w:line="288" w:lineRule="auto"/>
              <w:jc w:val="center"/>
              <w:rPr>
                <w:color w:val="000000"/>
                <w:sz w:val="24"/>
              </w:rPr>
            </w:pPr>
            <w:r w:rsidRPr="00FA472B">
              <w:rPr>
                <w:color w:val="000000"/>
                <w:sz w:val="24"/>
              </w:rPr>
              <w:t>阶段</w:t>
            </w:r>
          </w:p>
        </w:tc>
        <w:tc>
          <w:tcPr>
            <w:tcW w:w="1291" w:type="dxa"/>
            <w:vAlign w:val="center"/>
          </w:tcPr>
          <w:p w:rsidR="009B2EE9" w:rsidRPr="00FA472B" w:rsidRDefault="009B2EE9" w:rsidP="00320C1E">
            <w:pPr>
              <w:snapToGrid w:val="0"/>
              <w:spacing w:line="288" w:lineRule="auto"/>
              <w:jc w:val="center"/>
              <w:rPr>
                <w:color w:val="000000"/>
                <w:sz w:val="24"/>
              </w:rPr>
            </w:pPr>
            <w:r w:rsidRPr="00FA472B">
              <w:rPr>
                <w:color w:val="000000"/>
                <w:sz w:val="24"/>
              </w:rPr>
              <w:t>净值增长率</w:t>
            </w:r>
            <w:r w:rsidRPr="00414367">
              <w:rPr>
                <w:rFonts w:ascii="宋体" w:hAnsi="宋体" w:cs="宋体" w:hint="eastAsia"/>
                <w:color w:val="000000"/>
                <w:sz w:val="24"/>
              </w:rPr>
              <w:t>①</w:t>
            </w:r>
          </w:p>
        </w:tc>
        <w:tc>
          <w:tcPr>
            <w:tcW w:w="1291" w:type="dxa"/>
            <w:vAlign w:val="center"/>
          </w:tcPr>
          <w:p w:rsidR="009B2EE9" w:rsidRPr="00FA472B" w:rsidRDefault="009B2EE9" w:rsidP="00320C1E">
            <w:pPr>
              <w:snapToGrid w:val="0"/>
              <w:spacing w:line="288" w:lineRule="auto"/>
              <w:jc w:val="center"/>
              <w:rPr>
                <w:color w:val="000000"/>
                <w:sz w:val="24"/>
              </w:rPr>
            </w:pPr>
            <w:r w:rsidRPr="00FA472B">
              <w:rPr>
                <w:color w:val="000000"/>
                <w:sz w:val="24"/>
              </w:rPr>
              <w:t>净值增长率标准差</w:t>
            </w:r>
            <w:r w:rsidRPr="00414367">
              <w:rPr>
                <w:rFonts w:ascii="宋体" w:hAnsi="宋体" w:cs="宋体" w:hint="eastAsia"/>
                <w:color w:val="000000"/>
                <w:sz w:val="24"/>
              </w:rPr>
              <w:t>②</w:t>
            </w:r>
          </w:p>
        </w:tc>
        <w:tc>
          <w:tcPr>
            <w:tcW w:w="1291" w:type="dxa"/>
            <w:vAlign w:val="center"/>
          </w:tcPr>
          <w:p w:rsidR="009B2EE9" w:rsidRPr="00FA472B" w:rsidRDefault="009B2EE9" w:rsidP="00320C1E">
            <w:pPr>
              <w:snapToGrid w:val="0"/>
              <w:spacing w:line="288" w:lineRule="auto"/>
              <w:jc w:val="center"/>
              <w:rPr>
                <w:color w:val="000000"/>
                <w:sz w:val="24"/>
              </w:rPr>
            </w:pPr>
            <w:r w:rsidRPr="00FA472B">
              <w:rPr>
                <w:color w:val="000000"/>
                <w:sz w:val="24"/>
              </w:rPr>
              <w:t>业绩比较基准收益率</w:t>
            </w:r>
            <w:r w:rsidRPr="00414367">
              <w:rPr>
                <w:rFonts w:ascii="宋体" w:hAnsi="宋体" w:cs="宋体" w:hint="eastAsia"/>
                <w:color w:val="000000"/>
                <w:sz w:val="24"/>
              </w:rPr>
              <w:t>③</w:t>
            </w:r>
          </w:p>
        </w:tc>
        <w:tc>
          <w:tcPr>
            <w:tcW w:w="1291" w:type="dxa"/>
            <w:vAlign w:val="center"/>
          </w:tcPr>
          <w:p w:rsidR="009B2EE9" w:rsidRPr="00FA472B" w:rsidRDefault="009B2EE9" w:rsidP="00320C1E">
            <w:pPr>
              <w:snapToGrid w:val="0"/>
              <w:spacing w:line="288" w:lineRule="auto"/>
              <w:jc w:val="center"/>
              <w:rPr>
                <w:color w:val="000000"/>
                <w:sz w:val="24"/>
              </w:rPr>
            </w:pPr>
            <w:r w:rsidRPr="00FA472B">
              <w:rPr>
                <w:color w:val="000000"/>
                <w:sz w:val="24"/>
              </w:rPr>
              <w:t>业绩比较基准收益率标准差</w:t>
            </w:r>
            <w:r w:rsidRPr="00414367">
              <w:rPr>
                <w:rFonts w:ascii="宋体" w:hAnsi="宋体" w:cs="宋体" w:hint="eastAsia"/>
                <w:color w:val="000000"/>
                <w:sz w:val="24"/>
              </w:rPr>
              <w:t>④</w:t>
            </w:r>
          </w:p>
        </w:tc>
        <w:tc>
          <w:tcPr>
            <w:tcW w:w="1291" w:type="dxa"/>
            <w:vAlign w:val="center"/>
          </w:tcPr>
          <w:p w:rsidR="009B2EE9" w:rsidRPr="00FA472B" w:rsidRDefault="009B2EE9" w:rsidP="00320C1E">
            <w:pPr>
              <w:snapToGrid w:val="0"/>
              <w:spacing w:line="288" w:lineRule="auto"/>
              <w:jc w:val="center"/>
              <w:rPr>
                <w:color w:val="000000"/>
                <w:sz w:val="24"/>
              </w:rPr>
            </w:pPr>
            <w:r w:rsidRPr="00414367">
              <w:rPr>
                <w:rFonts w:ascii="宋体" w:hAnsi="宋体" w:cs="宋体" w:hint="eastAsia"/>
                <w:color w:val="000000"/>
                <w:sz w:val="24"/>
              </w:rPr>
              <w:t>①</w:t>
            </w:r>
            <w:r w:rsidRPr="00FA472B">
              <w:rPr>
                <w:color w:val="000000"/>
                <w:sz w:val="24"/>
              </w:rPr>
              <w:t>－</w:t>
            </w:r>
            <w:r w:rsidRPr="00414367">
              <w:rPr>
                <w:rFonts w:ascii="宋体" w:hAnsi="宋体" w:cs="宋体" w:hint="eastAsia"/>
                <w:color w:val="000000"/>
                <w:sz w:val="24"/>
              </w:rPr>
              <w:t>③</w:t>
            </w:r>
          </w:p>
        </w:tc>
        <w:tc>
          <w:tcPr>
            <w:tcW w:w="1291" w:type="dxa"/>
            <w:vAlign w:val="center"/>
          </w:tcPr>
          <w:p w:rsidR="009B2EE9" w:rsidRPr="00FA472B" w:rsidRDefault="009B2EE9" w:rsidP="00320C1E">
            <w:pPr>
              <w:snapToGrid w:val="0"/>
              <w:spacing w:line="288" w:lineRule="auto"/>
              <w:jc w:val="center"/>
              <w:rPr>
                <w:color w:val="000000"/>
                <w:sz w:val="24"/>
              </w:rPr>
            </w:pPr>
            <w:r w:rsidRPr="00414367">
              <w:rPr>
                <w:rFonts w:ascii="宋体" w:hAnsi="宋体" w:cs="宋体" w:hint="eastAsia"/>
                <w:color w:val="000000"/>
                <w:sz w:val="24"/>
              </w:rPr>
              <w:t>②</w:t>
            </w:r>
            <w:r w:rsidRPr="00FA472B">
              <w:rPr>
                <w:color w:val="000000"/>
                <w:sz w:val="24"/>
              </w:rPr>
              <w:t>－</w:t>
            </w:r>
            <w:r w:rsidRPr="00414367">
              <w:rPr>
                <w:rFonts w:ascii="宋体" w:hAnsi="宋体" w:cs="宋体" w:hint="eastAsia"/>
                <w:color w:val="000000"/>
                <w:sz w:val="24"/>
              </w:rPr>
              <w:t>④</w:t>
            </w:r>
          </w:p>
        </w:tc>
      </w:tr>
      <w:tr w:rsidR="00AE51F5">
        <w:trPr>
          <w:jc w:val="center"/>
        </w:trPr>
        <w:tc>
          <w:tcPr>
            <w:tcW w:w="1290" w:type="dxa"/>
            <w:vAlign w:val="center"/>
          </w:tcPr>
          <w:p w:rsidR="00AE51F5" w:rsidRDefault="009A78F6">
            <w:pPr>
              <w:jc w:val="left"/>
            </w:pPr>
            <w:r>
              <w:rPr>
                <w:color w:val="000000"/>
                <w:sz w:val="24"/>
              </w:rPr>
              <w:t>过去三个月</w:t>
            </w:r>
          </w:p>
        </w:tc>
        <w:tc>
          <w:tcPr>
            <w:tcW w:w="1291" w:type="dxa"/>
            <w:vAlign w:val="center"/>
          </w:tcPr>
          <w:p w:rsidR="00AE51F5" w:rsidRDefault="009A78F6">
            <w:pPr>
              <w:jc w:val="center"/>
            </w:pPr>
            <w:r>
              <w:rPr>
                <w:color w:val="000000"/>
                <w:sz w:val="24"/>
              </w:rPr>
              <w:t>19.84%</w:t>
            </w:r>
          </w:p>
        </w:tc>
        <w:tc>
          <w:tcPr>
            <w:tcW w:w="1291" w:type="dxa"/>
            <w:vAlign w:val="center"/>
          </w:tcPr>
          <w:p w:rsidR="00AE51F5" w:rsidRDefault="009A78F6">
            <w:pPr>
              <w:jc w:val="center"/>
            </w:pPr>
            <w:r>
              <w:rPr>
                <w:color w:val="000000"/>
                <w:sz w:val="24"/>
              </w:rPr>
              <w:t>1.66%</w:t>
            </w:r>
          </w:p>
        </w:tc>
        <w:tc>
          <w:tcPr>
            <w:tcW w:w="1291" w:type="dxa"/>
            <w:vAlign w:val="center"/>
          </w:tcPr>
          <w:p w:rsidR="00AE51F5" w:rsidRDefault="009A78F6">
            <w:pPr>
              <w:jc w:val="center"/>
            </w:pPr>
            <w:r>
              <w:rPr>
                <w:color w:val="000000"/>
                <w:sz w:val="24"/>
              </w:rPr>
              <w:t>19.45%</w:t>
            </w:r>
          </w:p>
        </w:tc>
        <w:tc>
          <w:tcPr>
            <w:tcW w:w="1291" w:type="dxa"/>
            <w:vAlign w:val="center"/>
          </w:tcPr>
          <w:p w:rsidR="00AE51F5" w:rsidRDefault="009A78F6">
            <w:pPr>
              <w:jc w:val="center"/>
            </w:pPr>
            <w:r>
              <w:rPr>
                <w:color w:val="000000"/>
                <w:sz w:val="24"/>
              </w:rPr>
              <w:t>1.69%</w:t>
            </w:r>
          </w:p>
        </w:tc>
        <w:tc>
          <w:tcPr>
            <w:tcW w:w="1291" w:type="dxa"/>
            <w:vAlign w:val="center"/>
          </w:tcPr>
          <w:p w:rsidR="00AE51F5" w:rsidRDefault="009A78F6">
            <w:pPr>
              <w:jc w:val="center"/>
            </w:pPr>
            <w:r>
              <w:rPr>
                <w:color w:val="000000"/>
                <w:sz w:val="24"/>
              </w:rPr>
              <w:t>0.39%</w:t>
            </w:r>
          </w:p>
        </w:tc>
        <w:tc>
          <w:tcPr>
            <w:tcW w:w="1291" w:type="dxa"/>
            <w:vAlign w:val="center"/>
          </w:tcPr>
          <w:p w:rsidR="00AE51F5" w:rsidRDefault="009A78F6">
            <w:pPr>
              <w:jc w:val="center"/>
            </w:pPr>
            <w:r>
              <w:rPr>
                <w:color w:val="000000"/>
                <w:sz w:val="24"/>
              </w:rPr>
              <w:t>-0.03%</w:t>
            </w:r>
          </w:p>
        </w:tc>
      </w:tr>
      <w:tr w:rsidR="00AE51F5">
        <w:trPr>
          <w:jc w:val="center"/>
        </w:trPr>
        <w:tc>
          <w:tcPr>
            <w:tcW w:w="1290" w:type="dxa"/>
            <w:vAlign w:val="center"/>
          </w:tcPr>
          <w:p w:rsidR="00AE51F5" w:rsidRDefault="009A78F6">
            <w:pPr>
              <w:jc w:val="left"/>
            </w:pPr>
            <w:r>
              <w:rPr>
                <w:color w:val="000000"/>
                <w:sz w:val="24"/>
              </w:rPr>
              <w:t>过去六个月</w:t>
            </w:r>
          </w:p>
        </w:tc>
        <w:tc>
          <w:tcPr>
            <w:tcW w:w="1291" w:type="dxa"/>
            <w:vAlign w:val="center"/>
          </w:tcPr>
          <w:p w:rsidR="00AE51F5" w:rsidRDefault="009A78F6">
            <w:pPr>
              <w:jc w:val="center"/>
            </w:pPr>
            <w:r>
              <w:rPr>
                <w:color w:val="000000"/>
                <w:sz w:val="24"/>
              </w:rPr>
              <w:t>31.22%</w:t>
            </w:r>
          </w:p>
        </w:tc>
        <w:tc>
          <w:tcPr>
            <w:tcW w:w="1291" w:type="dxa"/>
            <w:vAlign w:val="center"/>
          </w:tcPr>
          <w:p w:rsidR="00AE51F5" w:rsidRDefault="009A78F6">
            <w:pPr>
              <w:jc w:val="center"/>
            </w:pPr>
            <w:r>
              <w:rPr>
                <w:color w:val="000000"/>
                <w:sz w:val="24"/>
              </w:rPr>
              <w:t>1.89%</w:t>
            </w:r>
          </w:p>
        </w:tc>
        <w:tc>
          <w:tcPr>
            <w:tcW w:w="1291" w:type="dxa"/>
            <w:vAlign w:val="center"/>
          </w:tcPr>
          <w:p w:rsidR="00AE51F5" w:rsidRDefault="009A78F6">
            <w:pPr>
              <w:jc w:val="center"/>
            </w:pPr>
            <w:r>
              <w:rPr>
                <w:color w:val="000000"/>
                <w:sz w:val="24"/>
              </w:rPr>
              <w:t>30.67%</w:t>
            </w:r>
          </w:p>
        </w:tc>
        <w:tc>
          <w:tcPr>
            <w:tcW w:w="1291" w:type="dxa"/>
            <w:vAlign w:val="center"/>
          </w:tcPr>
          <w:p w:rsidR="00AE51F5" w:rsidRDefault="009A78F6">
            <w:pPr>
              <w:jc w:val="center"/>
            </w:pPr>
            <w:r>
              <w:rPr>
                <w:color w:val="000000"/>
                <w:sz w:val="24"/>
              </w:rPr>
              <w:t>1.93%</w:t>
            </w:r>
          </w:p>
        </w:tc>
        <w:tc>
          <w:tcPr>
            <w:tcW w:w="1291" w:type="dxa"/>
            <w:vAlign w:val="center"/>
          </w:tcPr>
          <w:p w:rsidR="00AE51F5" w:rsidRDefault="009A78F6">
            <w:pPr>
              <w:jc w:val="center"/>
            </w:pPr>
            <w:r>
              <w:rPr>
                <w:color w:val="000000"/>
                <w:sz w:val="24"/>
              </w:rPr>
              <w:t>0.55%</w:t>
            </w:r>
          </w:p>
        </w:tc>
        <w:tc>
          <w:tcPr>
            <w:tcW w:w="1291" w:type="dxa"/>
            <w:vAlign w:val="center"/>
          </w:tcPr>
          <w:p w:rsidR="00AE51F5" w:rsidRDefault="009A78F6">
            <w:pPr>
              <w:jc w:val="center"/>
            </w:pPr>
            <w:r>
              <w:rPr>
                <w:color w:val="000000"/>
                <w:sz w:val="24"/>
              </w:rPr>
              <w:t>-0.04%</w:t>
            </w:r>
          </w:p>
        </w:tc>
      </w:tr>
      <w:tr w:rsidR="00AE51F5">
        <w:trPr>
          <w:jc w:val="center"/>
        </w:trPr>
        <w:tc>
          <w:tcPr>
            <w:tcW w:w="1290" w:type="dxa"/>
            <w:vAlign w:val="center"/>
          </w:tcPr>
          <w:p w:rsidR="00AE51F5" w:rsidRDefault="009A78F6">
            <w:pPr>
              <w:jc w:val="left"/>
            </w:pPr>
            <w:r>
              <w:rPr>
                <w:color w:val="000000"/>
                <w:sz w:val="24"/>
              </w:rPr>
              <w:t>过去一年</w:t>
            </w:r>
          </w:p>
        </w:tc>
        <w:tc>
          <w:tcPr>
            <w:tcW w:w="1291" w:type="dxa"/>
            <w:vAlign w:val="center"/>
          </w:tcPr>
          <w:p w:rsidR="00AE51F5" w:rsidRDefault="009A78F6">
            <w:pPr>
              <w:jc w:val="center"/>
            </w:pPr>
            <w:r>
              <w:rPr>
                <w:color w:val="000000"/>
                <w:sz w:val="24"/>
              </w:rPr>
              <w:t>85.71%</w:t>
            </w:r>
          </w:p>
        </w:tc>
        <w:tc>
          <w:tcPr>
            <w:tcW w:w="1291" w:type="dxa"/>
            <w:vAlign w:val="center"/>
          </w:tcPr>
          <w:p w:rsidR="00AE51F5" w:rsidRDefault="009A78F6">
            <w:pPr>
              <w:jc w:val="center"/>
            </w:pPr>
            <w:r>
              <w:rPr>
                <w:color w:val="000000"/>
                <w:sz w:val="24"/>
              </w:rPr>
              <w:t>1.98%</w:t>
            </w:r>
          </w:p>
        </w:tc>
        <w:tc>
          <w:tcPr>
            <w:tcW w:w="1291" w:type="dxa"/>
            <w:vAlign w:val="center"/>
          </w:tcPr>
          <w:p w:rsidR="00AE51F5" w:rsidRDefault="009A78F6">
            <w:pPr>
              <w:jc w:val="center"/>
            </w:pPr>
            <w:r>
              <w:rPr>
                <w:color w:val="000000"/>
                <w:sz w:val="24"/>
              </w:rPr>
              <w:t>83.34%</w:t>
            </w:r>
          </w:p>
        </w:tc>
        <w:tc>
          <w:tcPr>
            <w:tcW w:w="1291" w:type="dxa"/>
            <w:vAlign w:val="center"/>
          </w:tcPr>
          <w:p w:rsidR="00AE51F5" w:rsidRDefault="009A78F6">
            <w:pPr>
              <w:jc w:val="center"/>
            </w:pPr>
            <w:r>
              <w:rPr>
                <w:color w:val="000000"/>
                <w:sz w:val="24"/>
              </w:rPr>
              <w:t>1.99%</w:t>
            </w:r>
          </w:p>
        </w:tc>
        <w:tc>
          <w:tcPr>
            <w:tcW w:w="1291" w:type="dxa"/>
            <w:vAlign w:val="center"/>
          </w:tcPr>
          <w:p w:rsidR="00AE51F5" w:rsidRDefault="009A78F6">
            <w:pPr>
              <w:jc w:val="center"/>
            </w:pPr>
            <w:r>
              <w:rPr>
                <w:color w:val="000000"/>
                <w:sz w:val="24"/>
              </w:rPr>
              <w:t>2.37%</w:t>
            </w:r>
          </w:p>
        </w:tc>
        <w:tc>
          <w:tcPr>
            <w:tcW w:w="1291" w:type="dxa"/>
            <w:vAlign w:val="center"/>
          </w:tcPr>
          <w:p w:rsidR="00AE51F5" w:rsidRDefault="009A78F6">
            <w:pPr>
              <w:jc w:val="center"/>
            </w:pPr>
            <w:r>
              <w:rPr>
                <w:color w:val="000000"/>
                <w:sz w:val="24"/>
              </w:rPr>
              <w:t>-0.01%</w:t>
            </w:r>
          </w:p>
        </w:tc>
      </w:tr>
      <w:tr w:rsidR="00AE51F5">
        <w:trPr>
          <w:jc w:val="center"/>
        </w:trPr>
        <w:tc>
          <w:tcPr>
            <w:tcW w:w="1290" w:type="dxa"/>
            <w:vAlign w:val="center"/>
          </w:tcPr>
          <w:p w:rsidR="00AE51F5" w:rsidRDefault="009A78F6">
            <w:pPr>
              <w:jc w:val="left"/>
            </w:pPr>
            <w:r>
              <w:rPr>
                <w:color w:val="000000"/>
                <w:sz w:val="24"/>
              </w:rPr>
              <w:t>自基金合同生效至今</w:t>
            </w:r>
          </w:p>
        </w:tc>
        <w:tc>
          <w:tcPr>
            <w:tcW w:w="1291" w:type="dxa"/>
            <w:vAlign w:val="center"/>
          </w:tcPr>
          <w:p w:rsidR="00AE51F5" w:rsidRDefault="009A78F6">
            <w:pPr>
              <w:jc w:val="center"/>
            </w:pPr>
            <w:r>
              <w:rPr>
                <w:color w:val="000000"/>
                <w:sz w:val="24"/>
              </w:rPr>
              <w:t>90.84%</w:t>
            </w:r>
          </w:p>
        </w:tc>
        <w:tc>
          <w:tcPr>
            <w:tcW w:w="1291" w:type="dxa"/>
            <w:vAlign w:val="center"/>
          </w:tcPr>
          <w:p w:rsidR="00AE51F5" w:rsidRDefault="009A78F6">
            <w:pPr>
              <w:jc w:val="center"/>
            </w:pPr>
            <w:r>
              <w:rPr>
                <w:color w:val="000000"/>
                <w:sz w:val="24"/>
              </w:rPr>
              <w:t>1.87%</w:t>
            </w:r>
          </w:p>
        </w:tc>
        <w:tc>
          <w:tcPr>
            <w:tcW w:w="1291" w:type="dxa"/>
            <w:vAlign w:val="center"/>
          </w:tcPr>
          <w:p w:rsidR="00AE51F5" w:rsidRDefault="009A78F6">
            <w:pPr>
              <w:jc w:val="center"/>
            </w:pPr>
            <w:r>
              <w:rPr>
                <w:color w:val="000000"/>
                <w:sz w:val="24"/>
              </w:rPr>
              <w:t>94.59%</w:t>
            </w:r>
          </w:p>
        </w:tc>
        <w:tc>
          <w:tcPr>
            <w:tcW w:w="1291" w:type="dxa"/>
            <w:vAlign w:val="center"/>
          </w:tcPr>
          <w:p w:rsidR="00AE51F5" w:rsidRDefault="009A78F6">
            <w:pPr>
              <w:jc w:val="center"/>
            </w:pPr>
            <w:r>
              <w:rPr>
                <w:color w:val="000000"/>
                <w:sz w:val="24"/>
              </w:rPr>
              <w:t>1.91%</w:t>
            </w:r>
          </w:p>
        </w:tc>
        <w:tc>
          <w:tcPr>
            <w:tcW w:w="1291" w:type="dxa"/>
            <w:vAlign w:val="center"/>
          </w:tcPr>
          <w:p w:rsidR="00AE51F5" w:rsidRDefault="009A78F6">
            <w:pPr>
              <w:jc w:val="center"/>
            </w:pPr>
            <w:r>
              <w:rPr>
                <w:color w:val="000000"/>
                <w:sz w:val="24"/>
              </w:rPr>
              <w:t>-3.75%</w:t>
            </w:r>
          </w:p>
        </w:tc>
        <w:tc>
          <w:tcPr>
            <w:tcW w:w="1291" w:type="dxa"/>
            <w:vAlign w:val="center"/>
          </w:tcPr>
          <w:p w:rsidR="00AE51F5" w:rsidRDefault="009A78F6">
            <w:pPr>
              <w:jc w:val="center"/>
            </w:pPr>
            <w:r>
              <w:rPr>
                <w:color w:val="000000"/>
                <w:sz w:val="24"/>
              </w:rPr>
              <w:t>-0.04%</w:t>
            </w:r>
          </w:p>
        </w:tc>
      </w:tr>
    </w:tbl>
    <w:p w:rsidR="009B2EE9" w:rsidRPr="0078105B" w:rsidRDefault="009B2EE9" w:rsidP="009B2EE9">
      <w:pPr>
        <w:adjustRightInd w:val="0"/>
        <w:spacing w:line="360" w:lineRule="auto"/>
        <w:ind w:firstLineChars="150" w:firstLine="361"/>
        <w:rPr>
          <w:rFonts w:ascii="宋体" w:cs="Arial"/>
          <w:b/>
          <w:color w:val="000000"/>
          <w:kern w:val="0"/>
          <w:sz w:val="24"/>
        </w:rPr>
      </w:pPr>
      <w:r w:rsidRPr="0078105B">
        <w:rPr>
          <w:rFonts w:ascii="宋体" w:hAnsi="宋体" w:cs="Arial"/>
          <w:b/>
          <w:color w:val="000000"/>
          <w:kern w:val="0"/>
          <w:sz w:val="24"/>
        </w:rPr>
        <w:t>交银创业板50指数C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0"/>
        <w:gridCol w:w="1291"/>
        <w:gridCol w:w="1291"/>
        <w:gridCol w:w="1291"/>
        <w:gridCol w:w="1291"/>
        <w:gridCol w:w="1291"/>
        <w:gridCol w:w="1291"/>
      </w:tblGrid>
      <w:tr w:rsidR="009B2EE9" w:rsidRPr="0078105B" w:rsidTr="00AE7FCD">
        <w:trPr>
          <w:jc w:val="center"/>
        </w:trPr>
        <w:tc>
          <w:tcPr>
            <w:tcW w:w="1290" w:type="dxa"/>
            <w:vAlign w:val="center"/>
          </w:tcPr>
          <w:p w:rsidR="009B2EE9" w:rsidRPr="00FA472B" w:rsidRDefault="009B2EE9" w:rsidP="00320C1E">
            <w:pPr>
              <w:snapToGrid w:val="0"/>
              <w:spacing w:line="288" w:lineRule="auto"/>
              <w:jc w:val="center"/>
              <w:rPr>
                <w:color w:val="000000"/>
                <w:sz w:val="24"/>
              </w:rPr>
            </w:pPr>
            <w:r w:rsidRPr="00FA472B">
              <w:rPr>
                <w:color w:val="000000"/>
                <w:sz w:val="24"/>
              </w:rPr>
              <w:t>阶段</w:t>
            </w:r>
          </w:p>
        </w:tc>
        <w:tc>
          <w:tcPr>
            <w:tcW w:w="1291" w:type="dxa"/>
            <w:vAlign w:val="center"/>
          </w:tcPr>
          <w:p w:rsidR="009B2EE9" w:rsidRPr="00FA472B" w:rsidRDefault="009B2EE9" w:rsidP="00320C1E">
            <w:pPr>
              <w:snapToGrid w:val="0"/>
              <w:spacing w:line="288" w:lineRule="auto"/>
              <w:jc w:val="center"/>
              <w:rPr>
                <w:color w:val="000000"/>
                <w:sz w:val="24"/>
                <w:highlight w:val="green"/>
              </w:rPr>
            </w:pPr>
            <w:r w:rsidRPr="00FA472B">
              <w:rPr>
                <w:color w:val="000000"/>
                <w:sz w:val="24"/>
              </w:rPr>
              <w:t>净值增长率</w:t>
            </w:r>
            <w:r w:rsidRPr="00414367">
              <w:rPr>
                <w:rFonts w:ascii="宋体" w:hAnsi="宋体" w:cs="宋体" w:hint="eastAsia"/>
                <w:color w:val="000000"/>
                <w:sz w:val="24"/>
              </w:rPr>
              <w:t>①</w:t>
            </w:r>
          </w:p>
        </w:tc>
        <w:tc>
          <w:tcPr>
            <w:tcW w:w="1291" w:type="dxa"/>
            <w:vAlign w:val="center"/>
          </w:tcPr>
          <w:p w:rsidR="009B2EE9" w:rsidRPr="00FA472B" w:rsidRDefault="009B2EE9" w:rsidP="00320C1E">
            <w:pPr>
              <w:snapToGrid w:val="0"/>
              <w:spacing w:line="288" w:lineRule="auto"/>
              <w:jc w:val="center"/>
              <w:rPr>
                <w:color w:val="000000"/>
                <w:sz w:val="24"/>
                <w:highlight w:val="green"/>
              </w:rPr>
            </w:pPr>
            <w:r w:rsidRPr="00FA472B">
              <w:rPr>
                <w:color w:val="000000"/>
                <w:sz w:val="24"/>
              </w:rPr>
              <w:t>净值增长率标准差</w:t>
            </w:r>
            <w:r w:rsidRPr="00414367">
              <w:rPr>
                <w:rFonts w:ascii="宋体" w:hAnsi="宋体" w:cs="宋体" w:hint="eastAsia"/>
                <w:color w:val="000000"/>
                <w:sz w:val="24"/>
              </w:rPr>
              <w:t>②</w:t>
            </w:r>
          </w:p>
        </w:tc>
        <w:tc>
          <w:tcPr>
            <w:tcW w:w="1291" w:type="dxa"/>
            <w:vAlign w:val="center"/>
          </w:tcPr>
          <w:p w:rsidR="009B2EE9" w:rsidRPr="00FA472B" w:rsidRDefault="009B2EE9" w:rsidP="00320C1E">
            <w:pPr>
              <w:snapToGrid w:val="0"/>
              <w:spacing w:line="288" w:lineRule="auto"/>
              <w:jc w:val="center"/>
              <w:rPr>
                <w:color w:val="000000"/>
                <w:sz w:val="24"/>
              </w:rPr>
            </w:pPr>
            <w:r w:rsidRPr="00FA472B">
              <w:rPr>
                <w:color w:val="000000"/>
                <w:sz w:val="24"/>
              </w:rPr>
              <w:t>业绩比较基准收益率</w:t>
            </w:r>
            <w:r w:rsidRPr="00414367">
              <w:rPr>
                <w:rFonts w:ascii="宋体" w:hAnsi="宋体" w:cs="宋体" w:hint="eastAsia"/>
                <w:color w:val="000000"/>
                <w:sz w:val="24"/>
              </w:rPr>
              <w:t>③</w:t>
            </w:r>
          </w:p>
        </w:tc>
        <w:tc>
          <w:tcPr>
            <w:tcW w:w="1291" w:type="dxa"/>
            <w:vAlign w:val="center"/>
          </w:tcPr>
          <w:p w:rsidR="009B2EE9" w:rsidRPr="00FA472B" w:rsidRDefault="009B2EE9" w:rsidP="00320C1E">
            <w:pPr>
              <w:snapToGrid w:val="0"/>
              <w:spacing w:line="288" w:lineRule="auto"/>
              <w:jc w:val="center"/>
              <w:rPr>
                <w:color w:val="000000"/>
                <w:sz w:val="24"/>
              </w:rPr>
            </w:pPr>
            <w:r w:rsidRPr="00FA472B">
              <w:rPr>
                <w:color w:val="000000"/>
                <w:sz w:val="24"/>
              </w:rPr>
              <w:t>业绩比较基准收益率标准差</w:t>
            </w:r>
            <w:r w:rsidRPr="00414367">
              <w:rPr>
                <w:rFonts w:ascii="宋体" w:hAnsi="宋体" w:cs="宋体" w:hint="eastAsia"/>
                <w:color w:val="000000"/>
                <w:sz w:val="24"/>
              </w:rPr>
              <w:t>④</w:t>
            </w:r>
          </w:p>
        </w:tc>
        <w:tc>
          <w:tcPr>
            <w:tcW w:w="1291" w:type="dxa"/>
            <w:vAlign w:val="center"/>
          </w:tcPr>
          <w:p w:rsidR="009B2EE9" w:rsidRPr="00FA472B" w:rsidRDefault="009B2EE9" w:rsidP="00320C1E">
            <w:pPr>
              <w:snapToGrid w:val="0"/>
              <w:spacing w:line="288" w:lineRule="auto"/>
              <w:jc w:val="center"/>
              <w:rPr>
                <w:color w:val="000000"/>
                <w:sz w:val="24"/>
              </w:rPr>
            </w:pPr>
            <w:r w:rsidRPr="00414367">
              <w:rPr>
                <w:rFonts w:ascii="宋体" w:hAnsi="宋体" w:cs="宋体" w:hint="eastAsia"/>
                <w:color w:val="000000"/>
                <w:sz w:val="24"/>
              </w:rPr>
              <w:t>①</w:t>
            </w:r>
            <w:r w:rsidRPr="00FA472B">
              <w:rPr>
                <w:color w:val="000000"/>
                <w:sz w:val="24"/>
              </w:rPr>
              <w:t>－</w:t>
            </w:r>
            <w:r w:rsidRPr="00414367">
              <w:rPr>
                <w:rFonts w:ascii="宋体" w:hAnsi="宋体" w:cs="宋体" w:hint="eastAsia"/>
                <w:color w:val="000000"/>
                <w:sz w:val="24"/>
              </w:rPr>
              <w:t>③</w:t>
            </w:r>
          </w:p>
        </w:tc>
        <w:tc>
          <w:tcPr>
            <w:tcW w:w="1291" w:type="dxa"/>
            <w:vAlign w:val="center"/>
          </w:tcPr>
          <w:p w:rsidR="009B2EE9" w:rsidRPr="00FA472B" w:rsidRDefault="009B2EE9" w:rsidP="00320C1E">
            <w:pPr>
              <w:snapToGrid w:val="0"/>
              <w:spacing w:line="288" w:lineRule="auto"/>
              <w:jc w:val="center"/>
              <w:rPr>
                <w:color w:val="000000"/>
                <w:sz w:val="24"/>
              </w:rPr>
            </w:pPr>
            <w:r w:rsidRPr="00414367">
              <w:rPr>
                <w:rFonts w:ascii="宋体" w:hAnsi="宋体" w:cs="宋体" w:hint="eastAsia"/>
                <w:color w:val="000000"/>
                <w:sz w:val="24"/>
              </w:rPr>
              <w:t>②</w:t>
            </w:r>
            <w:r w:rsidRPr="00FA472B">
              <w:rPr>
                <w:color w:val="000000"/>
                <w:sz w:val="24"/>
              </w:rPr>
              <w:t>－</w:t>
            </w:r>
            <w:r w:rsidRPr="00414367">
              <w:rPr>
                <w:rFonts w:ascii="宋体" w:hAnsi="宋体" w:cs="宋体" w:hint="eastAsia"/>
                <w:color w:val="000000"/>
                <w:sz w:val="24"/>
              </w:rPr>
              <w:t>④</w:t>
            </w:r>
          </w:p>
        </w:tc>
      </w:tr>
      <w:tr w:rsidR="00AE51F5">
        <w:trPr>
          <w:jc w:val="center"/>
        </w:trPr>
        <w:tc>
          <w:tcPr>
            <w:tcW w:w="1290" w:type="dxa"/>
            <w:vAlign w:val="center"/>
          </w:tcPr>
          <w:p w:rsidR="00AE51F5" w:rsidRDefault="009A78F6">
            <w:pPr>
              <w:jc w:val="left"/>
            </w:pPr>
            <w:r>
              <w:rPr>
                <w:color w:val="000000"/>
                <w:sz w:val="24"/>
              </w:rPr>
              <w:t>过去三个月</w:t>
            </w:r>
          </w:p>
        </w:tc>
        <w:tc>
          <w:tcPr>
            <w:tcW w:w="1291" w:type="dxa"/>
            <w:vAlign w:val="center"/>
          </w:tcPr>
          <w:p w:rsidR="00AE51F5" w:rsidRDefault="009A78F6">
            <w:pPr>
              <w:jc w:val="center"/>
            </w:pPr>
            <w:r>
              <w:rPr>
                <w:color w:val="000000"/>
                <w:sz w:val="24"/>
              </w:rPr>
              <w:t>19.71%</w:t>
            </w:r>
          </w:p>
        </w:tc>
        <w:tc>
          <w:tcPr>
            <w:tcW w:w="1291" w:type="dxa"/>
            <w:vAlign w:val="center"/>
          </w:tcPr>
          <w:p w:rsidR="00AE51F5" w:rsidRDefault="009A78F6">
            <w:pPr>
              <w:jc w:val="center"/>
            </w:pPr>
            <w:r>
              <w:rPr>
                <w:color w:val="000000"/>
                <w:sz w:val="24"/>
              </w:rPr>
              <w:t>1.66%</w:t>
            </w:r>
          </w:p>
        </w:tc>
        <w:tc>
          <w:tcPr>
            <w:tcW w:w="1291" w:type="dxa"/>
            <w:vAlign w:val="center"/>
          </w:tcPr>
          <w:p w:rsidR="00AE51F5" w:rsidRDefault="009A78F6">
            <w:pPr>
              <w:jc w:val="center"/>
            </w:pPr>
            <w:r>
              <w:rPr>
                <w:color w:val="000000"/>
                <w:sz w:val="24"/>
              </w:rPr>
              <w:t>19.45%</w:t>
            </w:r>
          </w:p>
        </w:tc>
        <w:tc>
          <w:tcPr>
            <w:tcW w:w="1291" w:type="dxa"/>
            <w:vAlign w:val="center"/>
          </w:tcPr>
          <w:p w:rsidR="00AE51F5" w:rsidRDefault="009A78F6">
            <w:pPr>
              <w:jc w:val="center"/>
            </w:pPr>
            <w:r>
              <w:rPr>
                <w:color w:val="000000"/>
                <w:sz w:val="24"/>
              </w:rPr>
              <w:t>1.69%</w:t>
            </w:r>
          </w:p>
        </w:tc>
        <w:tc>
          <w:tcPr>
            <w:tcW w:w="1291" w:type="dxa"/>
            <w:vAlign w:val="center"/>
          </w:tcPr>
          <w:p w:rsidR="00AE51F5" w:rsidRDefault="009A78F6">
            <w:pPr>
              <w:jc w:val="center"/>
            </w:pPr>
            <w:r>
              <w:rPr>
                <w:color w:val="000000"/>
                <w:sz w:val="24"/>
              </w:rPr>
              <w:t>0.26%</w:t>
            </w:r>
          </w:p>
        </w:tc>
        <w:tc>
          <w:tcPr>
            <w:tcW w:w="1291" w:type="dxa"/>
            <w:vAlign w:val="center"/>
          </w:tcPr>
          <w:p w:rsidR="00AE51F5" w:rsidRDefault="009A78F6">
            <w:pPr>
              <w:jc w:val="center"/>
            </w:pPr>
            <w:r>
              <w:rPr>
                <w:color w:val="000000"/>
                <w:sz w:val="24"/>
              </w:rPr>
              <w:t>-0.03%</w:t>
            </w:r>
          </w:p>
        </w:tc>
      </w:tr>
      <w:tr w:rsidR="00AE51F5">
        <w:trPr>
          <w:jc w:val="center"/>
        </w:trPr>
        <w:tc>
          <w:tcPr>
            <w:tcW w:w="1290" w:type="dxa"/>
            <w:vAlign w:val="center"/>
          </w:tcPr>
          <w:p w:rsidR="00AE51F5" w:rsidRDefault="009A78F6">
            <w:pPr>
              <w:jc w:val="left"/>
            </w:pPr>
            <w:r>
              <w:rPr>
                <w:color w:val="000000"/>
                <w:sz w:val="24"/>
              </w:rPr>
              <w:t>过去六个月</w:t>
            </w:r>
          </w:p>
        </w:tc>
        <w:tc>
          <w:tcPr>
            <w:tcW w:w="1291" w:type="dxa"/>
            <w:vAlign w:val="center"/>
          </w:tcPr>
          <w:p w:rsidR="00AE51F5" w:rsidRDefault="009A78F6">
            <w:pPr>
              <w:jc w:val="center"/>
            </w:pPr>
            <w:r>
              <w:rPr>
                <w:color w:val="000000"/>
                <w:sz w:val="24"/>
              </w:rPr>
              <w:t>30.96%</w:t>
            </w:r>
          </w:p>
        </w:tc>
        <w:tc>
          <w:tcPr>
            <w:tcW w:w="1291" w:type="dxa"/>
            <w:vAlign w:val="center"/>
          </w:tcPr>
          <w:p w:rsidR="00AE51F5" w:rsidRDefault="009A78F6">
            <w:pPr>
              <w:jc w:val="center"/>
            </w:pPr>
            <w:r>
              <w:rPr>
                <w:color w:val="000000"/>
                <w:sz w:val="24"/>
              </w:rPr>
              <w:t>1.89%</w:t>
            </w:r>
          </w:p>
        </w:tc>
        <w:tc>
          <w:tcPr>
            <w:tcW w:w="1291" w:type="dxa"/>
            <w:vAlign w:val="center"/>
          </w:tcPr>
          <w:p w:rsidR="00AE51F5" w:rsidRDefault="009A78F6">
            <w:pPr>
              <w:jc w:val="center"/>
            </w:pPr>
            <w:r>
              <w:rPr>
                <w:color w:val="000000"/>
                <w:sz w:val="24"/>
              </w:rPr>
              <w:t>30.67%</w:t>
            </w:r>
          </w:p>
        </w:tc>
        <w:tc>
          <w:tcPr>
            <w:tcW w:w="1291" w:type="dxa"/>
            <w:vAlign w:val="center"/>
          </w:tcPr>
          <w:p w:rsidR="00AE51F5" w:rsidRDefault="009A78F6">
            <w:pPr>
              <w:jc w:val="center"/>
            </w:pPr>
            <w:r>
              <w:rPr>
                <w:color w:val="000000"/>
                <w:sz w:val="24"/>
              </w:rPr>
              <w:t>1.93%</w:t>
            </w:r>
          </w:p>
        </w:tc>
        <w:tc>
          <w:tcPr>
            <w:tcW w:w="1291" w:type="dxa"/>
            <w:vAlign w:val="center"/>
          </w:tcPr>
          <w:p w:rsidR="00AE51F5" w:rsidRDefault="009A78F6">
            <w:pPr>
              <w:jc w:val="center"/>
            </w:pPr>
            <w:r>
              <w:rPr>
                <w:color w:val="000000"/>
                <w:sz w:val="24"/>
              </w:rPr>
              <w:t>0.29%</w:t>
            </w:r>
          </w:p>
        </w:tc>
        <w:tc>
          <w:tcPr>
            <w:tcW w:w="1291" w:type="dxa"/>
            <w:vAlign w:val="center"/>
          </w:tcPr>
          <w:p w:rsidR="00AE51F5" w:rsidRDefault="009A78F6">
            <w:pPr>
              <w:jc w:val="center"/>
            </w:pPr>
            <w:r>
              <w:rPr>
                <w:color w:val="000000"/>
                <w:sz w:val="24"/>
              </w:rPr>
              <w:t>-0.04%</w:t>
            </w:r>
          </w:p>
        </w:tc>
      </w:tr>
      <w:tr w:rsidR="00AE51F5">
        <w:trPr>
          <w:jc w:val="center"/>
        </w:trPr>
        <w:tc>
          <w:tcPr>
            <w:tcW w:w="1290" w:type="dxa"/>
            <w:vAlign w:val="center"/>
          </w:tcPr>
          <w:p w:rsidR="00AE51F5" w:rsidRDefault="009A78F6">
            <w:pPr>
              <w:jc w:val="left"/>
            </w:pPr>
            <w:r>
              <w:rPr>
                <w:color w:val="000000"/>
                <w:sz w:val="24"/>
              </w:rPr>
              <w:t>过去一年</w:t>
            </w:r>
          </w:p>
        </w:tc>
        <w:tc>
          <w:tcPr>
            <w:tcW w:w="1291" w:type="dxa"/>
            <w:vAlign w:val="center"/>
          </w:tcPr>
          <w:p w:rsidR="00AE51F5" w:rsidRDefault="009A78F6">
            <w:pPr>
              <w:jc w:val="center"/>
            </w:pPr>
            <w:r>
              <w:rPr>
                <w:color w:val="000000"/>
                <w:sz w:val="24"/>
              </w:rPr>
              <w:t>85.00%</w:t>
            </w:r>
          </w:p>
        </w:tc>
        <w:tc>
          <w:tcPr>
            <w:tcW w:w="1291" w:type="dxa"/>
            <w:vAlign w:val="center"/>
          </w:tcPr>
          <w:p w:rsidR="00AE51F5" w:rsidRDefault="009A78F6">
            <w:pPr>
              <w:jc w:val="center"/>
            </w:pPr>
            <w:r>
              <w:rPr>
                <w:color w:val="000000"/>
                <w:sz w:val="24"/>
              </w:rPr>
              <w:t>1.98%</w:t>
            </w:r>
          </w:p>
        </w:tc>
        <w:tc>
          <w:tcPr>
            <w:tcW w:w="1291" w:type="dxa"/>
            <w:vAlign w:val="center"/>
          </w:tcPr>
          <w:p w:rsidR="00AE51F5" w:rsidRDefault="009A78F6">
            <w:pPr>
              <w:jc w:val="center"/>
            </w:pPr>
            <w:r>
              <w:rPr>
                <w:color w:val="000000"/>
                <w:sz w:val="24"/>
              </w:rPr>
              <w:t>83.34%</w:t>
            </w:r>
          </w:p>
        </w:tc>
        <w:tc>
          <w:tcPr>
            <w:tcW w:w="1291" w:type="dxa"/>
            <w:vAlign w:val="center"/>
          </w:tcPr>
          <w:p w:rsidR="00AE51F5" w:rsidRDefault="009A78F6">
            <w:pPr>
              <w:jc w:val="center"/>
            </w:pPr>
            <w:r>
              <w:rPr>
                <w:color w:val="000000"/>
                <w:sz w:val="24"/>
              </w:rPr>
              <w:t>1.99%</w:t>
            </w:r>
          </w:p>
        </w:tc>
        <w:tc>
          <w:tcPr>
            <w:tcW w:w="1291" w:type="dxa"/>
            <w:vAlign w:val="center"/>
          </w:tcPr>
          <w:p w:rsidR="00AE51F5" w:rsidRDefault="009A78F6">
            <w:pPr>
              <w:jc w:val="center"/>
            </w:pPr>
            <w:r>
              <w:rPr>
                <w:color w:val="000000"/>
                <w:sz w:val="24"/>
              </w:rPr>
              <w:t>1.66%</w:t>
            </w:r>
          </w:p>
        </w:tc>
        <w:tc>
          <w:tcPr>
            <w:tcW w:w="1291" w:type="dxa"/>
            <w:vAlign w:val="center"/>
          </w:tcPr>
          <w:p w:rsidR="00AE51F5" w:rsidRDefault="009A78F6">
            <w:pPr>
              <w:jc w:val="center"/>
            </w:pPr>
            <w:r>
              <w:rPr>
                <w:color w:val="000000"/>
                <w:sz w:val="24"/>
              </w:rPr>
              <w:t>-0.01%</w:t>
            </w:r>
          </w:p>
        </w:tc>
      </w:tr>
      <w:tr w:rsidR="00AE51F5">
        <w:trPr>
          <w:jc w:val="center"/>
        </w:trPr>
        <w:tc>
          <w:tcPr>
            <w:tcW w:w="1290" w:type="dxa"/>
            <w:vAlign w:val="center"/>
          </w:tcPr>
          <w:p w:rsidR="00AE51F5" w:rsidRDefault="009A78F6">
            <w:pPr>
              <w:jc w:val="left"/>
            </w:pPr>
            <w:r>
              <w:rPr>
                <w:color w:val="000000"/>
                <w:sz w:val="24"/>
              </w:rPr>
              <w:t>自基金合同生效至今</w:t>
            </w:r>
          </w:p>
        </w:tc>
        <w:tc>
          <w:tcPr>
            <w:tcW w:w="1291" w:type="dxa"/>
            <w:vAlign w:val="center"/>
          </w:tcPr>
          <w:p w:rsidR="00AE51F5" w:rsidRDefault="009A78F6">
            <w:pPr>
              <w:jc w:val="center"/>
            </w:pPr>
            <w:r>
              <w:rPr>
                <w:color w:val="000000"/>
                <w:sz w:val="24"/>
              </w:rPr>
              <w:t>90.01%</w:t>
            </w:r>
          </w:p>
        </w:tc>
        <w:tc>
          <w:tcPr>
            <w:tcW w:w="1291" w:type="dxa"/>
            <w:vAlign w:val="center"/>
          </w:tcPr>
          <w:p w:rsidR="00AE51F5" w:rsidRDefault="009A78F6">
            <w:pPr>
              <w:jc w:val="center"/>
            </w:pPr>
            <w:r>
              <w:rPr>
                <w:color w:val="000000"/>
                <w:sz w:val="24"/>
              </w:rPr>
              <w:t>1.87%</w:t>
            </w:r>
          </w:p>
        </w:tc>
        <w:tc>
          <w:tcPr>
            <w:tcW w:w="1291" w:type="dxa"/>
            <w:vAlign w:val="center"/>
          </w:tcPr>
          <w:p w:rsidR="00AE51F5" w:rsidRDefault="009A78F6">
            <w:pPr>
              <w:jc w:val="center"/>
            </w:pPr>
            <w:r>
              <w:rPr>
                <w:color w:val="000000"/>
                <w:sz w:val="24"/>
              </w:rPr>
              <w:t>94.59%</w:t>
            </w:r>
          </w:p>
        </w:tc>
        <w:tc>
          <w:tcPr>
            <w:tcW w:w="1291" w:type="dxa"/>
            <w:vAlign w:val="center"/>
          </w:tcPr>
          <w:p w:rsidR="00AE51F5" w:rsidRDefault="009A78F6">
            <w:pPr>
              <w:jc w:val="center"/>
            </w:pPr>
            <w:r>
              <w:rPr>
                <w:color w:val="000000"/>
                <w:sz w:val="24"/>
              </w:rPr>
              <w:t>1.91%</w:t>
            </w:r>
          </w:p>
        </w:tc>
        <w:tc>
          <w:tcPr>
            <w:tcW w:w="1291" w:type="dxa"/>
            <w:vAlign w:val="center"/>
          </w:tcPr>
          <w:p w:rsidR="00AE51F5" w:rsidRDefault="009A78F6">
            <w:pPr>
              <w:jc w:val="center"/>
            </w:pPr>
            <w:r>
              <w:rPr>
                <w:color w:val="000000"/>
                <w:sz w:val="24"/>
              </w:rPr>
              <w:t>-4.58%</w:t>
            </w:r>
          </w:p>
        </w:tc>
        <w:tc>
          <w:tcPr>
            <w:tcW w:w="1291" w:type="dxa"/>
            <w:vAlign w:val="center"/>
          </w:tcPr>
          <w:p w:rsidR="00AE51F5" w:rsidRDefault="009A78F6">
            <w:pPr>
              <w:jc w:val="center"/>
            </w:pPr>
            <w:r>
              <w:rPr>
                <w:color w:val="000000"/>
                <w:sz w:val="24"/>
              </w:rPr>
              <w:t>-0.04%</w:t>
            </w:r>
          </w:p>
        </w:tc>
      </w:tr>
    </w:tbl>
    <w:p w:rsidR="009B2EE9" w:rsidRPr="0078105B" w:rsidRDefault="009B2EE9" w:rsidP="009B2EE9">
      <w:pPr>
        <w:spacing w:line="360" w:lineRule="auto"/>
        <w:rPr>
          <w:rFonts w:ascii="宋体" w:cs="Arial"/>
          <w:b/>
          <w:color w:val="000000"/>
          <w:kern w:val="0"/>
          <w:sz w:val="24"/>
        </w:rPr>
      </w:pPr>
      <w:r w:rsidRPr="0078105B">
        <w:rPr>
          <w:rFonts w:ascii="宋体" w:hAnsi="宋体" w:cs="Arial"/>
          <w:b/>
          <w:color w:val="000000"/>
          <w:kern w:val="0"/>
          <w:sz w:val="24"/>
        </w:rPr>
        <w:t>3.2.2</w:t>
      </w:r>
      <w:r w:rsidRPr="0078105B">
        <w:rPr>
          <w:rFonts w:ascii="宋体" w:hAnsi="宋体" w:cs="Arial" w:hint="eastAsia"/>
          <w:b/>
          <w:color w:val="000000"/>
          <w:kern w:val="0"/>
          <w:sz w:val="24"/>
        </w:rPr>
        <w:t xml:space="preserve">　</w:t>
      </w:r>
      <w:r w:rsidRPr="00370BEA">
        <w:rPr>
          <w:rStyle w:val="af8"/>
          <w:rFonts w:hint="eastAsia"/>
          <w:color w:val="000000"/>
          <w:sz w:val="24"/>
          <w:shd w:val="clear" w:color="auto" w:fill="FFFFFF"/>
        </w:rPr>
        <w:t>自基金合同生效以来</w:t>
      </w:r>
      <w:r w:rsidRPr="0078105B">
        <w:rPr>
          <w:rFonts w:ascii="宋体" w:hAnsi="宋体" w:hint="eastAsia"/>
          <w:b/>
          <w:color w:val="000000"/>
          <w:sz w:val="24"/>
        </w:rPr>
        <w:t>基金</w:t>
      </w:r>
      <w:r w:rsidR="00E72A13">
        <w:rPr>
          <w:rFonts w:ascii="宋体" w:hAnsi="宋体" w:hint="eastAsia"/>
          <w:b/>
          <w:color w:val="000000"/>
          <w:sz w:val="24"/>
        </w:rPr>
        <w:t>份额</w:t>
      </w:r>
      <w:r w:rsidRPr="0078105B">
        <w:rPr>
          <w:rFonts w:ascii="宋体" w:hAnsi="宋体" w:hint="eastAsia"/>
          <w:b/>
          <w:color w:val="000000"/>
          <w:sz w:val="24"/>
        </w:rPr>
        <w:t>累计净值增长率变动及其与同期业绩比较基准收益率变动的比较</w:t>
      </w:r>
    </w:p>
    <w:p w:rsidR="009B2EE9" w:rsidRPr="00FA472B" w:rsidRDefault="009B2EE9" w:rsidP="009B2EE9">
      <w:pPr>
        <w:spacing w:line="360" w:lineRule="auto"/>
        <w:jc w:val="center"/>
        <w:rPr>
          <w:color w:val="000000"/>
          <w:sz w:val="24"/>
        </w:rPr>
      </w:pPr>
      <w:r w:rsidRPr="00FA472B">
        <w:rPr>
          <w:color w:val="000000"/>
          <w:sz w:val="24"/>
        </w:rPr>
        <w:t>交银施罗德创业板</w:t>
      </w:r>
      <w:r w:rsidRPr="00FA472B">
        <w:rPr>
          <w:color w:val="000000"/>
          <w:sz w:val="24"/>
        </w:rPr>
        <w:t>50</w:t>
      </w:r>
      <w:r w:rsidRPr="00FA472B">
        <w:rPr>
          <w:color w:val="000000"/>
          <w:sz w:val="24"/>
        </w:rPr>
        <w:t>指数型证券投资基金</w:t>
      </w:r>
    </w:p>
    <w:p w:rsidR="009B2EE9" w:rsidRPr="00FA472B" w:rsidRDefault="009B2EE9" w:rsidP="009B2EE9">
      <w:pPr>
        <w:pStyle w:val="a5"/>
        <w:snapToGrid w:val="0"/>
        <w:spacing w:line="360" w:lineRule="auto"/>
        <w:jc w:val="center"/>
        <w:rPr>
          <w:rFonts w:ascii="Times New Roman" w:hAnsi="Times New Roman"/>
          <w:color w:val="000000"/>
          <w:sz w:val="24"/>
          <w:szCs w:val="24"/>
        </w:rPr>
      </w:pPr>
      <w:r w:rsidRPr="00FA472B">
        <w:rPr>
          <w:rFonts w:ascii="Times New Roman" w:hAnsi="Times New Roman"/>
          <w:color w:val="000000"/>
          <w:sz w:val="24"/>
          <w:szCs w:val="24"/>
        </w:rPr>
        <w:t>累计净值增长率与业绩比较基准收益率的历史走势对比图</w:t>
      </w:r>
    </w:p>
    <w:p w:rsidR="009B2EE9" w:rsidRPr="00FA472B" w:rsidRDefault="009B2EE9" w:rsidP="009B2EE9">
      <w:pPr>
        <w:pStyle w:val="a5"/>
        <w:snapToGrid w:val="0"/>
        <w:spacing w:line="360" w:lineRule="auto"/>
        <w:ind w:firstLine="480"/>
        <w:jc w:val="center"/>
        <w:rPr>
          <w:rFonts w:ascii="Times New Roman" w:hAnsi="Times New Roman"/>
          <w:sz w:val="24"/>
          <w:szCs w:val="24"/>
        </w:rPr>
      </w:pPr>
      <w:r w:rsidRPr="00FA472B">
        <w:rPr>
          <w:rFonts w:ascii="Times New Roman" w:hAnsi="Times New Roman"/>
          <w:sz w:val="24"/>
          <w:szCs w:val="24"/>
        </w:rPr>
        <w:t>(2019</w:t>
      </w:r>
      <w:r w:rsidRPr="00FA472B">
        <w:rPr>
          <w:rFonts w:ascii="Times New Roman" w:hAnsi="Times New Roman"/>
          <w:sz w:val="24"/>
          <w:szCs w:val="24"/>
        </w:rPr>
        <w:t>年</w:t>
      </w:r>
      <w:r w:rsidRPr="00FA472B">
        <w:rPr>
          <w:rFonts w:ascii="Times New Roman" w:hAnsi="Times New Roman"/>
          <w:sz w:val="24"/>
          <w:szCs w:val="24"/>
        </w:rPr>
        <w:t>11</w:t>
      </w:r>
      <w:r w:rsidRPr="00FA472B">
        <w:rPr>
          <w:rFonts w:ascii="Times New Roman" w:hAnsi="Times New Roman"/>
          <w:sz w:val="24"/>
          <w:szCs w:val="24"/>
        </w:rPr>
        <w:t>月</w:t>
      </w:r>
      <w:r w:rsidRPr="00FA472B">
        <w:rPr>
          <w:rFonts w:ascii="Times New Roman" w:hAnsi="Times New Roman"/>
          <w:sz w:val="24"/>
          <w:szCs w:val="24"/>
        </w:rPr>
        <w:t>20</w:t>
      </w:r>
      <w:r w:rsidRPr="00FA472B">
        <w:rPr>
          <w:rFonts w:ascii="Times New Roman" w:hAnsi="Times New Roman"/>
          <w:sz w:val="24"/>
          <w:szCs w:val="24"/>
        </w:rPr>
        <w:t>日至</w:t>
      </w:r>
      <w:r w:rsidRPr="00FA472B">
        <w:rPr>
          <w:rFonts w:ascii="Times New Roman" w:hAnsi="Times New Roman"/>
          <w:sz w:val="24"/>
          <w:szCs w:val="24"/>
        </w:rPr>
        <w:t>2020</w:t>
      </w:r>
      <w:r w:rsidRPr="00FA472B">
        <w:rPr>
          <w:rFonts w:ascii="Times New Roman" w:hAnsi="Times New Roman"/>
          <w:sz w:val="24"/>
          <w:szCs w:val="24"/>
        </w:rPr>
        <w:t>年</w:t>
      </w:r>
      <w:r w:rsidRPr="00FA472B">
        <w:rPr>
          <w:rFonts w:ascii="Times New Roman" w:hAnsi="Times New Roman"/>
          <w:sz w:val="24"/>
          <w:szCs w:val="24"/>
        </w:rPr>
        <w:t>12</w:t>
      </w:r>
      <w:r w:rsidRPr="00FA472B">
        <w:rPr>
          <w:rFonts w:ascii="Times New Roman" w:hAnsi="Times New Roman"/>
          <w:sz w:val="24"/>
          <w:szCs w:val="24"/>
        </w:rPr>
        <w:t>月</w:t>
      </w:r>
      <w:r w:rsidRPr="00FA472B">
        <w:rPr>
          <w:rFonts w:ascii="Times New Roman" w:hAnsi="Times New Roman"/>
          <w:sz w:val="24"/>
          <w:szCs w:val="24"/>
        </w:rPr>
        <w:t>31</w:t>
      </w:r>
      <w:r w:rsidRPr="00FA472B">
        <w:rPr>
          <w:rFonts w:ascii="Times New Roman" w:hAnsi="Times New Roman"/>
          <w:sz w:val="24"/>
          <w:szCs w:val="24"/>
        </w:rPr>
        <w:t>日</w:t>
      </w:r>
      <w:r w:rsidRPr="00FA472B">
        <w:rPr>
          <w:rFonts w:ascii="Times New Roman" w:hAnsi="Times New Roman"/>
          <w:sz w:val="24"/>
          <w:szCs w:val="24"/>
        </w:rPr>
        <w:t>)</w:t>
      </w:r>
    </w:p>
    <w:p w:rsidR="009B2EE9" w:rsidRPr="00611CB2" w:rsidRDefault="009B2EE9" w:rsidP="009B2EE9">
      <w:pPr>
        <w:snapToGrid w:val="0"/>
        <w:spacing w:line="360" w:lineRule="auto"/>
        <w:ind w:firstLineChars="50" w:firstLine="120"/>
        <w:rPr>
          <w:color w:val="000000"/>
          <w:sz w:val="24"/>
        </w:rPr>
      </w:pPr>
      <w:r w:rsidRPr="00611CB2">
        <w:rPr>
          <w:color w:val="000000"/>
          <w:sz w:val="24"/>
        </w:rPr>
        <w:t>交银创业板</w:t>
      </w:r>
      <w:r w:rsidRPr="00611CB2">
        <w:rPr>
          <w:color w:val="000000"/>
          <w:sz w:val="24"/>
        </w:rPr>
        <w:t>50</w:t>
      </w:r>
      <w:r w:rsidRPr="00611CB2">
        <w:rPr>
          <w:color w:val="000000"/>
          <w:sz w:val="24"/>
        </w:rPr>
        <w:t>指数</w:t>
      </w:r>
      <w:r w:rsidRPr="00611CB2">
        <w:rPr>
          <w:color w:val="000000"/>
          <w:sz w:val="24"/>
        </w:rPr>
        <w:t>A</w:t>
      </w:r>
    </w:p>
    <w:p w:rsidR="009B2EE9" w:rsidRPr="0078105B" w:rsidRDefault="009B2EE9" w:rsidP="009B2EE9">
      <w:pPr>
        <w:pStyle w:val="20"/>
        <w:spacing w:line="288" w:lineRule="auto"/>
        <w:ind w:firstLineChars="0" w:firstLine="0"/>
        <w:jc w:val="center"/>
        <w:rPr>
          <w:color w:val="000000"/>
        </w:rPr>
      </w:pPr>
      <w:r>
        <w:rPr>
          <w:noProof/>
          <w:color w:val="000000"/>
        </w:rPr>
        <w:drawing>
          <wp:inline distT="0" distB="0" distL="0" distR="0">
            <wp:extent cx="5538470" cy="327596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8470" cy="3275965"/>
                    </a:xfrm>
                    <a:prstGeom prst="rect">
                      <a:avLst/>
                    </a:prstGeom>
                    <a:noFill/>
                    <a:ln>
                      <a:noFill/>
                    </a:ln>
                  </pic:spPr>
                </pic:pic>
              </a:graphicData>
            </a:graphic>
          </wp:inline>
        </w:drawing>
      </w:r>
    </w:p>
    <w:p w:rsidR="009B2EE9" w:rsidRPr="00C30CFF" w:rsidRDefault="009B2EE9" w:rsidP="009B2EE9">
      <w:pPr>
        <w:spacing w:line="360" w:lineRule="auto"/>
        <w:ind w:firstLineChars="200" w:firstLine="480"/>
        <w:rPr>
          <w:color w:val="000000"/>
          <w:sz w:val="24"/>
        </w:rPr>
      </w:pPr>
      <w:r w:rsidRPr="00C30CFF">
        <w:rPr>
          <w:color w:val="000000"/>
          <w:sz w:val="24"/>
        </w:rPr>
        <w:t>注：本基金基金合同生效日为</w:t>
      </w:r>
      <w:r w:rsidRPr="00C30CFF">
        <w:rPr>
          <w:color w:val="000000"/>
          <w:sz w:val="24"/>
        </w:rPr>
        <w:t>2019</w:t>
      </w:r>
      <w:r w:rsidRPr="00C30CFF">
        <w:rPr>
          <w:color w:val="000000"/>
          <w:sz w:val="24"/>
        </w:rPr>
        <w:t>年</w:t>
      </w:r>
      <w:r w:rsidRPr="00C30CFF">
        <w:rPr>
          <w:color w:val="000000"/>
          <w:sz w:val="24"/>
        </w:rPr>
        <w:t>11</w:t>
      </w:r>
      <w:r w:rsidRPr="00C30CFF">
        <w:rPr>
          <w:color w:val="000000"/>
          <w:sz w:val="24"/>
        </w:rPr>
        <w:t>月</w:t>
      </w:r>
      <w:r w:rsidRPr="00C30CFF">
        <w:rPr>
          <w:color w:val="000000"/>
          <w:sz w:val="24"/>
        </w:rPr>
        <w:t>20</w:t>
      </w:r>
      <w:r w:rsidRPr="00C30CFF">
        <w:rPr>
          <w:color w:val="000000"/>
          <w:sz w:val="24"/>
        </w:rPr>
        <w:t>日，截至报告期期末，本基金已完成建仓但报告期期末距建仓结束未满一年。本基金建仓期为自基金合同生效日起的</w:t>
      </w:r>
      <w:r w:rsidRPr="00C30CFF">
        <w:rPr>
          <w:color w:val="000000"/>
          <w:sz w:val="24"/>
        </w:rPr>
        <w:t>6</w:t>
      </w:r>
      <w:r w:rsidRPr="00C30CFF">
        <w:rPr>
          <w:color w:val="000000"/>
          <w:sz w:val="24"/>
        </w:rPr>
        <w:t>个月。截至建仓期结束，本基金各项资产配置比例符合基金合同及招募说明书有关投资比例的约定。</w:t>
      </w:r>
    </w:p>
    <w:p w:rsidR="009B2EE9" w:rsidRPr="00611CB2" w:rsidRDefault="009B2EE9" w:rsidP="009B2EE9">
      <w:pPr>
        <w:snapToGrid w:val="0"/>
        <w:spacing w:line="360" w:lineRule="auto"/>
        <w:ind w:firstLineChars="50" w:firstLine="120"/>
        <w:rPr>
          <w:color w:val="000000"/>
          <w:sz w:val="24"/>
        </w:rPr>
      </w:pPr>
      <w:r w:rsidRPr="00611CB2">
        <w:rPr>
          <w:color w:val="000000"/>
          <w:sz w:val="24"/>
        </w:rPr>
        <w:t>交银创业板</w:t>
      </w:r>
      <w:r w:rsidRPr="00611CB2">
        <w:rPr>
          <w:color w:val="000000"/>
          <w:sz w:val="24"/>
        </w:rPr>
        <w:t>50</w:t>
      </w:r>
      <w:r w:rsidRPr="00611CB2">
        <w:rPr>
          <w:color w:val="000000"/>
          <w:sz w:val="24"/>
        </w:rPr>
        <w:t>指数</w:t>
      </w:r>
      <w:r w:rsidRPr="00611CB2">
        <w:rPr>
          <w:color w:val="000000"/>
          <w:sz w:val="24"/>
        </w:rPr>
        <w:t>C</w:t>
      </w:r>
    </w:p>
    <w:p w:rsidR="009B2EE9" w:rsidRPr="0078105B" w:rsidRDefault="009B2EE9" w:rsidP="009B2EE9">
      <w:pPr>
        <w:pStyle w:val="20"/>
        <w:spacing w:line="288" w:lineRule="auto"/>
        <w:ind w:firstLineChars="0" w:firstLine="0"/>
        <w:jc w:val="center"/>
        <w:rPr>
          <w:color w:val="000000"/>
        </w:rPr>
      </w:pPr>
      <w:r>
        <w:rPr>
          <w:noProof/>
          <w:color w:val="000000"/>
        </w:rPr>
        <w:drawing>
          <wp:inline distT="0" distB="0" distL="0" distR="0">
            <wp:extent cx="5538470" cy="327596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38470" cy="3275965"/>
                    </a:xfrm>
                    <a:prstGeom prst="rect">
                      <a:avLst/>
                    </a:prstGeom>
                    <a:noFill/>
                    <a:ln>
                      <a:noFill/>
                    </a:ln>
                  </pic:spPr>
                </pic:pic>
              </a:graphicData>
            </a:graphic>
          </wp:inline>
        </w:drawing>
      </w:r>
    </w:p>
    <w:p w:rsidR="009B2EE9" w:rsidRPr="00DF18FE" w:rsidRDefault="009B2EE9" w:rsidP="009B2EE9">
      <w:pPr>
        <w:spacing w:line="360" w:lineRule="auto"/>
        <w:ind w:firstLineChars="200" w:firstLine="480"/>
        <w:rPr>
          <w:color w:val="000000"/>
          <w:sz w:val="24"/>
        </w:rPr>
      </w:pPr>
      <w:r w:rsidRPr="00DF18FE">
        <w:rPr>
          <w:color w:val="000000"/>
          <w:sz w:val="24"/>
        </w:rPr>
        <w:t>注：本基金基金合同生效日为</w:t>
      </w:r>
      <w:r w:rsidRPr="00DF18FE">
        <w:rPr>
          <w:color w:val="000000"/>
          <w:sz w:val="24"/>
        </w:rPr>
        <w:t>2019</w:t>
      </w:r>
      <w:r w:rsidRPr="00DF18FE">
        <w:rPr>
          <w:color w:val="000000"/>
          <w:sz w:val="24"/>
        </w:rPr>
        <w:t>年</w:t>
      </w:r>
      <w:r w:rsidRPr="00DF18FE">
        <w:rPr>
          <w:color w:val="000000"/>
          <w:sz w:val="24"/>
        </w:rPr>
        <w:t>11</w:t>
      </w:r>
      <w:r w:rsidRPr="00DF18FE">
        <w:rPr>
          <w:color w:val="000000"/>
          <w:sz w:val="24"/>
        </w:rPr>
        <w:t>月</w:t>
      </w:r>
      <w:r w:rsidRPr="00DF18FE">
        <w:rPr>
          <w:color w:val="000000"/>
          <w:sz w:val="24"/>
        </w:rPr>
        <w:t>20</w:t>
      </w:r>
      <w:r w:rsidRPr="00DF18FE">
        <w:rPr>
          <w:color w:val="000000"/>
          <w:sz w:val="24"/>
        </w:rPr>
        <w:t>日，截至报告期期末，本基金已完成建仓但报告期期末距建仓结束未满一年。本基金建仓期为自基金合同生效日起的</w:t>
      </w:r>
      <w:r w:rsidRPr="00DF18FE">
        <w:rPr>
          <w:color w:val="000000"/>
          <w:sz w:val="24"/>
        </w:rPr>
        <w:t>6</w:t>
      </w:r>
      <w:r w:rsidRPr="00DF18FE">
        <w:rPr>
          <w:color w:val="000000"/>
          <w:sz w:val="24"/>
        </w:rPr>
        <w:t>个月。截至建仓期结束，本基金各项资产配置比例符合基金合同及招募说明书有关投资比例的约定。</w:t>
      </w:r>
    </w:p>
    <w:p w:rsidR="00A62673" w:rsidRPr="00EC5CE0" w:rsidRDefault="00A62673" w:rsidP="009B2EE9">
      <w:pPr>
        <w:spacing w:line="360" w:lineRule="auto"/>
        <w:ind w:firstLineChars="200" w:firstLine="480"/>
        <w:rPr>
          <w:rFonts w:hAnsi="宋体"/>
          <w:color w:val="000000"/>
          <w:sz w:val="24"/>
        </w:rPr>
      </w:pPr>
    </w:p>
    <w:p w:rsidR="00A62673" w:rsidRPr="00EC5CE0" w:rsidRDefault="00A62673" w:rsidP="00F729DC">
      <w:pPr>
        <w:pStyle w:val="1"/>
        <w:spacing w:beforeLines="100" w:before="312" w:afterLines="100" w:after="312" w:line="360" w:lineRule="auto"/>
        <w:jc w:val="center"/>
        <w:rPr>
          <w:rFonts w:ascii="宋体" w:cs="Arial"/>
          <w:color w:val="000000"/>
          <w:kern w:val="0"/>
          <w:sz w:val="24"/>
          <w:szCs w:val="24"/>
        </w:rPr>
      </w:pPr>
      <w:r w:rsidRPr="00EC5CE0">
        <w:rPr>
          <w:rFonts w:ascii="宋体" w:hAnsi="宋体" w:cs="Arial" w:hint="eastAsia"/>
          <w:color w:val="000000"/>
          <w:kern w:val="0"/>
          <w:sz w:val="24"/>
          <w:szCs w:val="24"/>
        </w:rPr>
        <w:t>§</w:t>
      </w:r>
      <w:r w:rsidRPr="00EC5CE0">
        <w:rPr>
          <w:rFonts w:ascii="宋体" w:hAnsi="宋体" w:cs="Arial"/>
          <w:color w:val="000000"/>
          <w:kern w:val="0"/>
          <w:sz w:val="24"/>
          <w:szCs w:val="24"/>
        </w:rPr>
        <w:t xml:space="preserve">4  </w:t>
      </w:r>
      <w:r w:rsidRPr="00EC5CE0">
        <w:rPr>
          <w:rFonts w:ascii="宋体" w:hAnsi="宋体" w:cs="Arial" w:hint="eastAsia"/>
          <w:color w:val="000000"/>
          <w:kern w:val="0"/>
          <w:sz w:val="24"/>
          <w:szCs w:val="24"/>
        </w:rPr>
        <w:t>管理人报告</w:t>
      </w:r>
    </w:p>
    <w:p w:rsidR="007467A8" w:rsidRPr="0078105B" w:rsidRDefault="00A62673" w:rsidP="007467A8">
      <w:pPr>
        <w:autoSpaceDE w:val="0"/>
        <w:autoSpaceDN w:val="0"/>
        <w:adjustRightInd w:val="0"/>
        <w:spacing w:line="360" w:lineRule="auto"/>
        <w:jc w:val="left"/>
        <w:rPr>
          <w:rFonts w:ascii="宋体" w:cs="Arial"/>
          <w:b/>
          <w:color w:val="000000"/>
          <w:kern w:val="0"/>
          <w:sz w:val="24"/>
        </w:rPr>
      </w:pPr>
      <w:r w:rsidRPr="00EC5CE0">
        <w:rPr>
          <w:rFonts w:ascii="宋体" w:hAnsi="宋体" w:cs="Arial"/>
          <w:b/>
          <w:color w:val="000000"/>
          <w:kern w:val="0"/>
          <w:sz w:val="24"/>
        </w:rPr>
        <w:t xml:space="preserve">4.1 </w:t>
      </w:r>
      <w:r w:rsidRPr="00EC5CE0">
        <w:rPr>
          <w:rFonts w:ascii="宋体" w:hAnsi="宋体" w:cs="Arial" w:hint="eastAsia"/>
          <w:b/>
          <w:color w:val="000000"/>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851"/>
        <w:gridCol w:w="850"/>
        <w:gridCol w:w="851"/>
        <w:gridCol w:w="2977"/>
      </w:tblGrid>
      <w:tr w:rsidR="007467A8" w:rsidRPr="0078105B" w:rsidTr="002C4578">
        <w:trPr>
          <w:cantSplit/>
        </w:trPr>
        <w:tc>
          <w:tcPr>
            <w:tcW w:w="567" w:type="dxa"/>
            <w:vMerge w:val="restart"/>
            <w:vAlign w:val="center"/>
          </w:tcPr>
          <w:p w:rsidR="007467A8" w:rsidRPr="00FA472B" w:rsidRDefault="007467A8" w:rsidP="002C4578">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w="2835" w:type="dxa"/>
            <w:vMerge w:val="restart"/>
            <w:vAlign w:val="center"/>
          </w:tcPr>
          <w:p w:rsidR="007467A8" w:rsidRPr="00FA472B" w:rsidRDefault="007467A8" w:rsidP="002C4578">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w="1701" w:type="dxa"/>
            <w:gridSpan w:val="2"/>
          </w:tcPr>
          <w:p w:rsidR="007467A8" w:rsidRPr="00FA472B" w:rsidRDefault="007467A8" w:rsidP="002C4578">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w="851" w:type="dxa"/>
            <w:vMerge w:val="restart"/>
            <w:vAlign w:val="center"/>
          </w:tcPr>
          <w:p w:rsidR="007467A8" w:rsidRPr="00FA472B" w:rsidRDefault="007467A8" w:rsidP="002C4578">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w="2977" w:type="dxa"/>
            <w:vMerge w:val="restart"/>
            <w:vAlign w:val="center"/>
          </w:tcPr>
          <w:p w:rsidR="007467A8" w:rsidRPr="00FA472B" w:rsidRDefault="007467A8" w:rsidP="002C4578">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7467A8" w:rsidRPr="0078105B" w:rsidTr="002C4578">
        <w:trPr>
          <w:cantSplit/>
        </w:trPr>
        <w:tc>
          <w:tcPr>
            <w:tcW w:w="567" w:type="dxa"/>
            <w:vMerge/>
            <w:vAlign w:val="center"/>
          </w:tcPr>
          <w:p w:rsidR="007467A8" w:rsidRPr="00FA472B" w:rsidRDefault="007467A8" w:rsidP="002C4578">
            <w:pPr>
              <w:autoSpaceDE w:val="0"/>
              <w:autoSpaceDN w:val="0"/>
              <w:adjustRightInd w:val="0"/>
              <w:spacing w:before="29" w:line="288" w:lineRule="auto"/>
              <w:ind w:left="15"/>
              <w:jc w:val="center"/>
              <w:rPr>
                <w:color w:val="000000"/>
                <w:kern w:val="0"/>
                <w:sz w:val="24"/>
              </w:rPr>
            </w:pPr>
          </w:p>
        </w:tc>
        <w:tc>
          <w:tcPr>
            <w:tcW w:w="2835" w:type="dxa"/>
            <w:vMerge/>
          </w:tcPr>
          <w:p w:rsidR="007467A8" w:rsidRPr="00FA472B" w:rsidRDefault="007467A8" w:rsidP="002C4578">
            <w:pPr>
              <w:autoSpaceDE w:val="0"/>
              <w:autoSpaceDN w:val="0"/>
              <w:adjustRightInd w:val="0"/>
              <w:spacing w:before="29" w:line="288" w:lineRule="auto"/>
              <w:ind w:left="15"/>
              <w:jc w:val="center"/>
              <w:rPr>
                <w:color w:val="000000"/>
                <w:kern w:val="0"/>
                <w:sz w:val="24"/>
              </w:rPr>
            </w:pPr>
          </w:p>
        </w:tc>
        <w:tc>
          <w:tcPr>
            <w:tcW w:w="851" w:type="dxa"/>
            <w:vAlign w:val="center"/>
          </w:tcPr>
          <w:p w:rsidR="007467A8" w:rsidRPr="00FA472B" w:rsidRDefault="007467A8" w:rsidP="002C4578">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w="850" w:type="dxa"/>
            <w:vAlign w:val="center"/>
          </w:tcPr>
          <w:p w:rsidR="007467A8" w:rsidRPr="00FA472B" w:rsidRDefault="007467A8" w:rsidP="002C4578">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w="851" w:type="dxa"/>
            <w:vMerge/>
            <w:vAlign w:val="center"/>
          </w:tcPr>
          <w:p w:rsidR="007467A8" w:rsidRPr="00FA472B" w:rsidRDefault="007467A8" w:rsidP="002C4578">
            <w:pPr>
              <w:autoSpaceDE w:val="0"/>
              <w:autoSpaceDN w:val="0"/>
              <w:adjustRightInd w:val="0"/>
              <w:spacing w:before="29" w:line="288" w:lineRule="auto"/>
              <w:ind w:left="15"/>
              <w:jc w:val="center"/>
              <w:rPr>
                <w:color w:val="000000"/>
                <w:kern w:val="0"/>
                <w:sz w:val="24"/>
              </w:rPr>
            </w:pPr>
          </w:p>
        </w:tc>
        <w:tc>
          <w:tcPr>
            <w:tcW w:w="2977" w:type="dxa"/>
            <w:vMerge/>
            <w:vAlign w:val="center"/>
          </w:tcPr>
          <w:p w:rsidR="007467A8" w:rsidRPr="00FA472B" w:rsidRDefault="007467A8" w:rsidP="002C4578">
            <w:pPr>
              <w:autoSpaceDE w:val="0"/>
              <w:autoSpaceDN w:val="0"/>
              <w:adjustRightInd w:val="0"/>
              <w:spacing w:before="29" w:line="288" w:lineRule="auto"/>
              <w:ind w:left="15"/>
              <w:jc w:val="center"/>
              <w:rPr>
                <w:color w:val="000000"/>
                <w:kern w:val="0"/>
                <w:sz w:val="24"/>
              </w:rPr>
            </w:pPr>
          </w:p>
        </w:tc>
      </w:tr>
      <w:tr w:rsidR="00AE51F5">
        <w:tc>
          <w:tcPr>
            <w:tcW w:w="567" w:type="dxa"/>
            <w:vAlign w:val="center"/>
          </w:tcPr>
          <w:p w:rsidR="00AE51F5" w:rsidRDefault="009A78F6">
            <w:pPr>
              <w:jc w:val="center"/>
            </w:pPr>
            <w:r>
              <w:rPr>
                <w:color w:val="000000"/>
                <w:sz w:val="24"/>
              </w:rPr>
              <w:t>蔡铮</w:t>
            </w:r>
          </w:p>
        </w:tc>
        <w:tc>
          <w:tcPr>
            <w:tcW w:w="2835" w:type="dxa"/>
            <w:vAlign w:val="center"/>
          </w:tcPr>
          <w:p w:rsidR="00AE51F5" w:rsidRDefault="009A78F6">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及其联接、交银中证海外中国互联网指数（</w:t>
            </w:r>
            <w:r>
              <w:rPr>
                <w:color w:val="000000"/>
                <w:sz w:val="24"/>
              </w:rPr>
              <w:t>QDII-LOF)</w:t>
            </w:r>
            <w:r>
              <w:rPr>
                <w:color w:val="000000"/>
                <w:sz w:val="24"/>
              </w:rPr>
              <w:t>、交银中证环境治理指数（</w:t>
            </w:r>
            <w:r>
              <w:rPr>
                <w:color w:val="000000"/>
                <w:sz w:val="24"/>
              </w:rPr>
              <w:t>LOF</w:t>
            </w:r>
            <w:r>
              <w:rPr>
                <w:color w:val="000000"/>
                <w:sz w:val="24"/>
              </w:rPr>
              <w:t>）、交银创业板</w:t>
            </w:r>
            <w:r>
              <w:rPr>
                <w:color w:val="000000"/>
                <w:sz w:val="24"/>
              </w:rPr>
              <w:t>50</w:t>
            </w:r>
            <w:r>
              <w:rPr>
                <w:color w:val="000000"/>
                <w:sz w:val="24"/>
              </w:rPr>
              <w:t>指数、交银国证新能源指数</w:t>
            </w:r>
            <w:r>
              <w:rPr>
                <w:color w:val="000000"/>
                <w:sz w:val="24"/>
              </w:rPr>
              <w:t>(LOF)</w:t>
            </w:r>
            <w:r>
              <w:rPr>
                <w:color w:val="000000"/>
                <w:sz w:val="24"/>
              </w:rPr>
              <w:t>的基金经理，公司量化投资副总监兼多元资产管理副总监</w:t>
            </w:r>
          </w:p>
        </w:tc>
        <w:tc>
          <w:tcPr>
            <w:tcW w:w="851" w:type="dxa"/>
            <w:vAlign w:val="center"/>
          </w:tcPr>
          <w:p w:rsidR="00AE51F5" w:rsidRDefault="009A78F6">
            <w:pPr>
              <w:jc w:val="center"/>
            </w:pPr>
            <w:r>
              <w:rPr>
                <w:color w:val="000000"/>
                <w:sz w:val="24"/>
              </w:rPr>
              <w:t>2019-11-20</w:t>
            </w:r>
          </w:p>
        </w:tc>
        <w:tc>
          <w:tcPr>
            <w:tcW w:w="850" w:type="dxa"/>
            <w:vAlign w:val="center"/>
          </w:tcPr>
          <w:p w:rsidR="00AE51F5" w:rsidRDefault="009A78F6">
            <w:pPr>
              <w:jc w:val="center"/>
            </w:pPr>
            <w:r>
              <w:rPr>
                <w:color w:val="000000"/>
                <w:sz w:val="24"/>
              </w:rPr>
              <w:t>-</w:t>
            </w:r>
          </w:p>
        </w:tc>
        <w:tc>
          <w:tcPr>
            <w:tcW w:w="851" w:type="dxa"/>
            <w:vAlign w:val="center"/>
          </w:tcPr>
          <w:p w:rsidR="00AE51F5" w:rsidRDefault="009A78F6">
            <w:pPr>
              <w:jc w:val="center"/>
            </w:pPr>
            <w:r>
              <w:rPr>
                <w:color w:val="000000"/>
                <w:sz w:val="24"/>
              </w:rPr>
              <w:t>11</w:t>
            </w:r>
            <w:r>
              <w:rPr>
                <w:color w:val="000000"/>
                <w:sz w:val="24"/>
              </w:rPr>
              <w:t>年</w:t>
            </w:r>
          </w:p>
        </w:tc>
        <w:tc>
          <w:tcPr>
            <w:tcW w:w="2977" w:type="dxa"/>
            <w:vAlign w:val="center"/>
          </w:tcPr>
          <w:p w:rsidR="00AE51F5" w:rsidRDefault="009A78F6">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r>
              <w:rPr>
                <w:color w:val="000000"/>
                <w:sz w:val="24"/>
              </w:rPr>
              <w:t>2018</w:t>
            </w:r>
            <w:r>
              <w:rPr>
                <w:color w:val="000000"/>
                <w:sz w:val="24"/>
              </w:rPr>
              <w:t>年</w:t>
            </w:r>
            <w:r>
              <w:rPr>
                <w:color w:val="000000"/>
                <w:sz w:val="24"/>
              </w:rPr>
              <w:t>5</w:t>
            </w:r>
            <w:r>
              <w:rPr>
                <w:color w:val="000000"/>
                <w:sz w:val="24"/>
              </w:rPr>
              <w:t>月</w:t>
            </w:r>
            <w:r>
              <w:rPr>
                <w:color w:val="000000"/>
                <w:sz w:val="24"/>
              </w:rPr>
              <w:t>18</w:t>
            </w:r>
            <w:r>
              <w:rPr>
                <w:color w:val="000000"/>
                <w:sz w:val="24"/>
              </w:rPr>
              <w:t>日至</w:t>
            </w:r>
            <w:r>
              <w:rPr>
                <w:color w:val="000000"/>
                <w:sz w:val="24"/>
              </w:rPr>
              <w:t>2020</w:t>
            </w:r>
            <w:r>
              <w:rPr>
                <w:color w:val="000000"/>
                <w:sz w:val="24"/>
              </w:rPr>
              <w:t>年</w:t>
            </w:r>
            <w:r>
              <w:rPr>
                <w:color w:val="000000"/>
                <w:sz w:val="24"/>
              </w:rPr>
              <w:t>7</w:t>
            </w:r>
            <w:r>
              <w:rPr>
                <w:color w:val="000000"/>
                <w:sz w:val="24"/>
              </w:rPr>
              <w:t>月</w:t>
            </w:r>
            <w:r>
              <w:rPr>
                <w:color w:val="000000"/>
                <w:sz w:val="24"/>
              </w:rPr>
              <w:t>17</w:t>
            </w:r>
            <w:r>
              <w:rPr>
                <w:color w:val="000000"/>
                <w:sz w:val="24"/>
              </w:rPr>
              <w:t>日担任交银施罗德致远量化智投策略定期开放混合型证券投资基金的基金经理。</w:t>
            </w:r>
            <w:r>
              <w:rPr>
                <w:color w:val="000000"/>
                <w:sz w:val="24"/>
              </w:rPr>
              <w:t>2015</w:t>
            </w:r>
            <w:r>
              <w:rPr>
                <w:color w:val="000000"/>
                <w:sz w:val="24"/>
              </w:rPr>
              <w:t>年</w:t>
            </w:r>
            <w:r>
              <w:rPr>
                <w:color w:val="000000"/>
                <w:sz w:val="24"/>
              </w:rPr>
              <w:t>6</w:t>
            </w:r>
            <w:r>
              <w:rPr>
                <w:color w:val="000000"/>
                <w:sz w:val="24"/>
              </w:rPr>
              <w:t>月</w:t>
            </w:r>
            <w:r>
              <w:rPr>
                <w:color w:val="000000"/>
                <w:sz w:val="24"/>
              </w:rPr>
              <w:t>26</w:t>
            </w:r>
            <w:r>
              <w:rPr>
                <w:color w:val="000000"/>
                <w:sz w:val="24"/>
              </w:rPr>
              <w:t>日至</w:t>
            </w:r>
            <w:r>
              <w:rPr>
                <w:color w:val="000000"/>
                <w:sz w:val="24"/>
              </w:rPr>
              <w:t>2020</w:t>
            </w:r>
            <w:r>
              <w:rPr>
                <w:color w:val="000000"/>
                <w:sz w:val="24"/>
              </w:rPr>
              <w:t>年</w:t>
            </w:r>
            <w:r>
              <w:rPr>
                <w:color w:val="000000"/>
                <w:sz w:val="24"/>
              </w:rPr>
              <w:t>11</w:t>
            </w:r>
            <w:r>
              <w:rPr>
                <w:color w:val="000000"/>
                <w:sz w:val="24"/>
              </w:rPr>
              <w:t>月</w:t>
            </w:r>
            <w:r>
              <w:rPr>
                <w:color w:val="000000"/>
                <w:sz w:val="24"/>
              </w:rPr>
              <w:t>25</w:t>
            </w:r>
            <w:r>
              <w:rPr>
                <w:color w:val="000000"/>
                <w:sz w:val="24"/>
              </w:rPr>
              <w:t>日担任</w:t>
            </w:r>
            <w:r>
              <w:rPr>
                <w:color w:val="000000"/>
                <w:sz w:val="24"/>
              </w:rPr>
              <w:t>交银施罗德中证互联网金融指数分级证券投资基金的基金经理。</w:t>
            </w:r>
            <w:r>
              <w:rPr>
                <w:color w:val="000000"/>
                <w:sz w:val="24"/>
              </w:rPr>
              <w:t>2015</w:t>
            </w:r>
            <w:r>
              <w:rPr>
                <w:color w:val="000000"/>
                <w:sz w:val="24"/>
              </w:rPr>
              <w:t>年</w:t>
            </w:r>
            <w:r>
              <w:rPr>
                <w:color w:val="000000"/>
                <w:sz w:val="24"/>
              </w:rPr>
              <w:t>3</w:t>
            </w:r>
            <w:r>
              <w:rPr>
                <w:color w:val="000000"/>
                <w:sz w:val="24"/>
              </w:rPr>
              <w:t>月</w:t>
            </w:r>
            <w:r>
              <w:rPr>
                <w:color w:val="000000"/>
                <w:sz w:val="24"/>
              </w:rPr>
              <w:t>26</w:t>
            </w:r>
            <w:r>
              <w:rPr>
                <w:color w:val="000000"/>
                <w:sz w:val="24"/>
              </w:rPr>
              <w:t>日至</w:t>
            </w:r>
            <w:r>
              <w:rPr>
                <w:color w:val="000000"/>
                <w:sz w:val="24"/>
              </w:rPr>
              <w:t>2020</w:t>
            </w:r>
            <w:r>
              <w:rPr>
                <w:color w:val="000000"/>
                <w:sz w:val="24"/>
              </w:rPr>
              <w:t>年</w:t>
            </w:r>
            <w:r>
              <w:rPr>
                <w:color w:val="000000"/>
                <w:sz w:val="24"/>
              </w:rPr>
              <w:t>11</w:t>
            </w:r>
            <w:r>
              <w:rPr>
                <w:color w:val="000000"/>
                <w:sz w:val="24"/>
              </w:rPr>
              <w:t>月</w:t>
            </w:r>
            <w:r>
              <w:rPr>
                <w:color w:val="000000"/>
                <w:sz w:val="24"/>
              </w:rPr>
              <w:t>29</w:t>
            </w:r>
            <w:r>
              <w:rPr>
                <w:color w:val="000000"/>
                <w:sz w:val="24"/>
              </w:rPr>
              <w:t>日担任交银施罗德国证新能源指数分级证券投资基金的基金经理。</w:t>
            </w:r>
          </w:p>
        </w:tc>
      </w:tr>
    </w:tbl>
    <w:p w:rsidR="00560F37" w:rsidRPr="00232B03" w:rsidRDefault="007467A8" w:rsidP="007467A8">
      <w:pPr>
        <w:autoSpaceDE w:val="0"/>
        <w:autoSpaceDN w:val="0"/>
        <w:adjustRightInd w:val="0"/>
        <w:spacing w:line="360" w:lineRule="auto"/>
        <w:ind w:firstLineChars="200" w:firstLine="480"/>
        <w:jc w:val="left"/>
        <w:rPr>
          <w:color w:val="000000"/>
          <w:sz w:val="24"/>
        </w:rPr>
      </w:pPr>
      <w:r w:rsidRPr="00DF18FE">
        <w:rPr>
          <w:color w:val="000000"/>
          <w:sz w:val="24"/>
        </w:rPr>
        <w:t>注：基金经理（或基金经理小组）期后变动（如有）敬请关注基金管理人发布的相关公告。</w:t>
      </w:r>
    </w:p>
    <w:p w:rsidR="00A62673" w:rsidRPr="00EC5CE0" w:rsidRDefault="00A62673" w:rsidP="00560F37">
      <w:pPr>
        <w:autoSpaceDE w:val="0"/>
        <w:autoSpaceDN w:val="0"/>
        <w:adjustRightInd w:val="0"/>
        <w:spacing w:line="360" w:lineRule="auto"/>
        <w:jc w:val="left"/>
        <w:rPr>
          <w:rFonts w:ascii="宋体" w:cs="Arial"/>
          <w:b/>
          <w:color w:val="000000"/>
          <w:kern w:val="0"/>
          <w:sz w:val="24"/>
        </w:rPr>
      </w:pPr>
      <w:r w:rsidRPr="00EC5CE0">
        <w:rPr>
          <w:rFonts w:ascii="宋体" w:hAnsi="宋体" w:cs="Arial"/>
          <w:b/>
          <w:color w:val="000000"/>
          <w:kern w:val="0"/>
          <w:sz w:val="24"/>
        </w:rPr>
        <w:t>4.2</w:t>
      </w:r>
      <w:r w:rsidRPr="00EC5CE0">
        <w:rPr>
          <w:rFonts w:ascii="宋体" w:hAnsi="宋体" w:hint="eastAsia"/>
          <w:b/>
          <w:bCs/>
          <w:color w:val="000000"/>
          <w:sz w:val="24"/>
        </w:rPr>
        <w:t>管理人对报告期内本基金运作遵规守信情况的说明</w:t>
      </w:r>
    </w:p>
    <w:p w:rsidR="00A62673" w:rsidRPr="00C1648E" w:rsidRDefault="00A62673" w:rsidP="00C1648E">
      <w:pPr>
        <w:spacing w:line="360" w:lineRule="auto"/>
        <w:ind w:firstLineChars="200" w:firstLine="480"/>
        <w:rPr>
          <w:color w:val="000000"/>
          <w:sz w:val="24"/>
        </w:rPr>
      </w:pPr>
      <w:r w:rsidRPr="00DC315B">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A62673" w:rsidRPr="00EC5CE0" w:rsidRDefault="00A62673" w:rsidP="005A2DCB">
      <w:pPr>
        <w:autoSpaceDE w:val="0"/>
        <w:autoSpaceDN w:val="0"/>
        <w:adjustRightInd w:val="0"/>
        <w:spacing w:line="360" w:lineRule="auto"/>
        <w:jc w:val="left"/>
        <w:rPr>
          <w:rFonts w:ascii="宋体" w:cs="Arial"/>
          <w:b/>
          <w:color w:val="000000"/>
          <w:kern w:val="0"/>
          <w:sz w:val="24"/>
        </w:rPr>
      </w:pPr>
      <w:r w:rsidRPr="00EC5CE0">
        <w:rPr>
          <w:rFonts w:ascii="宋体" w:hAnsi="宋体" w:cs="Arial"/>
          <w:b/>
          <w:color w:val="000000"/>
          <w:kern w:val="0"/>
          <w:sz w:val="24"/>
        </w:rPr>
        <w:t xml:space="preserve">4.3 </w:t>
      </w:r>
      <w:r w:rsidRPr="00EC5CE0">
        <w:rPr>
          <w:rFonts w:ascii="宋体" w:hAnsi="宋体" w:cs="Arial" w:hint="eastAsia"/>
          <w:b/>
          <w:color w:val="000000"/>
          <w:kern w:val="0"/>
          <w:sz w:val="24"/>
        </w:rPr>
        <w:t>公平交易专项说明</w:t>
      </w:r>
    </w:p>
    <w:p w:rsidR="00A62673" w:rsidRPr="00EC5CE0" w:rsidRDefault="00A62673" w:rsidP="005A2DCB">
      <w:pPr>
        <w:spacing w:line="360" w:lineRule="auto"/>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sidRPr="00EC5CE0">
          <w:rPr>
            <w:rFonts w:ascii="宋体" w:hAnsi="宋体"/>
            <w:sz w:val="24"/>
          </w:rPr>
          <w:t>4.3.1</w:t>
        </w:r>
      </w:smartTag>
      <w:r w:rsidRPr="00EC5CE0">
        <w:rPr>
          <w:rFonts w:ascii="宋体" w:hAnsi="宋体" w:hint="eastAsia"/>
          <w:sz w:val="24"/>
        </w:rPr>
        <w:t>公平交易制度的执行情况</w:t>
      </w:r>
    </w:p>
    <w:p w:rsidR="00AE51F5" w:rsidRDefault="009A78F6">
      <w:pPr>
        <w:spacing w:line="360"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本公司制定了严格的投资控制制度和公平交易监控制度来保证旗下基金运作的公平，旗下所管理的所有资产组合，包括证券投资基金和私募资产管理计划均严格遵循制度进行公平交易。</w:t>
      </w:r>
    </w:p>
    <w:p w:rsidR="00AE51F5" w:rsidRDefault="009A78F6">
      <w:pPr>
        <w:spacing w:line="360" w:lineRule="auto"/>
        <w:ind w:firstLineChars="200" w:firstLine="480"/>
        <w:rPr>
          <w:color w:val="000000"/>
          <w:sz w:val="24"/>
        </w:rPr>
      </w:pPr>
      <w:r>
        <w:rPr>
          <w:color w:val="000000"/>
          <w:sz w:val="24"/>
        </w:rPr>
        <w:t>公司建立资源共享的投资研究信息平台，确保各投资组合在获得投资信</w:t>
      </w:r>
      <w:r>
        <w:rPr>
          <w:color w:val="000000"/>
          <w:sz w:val="24"/>
        </w:rPr>
        <w:t>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价格优先、时间优先</w:t>
      </w:r>
      <w:r>
        <w:rPr>
          <w:color w:val="000000"/>
          <w:sz w:val="24"/>
        </w:rPr>
        <w:t>”</w:t>
      </w:r>
      <w:r>
        <w:rPr>
          <w:color w:val="000000"/>
          <w:sz w:val="24"/>
        </w:rPr>
        <w:t>的原则，全部通过交易系统进行比例分配；对于非集中竞价交易、以公司名义进行的场外交易，遵循公平交易分配原则对交易结果进行分配。</w:t>
      </w:r>
    </w:p>
    <w:p w:rsidR="00AE51F5" w:rsidRDefault="009A78F6">
      <w:pPr>
        <w:spacing w:line="360"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w:t>
      </w:r>
      <w:r>
        <w:rPr>
          <w:color w:val="000000"/>
          <w:sz w:val="24"/>
        </w:rPr>
        <w:t>析评估和信息披露来加强对公平交易过程和结果的监督。</w:t>
      </w:r>
    </w:p>
    <w:p w:rsidR="00A62673" w:rsidRPr="00DC315B" w:rsidRDefault="00A62673" w:rsidP="005A2769">
      <w:pPr>
        <w:spacing w:line="360" w:lineRule="auto"/>
        <w:ind w:firstLineChars="200" w:firstLine="480"/>
        <w:rPr>
          <w:color w:val="000000"/>
          <w:sz w:val="24"/>
        </w:rPr>
      </w:pPr>
      <w:r w:rsidRPr="00DC315B">
        <w:rPr>
          <w:color w:val="000000"/>
          <w:sz w:val="24"/>
        </w:rPr>
        <w:t>报告期内本公司严格执行公平交易制度，公平对待旗下各投资组合，未发现任何违反公平交易的行为。</w:t>
      </w:r>
    </w:p>
    <w:p w:rsidR="00A62673" w:rsidRPr="00EC5CE0" w:rsidRDefault="00A62673" w:rsidP="005A2DCB">
      <w:pPr>
        <w:spacing w:line="360" w:lineRule="auto"/>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sidRPr="00EC5CE0">
          <w:rPr>
            <w:rFonts w:ascii="宋体" w:hAnsi="宋体"/>
            <w:sz w:val="24"/>
          </w:rPr>
          <w:t>4.3.2</w:t>
        </w:r>
      </w:smartTag>
      <w:r w:rsidRPr="00EC5CE0">
        <w:rPr>
          <w:rFonts w:ascii="宋体" w:hAnsi="宋体" w:hint="eastAsia"/>
          <w:sz w:val="24"/>
        </w:rPr>
        <w:t>异常交易行为的专项说明</w:t>
      </w:r>
    </w:p>
    <w:p w:rsidR="00A62673" w:rsidRPr="00C1648E" w:rsidRDefault="00A62673" w:rsidP="00C1648E">
      <w:pPr>
        <w:spacing w:line="360" w:lineRule="auto"/>
        <w:ind w:firstLineChars="200" w:firstLine="480"/>
        <w:rPr>
          <w:color w:val="000000"/>
          <w:sz w:val="24"/>
        </w:rPr>
      </w:pPr>
      <w:r w:rsidRPr="00DC315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DC315B">
        <w:rPr>
          <w:color w:val="000000"/>
          <w:sz w:val="24"/>
        </w:rPr>
        <w:t>5%</w:t>
      </w:r>
      <w:r w:rsidRPr="00DC315B">
        <w:rPr>
          <w:color w:val="000000"/>
          <w:sz w:val="24"/>
        </w:rPr>
        <w:t>的情形，本基金与本公司管理的其他投资组合在不同时间窗下（如日内、</w:t>
      </w:r>
      <w:r w:rsidRPr="00DC315B">
        <w:rPr>
          <w:color w:val="000000"/>
          <w:sz w:val="24"/>
        </w:rPr>
        <w:t>3</w:t>
      </w:r>
      <w:r w:rsidRPr="00DC315B">
        <w:rPr>
          <w:color w:val="000000"/>
          <w:sz w:val="24"/>
        </w:rPr>
        <w:t>日内、</w:t>
      </w:r>
      <w:r w:rsidRPr="00DC315B">
        <w:rPr>
          <w:color w:val="000000"/>
          <w:sz w:val="24"/>
        </w:rPr>
        <w:t>5</w:t>
      </w:r>
      <w:r w:rsidRPr="00DC315B">
        <w:rPr>
          <w:color w:val="000000"/>
          <w:sz w:val="24"/>
        </w:rPr>
        <w:t>日内）同向交易的交易价差未出现异常。</w:t>
      </w:r>
    </w:p>
    <w:p w:rsidR="00A62673" w:rsidRPr="00EC5CE0" w:rsidRDefault="00A62673" w:rsidP="005A2DCB">
      <w:pPr>
        <w:autoSpaceDE w:val="0"/>
        <w:autoSpaceDN w:val="0"/>
        <w:adjustRightInd w:val="0"/>
        <w:spacing w:line="360" w:lineRule="auto"/>
        <w:jc w:val="left"/>
        <w:rPr>
          <w:rFonts w:ascii="宋体" w:cs="Arial"/>
          <w:b/>
          <w:color w:val="000000"/>
          <w:kern w:val="0"/>
          <w:sz w:val="24"/>
        </w:rPr>
      </w:pPr>
      <w:r w:rsidRPr="00EC5CE0">
        <w:rPr>
          <w:rFonts w:ascii="宋体" w:hAnsi="宋体" w:cs="Arial"/>
          <w:b/>
          <w:color w:val="000000"/>
          <w:kern w:val="0"/>
          <w:sz w:val="24"/>
        </w:rPr>
        <w:t xml:space="preserve">4.4 </w:t>
      </w:r>
      <w:r w:rsidRPr="00EC5CE0">
        <w:rPr>
          <w:rFonts w:ascii="宋体" w:hAnsi="宋体" w:cs="Arial" w:hint="eastAsia"/>
          <w:b/>
          <w:color w:val="000000"/>
          <w:kern w:val="0"/>
          <w:sz w:val="24"/>
        </w:rPr>
        <w:t>报告期内基金的投资策略和</w:t>
      </w:r>
      <w:r w:rsidR="00D70274">
        <w:rPr>
          <w:rFonts w:ascii="宋体" w:hAnsi="宋体" w:cs="Arial" w:hint="eastAsia"/>
          <w:b/>
          <w:color w:val="000000"/>
          <w:kern w:val="0"/>
          <w:sz w:val="24"/>
        </w:rPr>
        <w:t>运作分析</w:t>
      </w:r>
    </w:p>
    <w:p w:rsidR="00AE51F5" w:rsidRDefault="009A78F6">
      <w:pPr>
        <w:spacing w:line="360" w:lineRule="auto"/>
        <w:ind w:firstLineChars="200" w:firstLine="480"/>
        <w:rPr>
          <w:color w:val="000000"/>
          <w:sz w:val="24"/>
        </w:rPr>
      </w:pPr>
      <w:r>
        <w:rPr>
          <w:color w:val="000000"/>
          <w:sz w:val="24"/>
        </w:rPr>
        <w:t>2020</w:t>
      </w:r>
      <w:r>
        <w:rPr>
          <w:color w:val="000000"/>
          <w:sz w:val="24"/>
        </w:rPr>
        <w:t>年第四季度，经过前两个季度的稳步修复，国内经济加速势头进一步显现。需求端，社会消费品零售总额、固定资产投资与出口增速持续提升；生产端，规模以上工业增加值及服务业生产指数也均呈现同比加速增长趋势。国内就业保持总体稳定，市场发展活力增强，中国预计将成为</w:t>
      </w:r>
      <w:r>
        <w:rPr>
          <w:color w:val="000000"/>
          <w:sz w:val="24"/>
        </w:rPr>
        <w:t>2020</w:t>
      </w:r>
      <w:r>
        <w:rPr>
          <w:color w:val="000000"/>
          <w:sz w:val="24"/>
        </w:rPr>
        <w:t>年全球唯一实现正增长的主要经济体。在国内经济稳步向好的背景下，投资者风险偏好显著提升，四季度</w:t>
      </w:r>
      <w:r>
        <w:rPr>
          <w:color w:val="000000"/>
          <w:sz w:val="24"/>
        </w:rPr>
        <w:t>A</w:t>
      </w:r>
      <w:r>
        <w:rPr>
          <w:color w:val="000000"/>
          <w:sz w:val="24"/>
        </w:rPr>
        <w:t>股市场震荡上行，作为跟踪基准指数的指数基金，四季度基金总体呈现上行态势。</w:t>
      </w:r>
    </w:p>
    <w:p w:rsidR="00A62673" w:rsidRPr="00DC315B" w:rsidRDefault="00A62673" w:rsidP="005A2769">
      <w:pPr>
        <w:spacing w:line="360" w:lineRule="auto"/>
        <w:ind w:firstLineChars="200" w:firstLine="480"/>
        <w:rPr>
          <w:color w:val="000000"/>
          <w:sz w:val="24"/>
        </w:rPr>
      </w:pPr>
      <w:r w:rsidRPr="00DC315B">
        <w:rPr>
          <w:color w:val="000000"/>
          <w:sz w:val="24"/>
        </w:rPr>
        <w:t>展望</w:t>
      </w:r>
      <w:r w:rsidRPr="00DC315B">
        <w:rPr>
          <w:color w:val="000000"/>
          <w:sz w:val="24"/>
        </w:rPr>
        <w:t>2021</w:t>
      </w:r>
      <w:r w:rsidRPr="00DC315B">
        <w:rPr>
          <w:color w:val="000000"/>
          <w:sz w:val="24"/>
        </w:rPr>
        <w:t>年一季度，国内经济大概率将持续恢复，海外供需缺口将继续驱动国内出口维持较高景气，需求增长有望带动企业整体利润水平提升。流动性方面，货币政策保持灵活适度，同时公募、保险与银行理财资金仍有望稳步流入，股票市场流动性或将保持合理充裕。政策层面，注册制的全面推进有助于加快资本市场优胜劣汰和良性循环，从而优化上市公司质量。总体而言，从中长期来看我们对</w:t>
      </w:r>
      <w:r w:rsidRPr="00DC315B">
        <w:rPr>
          <w:color w:val="000000"/>
          <w:sz w:val="24"/>
        </w:rPr>
        <w:t>A</w:t>
      </w:r>
      <w:r w:rsidRPr="00DC315B">
        <w:rPr>
          <w:color w:val="000000"/>
          <w:sz w:val="24"/>
        </w:rPr>
        <w:t>股市场维持谨慎乐观的看法。</w:t>
      </w:r>
    </w:p>
    <w:p w:rsidR="00A62673" w:rsidRPr="00E72A13" w:rsidRDefault="00A62673" w:rsidP="005A2DCB">
      <w:pPr>
        <w:spacing w:line="360" w:lineRule="auto"/>
        <w:rPr>
          <w:rFonts w:ascii="宋体" w:hAnsi="宋体" w:cs="Arial"/>
          <w:b/>
          <w:color w:val="000000"/>
          <w:kern w:val="0"/>
          <w:sz w:val="24"/>
        </w:rPr>
      </w:pPr>
      <w:r w:rsidRPr="00E72A13">
        <w:rPr>
          <w:rFonts w:ascii="宋体" w:hAnsi="宋体" w:cs="Arial"/>
          <w:b/>
          <w:color w:val="000000"/>
          <w:kern w:val="0"/>
          <w:sz w:val="24"/>
        </w:rPr>
        <w:t>4.</w:t>
      </w:r>
      <w:r w:rsidR="00E72A13">
        <w:rPr>
          <w:rFonts w:ascii="宋体" w:hAnsi="宋体" w:cs="Arial"/>
          <w:b/>
          <w:color w:val="000000"/>
          <w:kern w:val="0"/>
          <w:sz w:val="24"/>
        </w:rPr>
        <w:t>5</w:t>
      </w:r>
      <w:r w:rsidRPr="00E72A13">
        <w:rPr>
          <w:rFonts w:ascii="宋体" w:hAnsi="宋体" w:cs="Arial" w:hint="eastAsia"/>
          <w:b/>
          <w:color w:val="000000"/>
          <w:kern w:val="0"/>
          <w:sz w:val="24"/>
        </w:rPr>
        <w:t>报告期内基金的业绩表现</w:t>
      </w:r>
    </w:p>
    <w:p w:rsidR="00A62673" w:rsidRPr="00C1648E" w:rsidRDefault="00A62673" w:rsidP="00C1648E">
      <w:pPr>
        <w:spacing w:line="360" w:lineRule="auto"/>
        <w:ind w:firstLineChars="200" w:firstLine="480"/>
        <w:rPr>
          <w:color w:val="000000"/>
          <w:sz w:val="24"/>
        </w:rPr>
      </w:pPr>
      <w:r w:rsidRPr="00DC315B">
        <w:rPr>
          <w:color w:val="000000"/>
          <w:sz w:val="24"/>
        </w:rPr>
        <w:t>本基金（各类）份额净值及业绩表现请见</w:t>
      </w:r>
      <w:r w:rsidRPr="00DC315B">
        <w:rPr>
          <w:color w:val="000000"/>
          <w:sz w:val="24"/>
        </w:rPr>
        <w:t>“3.1</w:t>
      </w:r>
      <w:r w:rsidRPr="00DC315B">
        <w:rPr>
          <w:color w:val="000000"/>
          <w:sz w:val="24"/>
        </w:rPr>
        <w:t>主要财务指标</w:t>
      </w:r>
      <w:r w:rsidRPr="00DC315B">
        <w:rPr>
          <w:color w:val="000000"/>
          <w:sz w:val="24"/>
        </w:rPr>
        <w:t xml:space="preserve">” </w:t>
      </w:r>
      <w:r w:rsidRPr="00DC315B">
        <w:rPr>
          <w:color w:val="000000"/>
          <w:sz w:val="24"/>
        </w:rPr>
        <w:t>及</w:t>
      </w:r>
      <w:r w:rsidRPr="00DC315B">
        <w:rPr>
          <w:color w:val="000000"/>
          <w:sz w:val="24"/>
        </w:rPr>
        <w:t xml:space="preserve">“3.2.1 </w:t>
      </w:r>
      <w:r w:rsidRPr="00DC315B">
        <w:rPr>
          <w:color w:val="000000"/>
          <w:sz w:val="24"/>
        </w:rPr>
        <w:t>本报告期基金份额净值增长率及其与同期业绩比较基准收益率的比较</w:t>
      </w:r>
      <w:r w:rsidRPr="00DC315B">
        <w:rPr>
          <w:color w:val="000000"/>
          <w:sz w:val="24"/>
        </w:rPr>
        <w:t>”</w:t>
      </w:r>
      <w:r w:rsidRPr="00DC315B">
        <w:rPr>
          <w:color w:val="000000"/>
          <w:sz w:val="24"/>
        </w:rPr>
        <w:t>部分披露。</w:t>
      </w:r>
    </w:p>
    <w:p w:rsidR="00701A03" w:rsidRPr="00701A03" w:rsidRDefault="00701A03" w:rsidP="00701A03">
      <w:pPr>
        <w:autoSpaceDE w:val="0"/>
        <w:autoSpaceDN w:val="0"/>
        <w:adjustRightInd w:val="0"/>
        <w:spacing w:line="360" w:lineRule="auto"/>
        <w:jc w:val="left"/>
        <w:rPr>
          <w:rFonts w:ascii="宋体" w:hAnsi="宋体" w:cs="Arial"/>
          <w:b/>
          <w:color w:val="000000"/>
          <w:kern w:val="0"/>
          <w:sz w:val="24"/>
        </w:rPr>
      </w:pPr>
      <w:r w:rsidRPr="00701A03">
        <w:rPr>
          <w:rFonts w:ascii="宋体" w:hAnsi="宋体" w:cs="Arial"/>
          <w:b/>
          <w:color w:val="000000"/>
          <w:kern w:val="0"/>
          <w:sz w:val="24"/>
        </w:rPr>
        <w:t>4</w:t>
      </w:r>
      <w:r w:rsidR="008E2983">
        <w:rPr>
          <w:rFonts w:ascii="宋体" w:hAnsi="宋体" w:cs="Arial" w:hint="eastAsia"/>
          <w:b/>
          <w:color w:val="000000"/>
          <w:kern w:val="0"/>
          <w:sz w:val="24"/>
        </w:rPr>
        <w:t>.</w:t>
      </w:r>
      <w:r w:rsidRPr="00701A03">
        <w:rPr>
          <w:rFonts w:ascii="宋体" w:hAnsi="宋体" w:cs="Arial" w:hint="eastAsia"/>
          <w:b/>
          <w:color w:val="000000"/>
          <w:kern w:val="0"/>
          <w:sz w:val="24"/>
        </w:rPr>
        <w:t>6报告期内基金持有人数或基金资产净值预警说明</w:t>
      </w:r>
    </w:p>
    <w:p w:rsidR="00701A03" w:rsidRPr="00942DF0" w:rsidRDefault="00701A03" w:rsidP="00942DF0">
      <w:pPr>
        <w:spacing w:line="360" w:lineRule="auto"/>
        <w:ind w:firstLineChars="200" w:firstLine="480"/>
        <w:rPr>
          <w:color w:val="000000"/>
          <w:sz w:val="24"/>
        </w:rPr>
      </w:pPr>
      <w:r w:rsidRPr="00942DF0">
        <w:rPr>
          <w:color w:val="000000"/>
          <w:sz w:val="24"/>
        </w:rPr>
        <w:t>本基金本报告期内无需预警说明。</w:t>
      </w:r>
    </w:p>
    <w:p w:rsidR="00701A03" w:rsidRPr="00DC315B" w:rsidRDefault="00701A03" w:rsidP="005A2769">
      <w:pPr>
        <w:spacing w:line="360" w:lineRule="auto"/>
        <w:ind w:firstLineChars="200" w:firstLine="480"/>
        <w:rPr>
          <w:color w:val="000000"/>
          <w:sz w:val="24"/>
        </w:rPr>
      </w:pPr>
    </w:p>
    <w:p w:rsidR="00A62673" w:rsidRPr="00EC5CE0" w:rsidRDefault="00A62673" w:rsidP="00F729DC">
      <w:pPr>
        <w:pStyle w:val="1"/>
        <w:spacing w:beforeLines="100" w:before="312" w:afterLines="100" w:after="312" w:line="360" w:lineRule="auto"/>
        <w:jc w:val="center"/>
        <w:rPr>
          <w:rFonts w:ascii="宋体" w:cs="Arial"/>
          <w:color w:val="000000"/>
          <w:kern w:val="0"/>
          <w:sz w:val="24"/>
          <w:szCs w:val="24"/>
        </w:rPr>
      </w:pPr>
      <w:r w:rsidRPr="00EC5CE0">
        <w:rPr>
          <w:rFonts w:ascii="宋体" w:hAnsi="宋体" w:cs="Arial" w:hint="eastAsia"/>
          <w:color w:val="000000"/>
          <w:kern w:val="0"/>
          <w:sz w:val="24"/>
          <w:szCs w:val="24"/>
        </w:rPr>
        <w:t>§</w:t>
      </w:r>
      <w:r w:rsidRPr="00EC5CE0">
        <w:rPr>
          <w:rFonts w:ascii="宋体" w:hAnsi="宋体" w:cs="Arial"/>
          <w:color w:val="000000"/>
          <w:kern w:val="0"/>
          <w:sz w:val="24"/>
          <w:szCs w:val="24"/>
        </w:rPr>
        <w:t xml:space="preserve">5  </w:t>
      </w:r>
      <w:r w:rsidRPr="00EC5CE0">
        <w:rPr>
          <w:rFonts w:ascii="宋体" w:hAnsi="宋体" w:cs="Arial" w:hint="eastAsia"/>
          <w:color w:val="000000"/>
          <w:kern w:val="0"/>
          <w:sz w:val="24"/>
          <w:szCs w:val="24"/>
        </w:rPr>
        <w:t>投资组合报告</w:t>
      </w:r>
    </w:p>
    <w:p w:rsidR="00A62673" w:rsidRPr="00EC5CE0" w:rsidRDefault="00A62673" w:rsidP="00045BEC">
      <w:pPr>
        <w:autoSpaceDE w:val="0"/>
        <w:autoSpaceDN w:val="0"/>
        <w:adjustRightInd w:val="0"/>
        <w:spacing w:line="360" w:lineRule="auto"/>
        <w:jc w:val="left"/>
        <w:rPr>
          <w:rFonts w:ascii="宋体" w:cs="Arial"/>
          <w:b/>
          <w:color w:val="000000"/>
          <w:kern w:val="0"/>
          <w:sz w:val="24"/>
        </w:rPr>
      </w:pPr>
      <w:r w:rsidRPr="00EC5CE0">
        <w:rPr>
          <w:rFonts w:ascii="宋体" w:hAnsi="宋体" w:cs="Arial"/>
          <w:b/>
          <w:color w:val="000000"/>
          <w:kern w:val="0"/>
          <w:sz w:val="24"/>
        </w:rPr>
        <w:t xml:space="preserve">5.1 </w:t>
      </w:r>
      <w:r w:rsidRPr="00EC5CE0">
        <w:rPr>
          <w:rFonts w:ascii="宋体" w:hAnsi="宋体" w:cs="Arial" w:hint="eastAsia"/>
          <w:b/>
          <w:color w:val="000000"/>
          <w:kern w:val="0"/>
          <w:sz w:val="24"/>
        </w:rPr>
        <w:t>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3357"/>
        <w:gridCol w:w="2977"/>
        <w:gridCol w:w="1843"/>
      </w:tblGrid>
      <w:tr w:rsidR="00A62673" w:rsidRPr="00264E55" w:rsidTr="006B315F">
        <w:trPr>
          <w:jc w:val="center"/>
        </w:trPr>
        <w:tc>
          <w:tcPr>
            <w:tcW w:w="720" w:type="dxa"/>
            <w:vAlign w:val="center"/>
          </w:tcPr>
          <w:p w:rsidR="00A62673" w:rsidRPr="00C1648E" w:rsidRDefault="00A62673" w:rsidP="006B315F">
            <w:pPr>
              <w:spacing w:before="29" w:line="360" w:lineRule="auto"/>
              <w:ind w:left="17"/>
              <w:jc w:val="center"/>
              <w:rPr>
                <w:color w:val="000000"/>
                <w:sz w:val="24"/>
              </w:rPr>
            </w:pPr>
            <w:r w:rsidRPr="00C1648E">
              <w:rPr>
                <w:color w:val="000000"/>
                <w:sz w:val="24"/>
              </w:rPr>
              <w:t>序号</w:t>
            </w:r>
          </w:p>
        </w:tc>
        <w:tc>
          <w:tcPr>
            <w:tcW w:w="3357" w:type="dxa"/>
            <w:vAlign w:val="center"/>
          </w:tcPr>
          <w:p w:rsidR="00A62673" w:rsidRPr="00C1648E" w:rsidRDefault="00A62673" w:rsidP="006B315F">
            <w:pPr>
              <w:spacing w:before="29" w:line="360" w:lineRule="auto"/>
              <w:ind w:left="17"/>
              <w:jc w:val="center"/>
              <w:rPr>
                <w:color w:val="000000"/>
                <w:sz w:val="24"/>
              </w:rPr>
            </w:pPr>
            <w:r w:rsidRPr="00C1648E">
              <w:rPr>
                <w:color w:val="000000"/>
                <w:sz w:val="24"/>
              </w:rPr>
              <w:t>项目</w:t>
            </w:r>
          </w:p>
        </w:tc>
        <w:tc>
          <w:tcPr>
            <w:tcW w:w="2977" w:type="dxa"/>
            <w:vAlign w:val="center"/>
          </w:tcPr>
          <w:p w:rsidR="00A62673" w:rsidRPr="00C1648E" w:rsidRDefault="00A62673" w:rsidP="005A2769">
            <w:pPr>
              <w:spacing w:before="29" w:line="360" w:lineRule="auto"/>
              <w:ind w:left="17"/>
              <w:jc w:val="center"/>
              <w:rPr>
                <w:color w:val="000000"/>
                <w:sz w:val="24"/>
              </w:rPr>
            </w:pPr>
            <w:r w:rsidRPr="00C1648E">
              <w:rPr>
                <w:color w:val="000000"/>
                <w:sz w:val="24"/>
              </w:rPr>
              <w:t>金额</w:t>
            </w:r>
            <w:r w:rsidR="005A2769" w:rsidRPr="00C1648E">
              <w:rPr>
                <w:color w:val="000000"/>
                <w:sz w:val="24"/>
              </w:rPr>
              <w:t>（元）</w:t>
            </w:r>
          </w:p>
        </w:tc>
        <w:tc>
          <w:tcPr>
            <w:tcW w:w="1843" w:type="dxa"/>
            <w:vAlign w:val="center"/>
          </w:tcPr>
          <w:p w:rsidR="00A62673" w:rsidRPr="00C1648E" w:rsidRDefault="00A62673" w:rsidP="005A2769">
            <w:pPr>
              <w:spacing w:before="29" w:line="360" w:lineRule="auto"/>
              <w:ind w:left="17"/>
              <w:jc w:val="center"/>
              <w:rPr>
                <w:color w:val="000000"/>
                <w:sz w:val="24"/>
              </w:rPr>
            </w:pPr>
            <w:r w:rsidRPr="00C1648E">
              <w:rPr>
                <w:color w:val="000000"/>
                <w:sz w:val="24"/>
              </w:rPr>
              <w:t>占基金总资产的比例</w:t>
            </w:r>
            <w:r w:rsidR="005A2769" w:rsidRPr="00C1648E">
              <w:rPr>
                <w:color w:val="000000"/>
                <w:sz w:val="24"/>
              </w:rPr>
              <w:t>（</w:t>
            </w:r>
            <w:r w:rsidR="005A2769" w:rsidRPr="00C1648E">
              <w:rPr>
                <w:color w:val="000000"/>
                <w:sz w:val="24"/>
              </w:rPr>
              <w:t>%</w:t>
            </w:r>
            <w:r w:rsidR="005A2769" w:rsidRPr="00C1648E">
              <w:rPr>
                <w:color w:val="000000"/>
                <w:sz w:val="24"/>
              </w:rPr>
              <w:t>）</w:t>
            </w:r>
          </w:p>
        </w:tc>
      </w:tr>
      <w:tr w:rsidR="00A62673" w:rsidRPr="00264E55" w:rsidTr="006B315F">
        <w:trPr>
          <w:jc w:val="center"/>
        </w:trPr>
        <w:tc>
          <w:tcPr>
            <w:tcW w:w="720" w:type="dxa"/>
            <w:vAlign w:val="center"/>
          </w:tcPr>
          <w:p w:rsidR="00A62673" w:rsidRPr="00C1648E" w:rsidRDefault="00A62673" w:rsidP="006B315F">
            <w:pPr>
              <w:spacing w:before="29" w:line="360" w:lineRule="auto"/>
              <w:ind w:left="17"/>
              <w:jc w:val="center"/>
              <w:rPr>
                <w:color w:val="000000"/>
                <w:sz w:val="24"/>
              </w:rPr>
            </w:pPr>
            <w:r w:rsidRPr="00C1648E">
              <w:rPr>
                <w:color w:val="000000"/>
                <w:sz w:val="24"/>
              </w:rPr>
              <w:t>1</w:t>
            </w:r>
          </w:p>
        </w:tc>
        <w:tc>
          <w:tcPr>
            <w:tcW w:w="3357" w:type="dxa"/>
            <w:vAlign w:val="center"/>
          </w:tcPr>
          <w:p w:rsidR="00A62673" w:rsidRPr="00C1648E" w:rsidRDefault="00A62673" w:rsidP="006B315F">
            <w:pPr>
              <w:spacing w:before="29" w:line="360" w:lineRule="auto"/>
              <w:ind w:left="17"/>
              <w:jc w:val="left"/>
              <w:rPr>
                <w:sz w:val="24"/>
              </w:rPr>
            </w:pPr>
            <w:r w:rsidRPr="00C1648E">
              <w:rPr>
                <w:color w:val="000000"/>
                <w:sz w:val="24"/>
              </w:rPr>
              <w:t>权益投资</w:t>
            </w:r>
          </w:p>
        </w:tc>
        <w:tc>
          <w:tcPr>
            <w:tcW w:w="2977" w:type="dxa"/>
            <w:vAlign w:val="center"/>
          </w:tcPr>
          <w:p w:rsidR="00A62673" w:rsidRPr="00C1648E" w:rsidRDefault="00A62673" w:rsidP="006B315F">
            <w:pPr>
              <w:spacing w:before="29" w:line="360" w:lineRule="auto"/>
              <w:ind w:left="17"/>
              <w:jc w:val="right"/>
              <w:rPr>
                <w:color w:val="000000"/>
                <w:sz w:val="24"/>
              </w:rPr>
            </w:pPr>
            <w:r w:rsidRPr="00C1648E">
              <w:rPr>
                <w:color w:val="000000"/>
                <w:sz w:val="24"/>
              </w:rPr>
              <w:t>1,028,357,872.53</w:t>
            </w:r>
          </w:p>
        </w:tc>
        <w:tc>
          <w:tcPr>
            <w:tcW w:w="1843" w:type="dxa"/>
            <w:vAlign w:val="center"/>
          </w:tcPr>
          <w:p w:rsidR="00A62673" w:rsidRPr="00C1648E" w:rsidRDefault="00A62673" w:rsidP="006B315F">
            <w:pPr>
              <w:spacing w:before="29" w:line="360" w:lineRule="auto"/>
              <w:ind w:left="17"/>
              <w:jc w:val="right"/>
              <w:rPr>
                <w:color w:val="000000"/>
                <w:sz w:val="24"/>
              </w:rPr>
            </w:pPr>
            <w:r w:rsidRPr="00C1648E">
              <w:rPr>
                <w:color w:val="000000"/>
                <w:sz w:val="24"/>
              </w:rPr>
              <w:t>91.28</w:t>
            </w:r>
          </w:p>
        </w:tc>
      </w:tr>
      <w:tr w:rsidR="00A62673" w:rsidRPr="00264E55" w:rsidTr="006B315F">
        <w:trPr>
          <w:jc w:val="center"/>
        </w:trPr>
        <w:tc>
          <w:tcPr>
            <w:tcW w:w="720" w:type="dxa"/>
            <w:vAlign w:val="center"/>
          </w:tcPr>
          <w:p w:rsidR="00A62673" w:rsidRPr="00C1648E" w:rsidRDefault="00A62673" w:rsidP="006B315F">
            <w:pPr>
              <w:spacing w:before="29" w:line="360" w:lineRule="auto"/>
              <w:ind w:left="17"/>
              <w:jc w:val="center"/>
              <w:rPr>
                <w:color w:val="000000"/>
                <w:sz w:val="24"/>
              </w:rPr>
            </w:pPr>
          </w:p>
        </w:tc>
        <w:tc>
          <w:tcPr>
            <w:tcW w:w="3357" w:type="dxa"/>
            <w:vAlign w:val="center"/>
          </w:tcPr>
          <w:p w:rsidR="00A62673" w:rsidRPr="00C1648E" w:rsidRDefault="00A62673" w:rsidP="006B315F">
            <w:pPr>
              <w:spacing w:before="29" w:line="360" w:lineRule="auto"/>
              <w:ind w:left="17"/>
              <w:jc w:val="left"/>
              <w:rPr>
                <w:sz w:val="24"/>
              </w:rPr>
            </w:pPr>
            <w:r w:rsidRPr="00C1648E">
              <w:rPr>
                <w:color w:val="000000"/>
                <w:sz w:val="24"/>
              </w:rPr>
              <w:t>其中：股票</w:t>
            </w:r>
          </w:p>
        </w:tc>
        <w:tc>
          <w:tcPr>
            <w:tcW w:w="2977" w:type="dxa"/>
            <w:vAlign w:val="center"/>
          </w:tcPr>
          <w:p w:rsidR="00A62673" w:rsidRPr="00C1648E" w:rsidRDefault="00A62673" w:rsidP="006B315F">
            <w:pPr>
              <w:spacing w:before="29" w:line="360" w:lineRule="auto"/>
              <w:ind w:left="17"/>
              <w:jc w:val="right"/>
              <w:rPr>
                <w:color w:val="000000"/>
                <w:sz w:val="24"/>
              </w:rPr>
            </w:pPr>
            <w:r w:rsidRPr="00C1648E">
              <w:rPr>
                <w:color w:val="000000"/>
                <w:sz w:val="24"/>
              </w:rPr>
              <w:t>1,028,357,872.53</w:t>
            </w:r>
          </w:p>
        </w:tc>
        <w:tc>
          <w:tcPr>
            <w:tcW w:w="1843" w:type="dxa"/>
            <w:vAlign w:val="center"/>
          </w:tcPr>
          <w:p w:rsidR="00A62673" w:rsidRPr="00C1648E" w:rsidRDefault="00A62673" w:rsidP="006B315F">
            <w:pPr>
              <w:spacing w:before="29" w:line="360" w:lineRule="auto"/>
              <w:ind w:left="17"/>
              <w:jc w:val="right"/>
              <w:rPr>
                <w:color w:val="000000"/>
                <w:sz w:val="24"/>
              </w:rPr>
            </w:pPr>
            <w:r w:rsidRPr="00C1648E">
              <w:rPr>
                <w:color w:val="000000"/>
                <w:sz w:val="24"/>
              </w:rPr>
              <w:t>91.28</w:t>
            </w:r>
          </w:p>
        </w:tc>
      </w:tr>
      <w:tr w:rsidR="00E72A13" w:rsidRPr="00264E55" w:rsidTr="006B315F">
        <w:trPr>
          <w:jc w:val="center"/>
        </w:trPr>
        <w:tc>
          <w:tcPr>
            <w:tcW w:w="720" w:type="dxa"/>
            <w:vAlign w:val="center"/>
          </w:tcPr>
          <w:p w:rsidR="00E72A13" w:rsidRPr="00EB4CB3" w:rsidRDefault="00E72A13" w:rsidP="00E72A13">
            <w:pPr>
              <w:adjustRightInd w:val="0"/>
              <w:snapToGrid w:val="0"/>
              <w:spacing w:line="400" w:lineRule="exact"/>
              <w:jc w:val="center"/>
              <w:rPr>
                <w:rFonts w:eastAsiaTheme="minorEastAsia"/>
                <w:color w:val="000000"/>
                <w:sz w:val="24"/>
              </w:rPr>
            </w:pPr>
            <w:r w:rsidRPr="00EB4CB3">
              <w:rPr>
                <w:rFonts w:eastAsiaTheme="minorEastAsia"/>
                <w:color w:val="000000"/>
                <w:sz w:val="24"/>
              </w:rPr>
              <w:t>2</w:t>
            </w:r>
          </w:p>
        </w:tc>
        <w:tc>
          <w:tcPr>
            <w:tcW w:w="3357" w:type="dxa"/>
            <w:vAlign w:val="center"/>
          </w:tcPr>
          <w:p w:rsidR="00E72A13" w:rsidRPr="00EB4CB3" w:rsidRDefault="00E72A13" w:rsidP="00E72A13">
            <w:pPr>
              <w:adjustRightInd w:val="0"/>
              <w:snapToGrid w:val="0"/>
              <w:spacing w:line="400" w:lineRule="exact"/>
              <w:rPr>
                <w:rFonts w:eastAsiaTheme="minorEastAsia"/>
                <w:color w:val="000000"/>
                <w:sz w:val="24"/>
              </w:rPr>
            </w:pPr>
            <w:r w:rsidRPr="00EB4CB3">
              <w:rPr>
                <w:rFonts w:eastAsiaTheme="minorEastAsia"/>
                <w:color w:val="000000"/>
                <w:sz w:val="24"/>
              </w:rPr>
              <w:t>基金投资</w:t>
            </w:r>
          </w:p>
        </w:tc>
        <w:tc>
          <w:tcPr>
            <w:tcW w:w="2977" w:type="dxa"/>
            <w:vAlign w:val="center"/>
          </w:tcPr>
          <w:p w:rsidR="00E72A13" w:rsidRPr="00EB4CB3" w:rsidRDefault="00E72A13" w:rsidP="00E72A13">
            <w:pPr>
              <w:spacing w:before="29" w:line="360" w:lineRule="auto"/>
              <w:ind w:left="17"/>
              <w:jc w:val="right"/>
              <w:rPr>
                <w:rFonts w:eastAsiaTheme="minorEastAsia"/>
                <w:color w:val="000000"/>
                <w:sz w:val="24"/>
              </w:rPr>
            </w:pPr>
            <w:r w:rsidRPr="00EB4CB3">
              <w:rPr>
                <w:rFonts w:eastAsiaTheme="minorEastAsia"/>
                <w:color w:val="000000"/>
                <w:sz w:val="24"/>
              </w:rPr>
              <w:t>-</w:t>
            </w:r>
          </w:p>
        </w:tc>
        <w:tc>
          <w:tcPr>
            <w:tcW w:w="1843" w:type="dxa"/>
            <w:vAlign w:val="center"/>
          </w:tcPr>
          <w:p w:rsidR="00E72A13" w:rsidRPr="00EB4CB3" w:rsidRDefault="00E72A13" w:rsidP="00E72A13">
            <w:pPr>
              <w:spacing w:before="29" w:line="360" w:lineRule="auto"/>
              <w:ind w:left="17"/>
              <w:jc w:val="right"/>
              <w:rPr>
                <w:rFonts w:eastAsiaTheme="minorEastAsia"/>
                <w:color w:val="000000"/>
                <w:sz w:val="24"/>
              </w:rPr>
            </w:pPr>
            <w:r w:rsidRPr="00EB4CB3">
              <w:rPr>
                <w:rFonts w:eastAsiaTheme="minorEastAsia"/>
                <w:color w:val="000000"/>
                <w:sz w:val="24"/>
              </w:rPr>
              <w:t>-</w:t>
            </w:r>
          </w:p>
        </w:tc>
      </w:tr>
      <w:tr w:rsidR="00E72A13" w:rsidRPr="00264E55" w:rsidTr="006B315F">
        <w:trPr>
          <w:jc w:val="center"/>
        </w:trPr>
        <w:tc>
          <w:tcPr>
            <w:tcW w:w="720" w:type="dxa"/>
            <w:vAlign w:val="center"/>
          </w:tcPr>
          <w:p w:rsidR="00E72A13" w:rsidRPr="00C1648E" w:rsidRDefault="00E72A13" w:rsidP="00E72A13">
            <w:pPr>
              <w:spacing w:before="29" w:line="360" w:lineRule="auto"/>
              <w:ind w:left="17"/>
              <w:jc w:val="center"/>
              <w:rPr>
                <w:color w:val="000000"/>
                <w:sz w:val="24"/>
              </w:rPr>
            </w:pPr>
            <w:r>
              <w:rPr>
                <w:color w:val="000000"/>
                <w:sz w:val="24"/>
              </w:rPr>
              <w:t>3</w:t>
            </w:r>
          </w:p>
        </w:tc>
        <w:tc>
          <w:tcPr>
            <w:tcW w:w="3357" w:type="dxa"/>
            <w:vAlign w:val="center"/>
          </w:tcPr>
          <w:p w:rsidR="00E72A13" w:rsidRPr="00C1648E" w:rsidRDefault="00E72A13" w:rsidP="00E72A13">
            <w:pPr>
              <w:spacing w:before="29" w:line="360" w:lineRule="auto"/>
              <w:ind w:left="17"/>
              <w:jc w:val="left"/>
              <w:rPr>
                <w:sz w:val="24"/>
              </w:rPr>
            </w:pPr>
            <w:r w:rsidRPr="00C1648E">
              <w:rPr>
                <w:color w:val="000000"/>
                <w:sz w:val="24"/>
              </w:rPr>
              <w:t>固定收益投资</w:t>
            </w:r>
          </w:p>
        </w:tc>
        <w:tc>
          <w:tcPr>
            <w:tcW w:w="2977" w:type="dxa"/>
            <w:vAlign w:val="center"/>
          </w:tcPr>
          <w:p w:rsidR="00E72A13" w:rsidRPr="00C1648E" w:rsidRDefault="00E72A13" w:rsidP="00E72A13">
            <w:pPr>
              <w:spacing w:before="29" w:line="360" w:lineRule="auto"/>
              <w:ind w:left="17"/>
              <w:jc w:val="right"/>
              <w:rPr>
                <w:color w:val="000000"/>
                <w:sz w:val="24"/>
              </w:rPr>
            </w:pPr>
            <w:r w:rsidRPr="00C1648E">
              <w:rPr>
                <w:color w:val="000000"/>
                <w:sz w:val="24"/>
              </w:rPr>
              <w:t>-</w:t>
            </w:r>
          </w:p>
        </w:tc>
        <w:tc>
          <w:tcPr>
            <w:tcW w:w="1843" w:type="dxa"/>
            <w:vAlign w:val="center"/>
          </w:tcPr>
          <w:p w:rsidR="00E72A13" w:rsidRPr="00C1648E" w:rsidRDefault="00E72A13" w:rsidP="00E72A13">
            <w:pPr>
              <w:spacing w:before="29" w:line="360" w:lineRule="auto"/>
              <w:ind w:left="17"/>
              <w:jc w:val="right"/>
              <w:rPr>
                <w:color w:val="000000"/>
                <w:sz w:val="24"/>
              </w:rPr>
            </w:pPr>
            <w:r w:rsidRPr="00C1648E">
              <w:rPr>
                <w:color w:val="000000"/>
                <w:sz w:val="24"/>
              </w:rPr>
              <w:t>-</w:t>
            </w:r>
          </w:p>
        </w:tc>
      </w:tr>
      <w:tr w:rsidR="00E72A13" w:rsidRPr="00264E55" w:rsidTr="006B315F">
        <w:trPr>
          <w:jc w:val="center"/>
        </w:trPr>
        <w:tc>
          <w:tcPr>
            <w:tcW w:w="720" w:type="dxa"/>
            <w:vAlign w:val="center"/>
          </w:tcPr>
          <w:p w:rsidR="00E72A13" w:rsidRPr="00C1648E" w:rsidRDefault="00E72A13" w:rsidP="00E72A13">
            <w:pPr>
              <w:spacing w:before="29" w:line="360" w:lineRule="auto"/>
              <w:ind w:left="17"/>
              <w:jc w:val="center"/>
              <w:rPr>
                <w:color w:val="000000"/>
                <w:sz w:val="24"/>
              </w:rPr>
            </w:pPr>
          </w:p>
        </w:tc>
        <w:tc>
          <w:tcPr>
            <w:tcW w:w="3357" w:type="dxa"/>
            <w:vAlign w:val="center"/>
          </w:tcPr>
          <w:p w:rsidR="00E72A13" w:rsidRPr="00C1648E" w:rsidRDefault="00E72A13" w:rsidP="00E72A13">
            <w:pPr>
              <w:spacing w:before="29" w:line="360" w:lineRule="auto"/>
              <w:ind w:left="17"/>
              <w:jc w:val="left"/>
              <w:rPr>
                <w:sz w:val="24"/>
              </w:rPr>
            </w:pPr>
            <w:r w:rsidRPr="00C1648E">
              <w:rPr>
                <w:color w:val="000000"/>
                <w:sz w:val="24"/>
              </w:rPr>
              <w:t>其中：债券</w:t>
            </w:r>
          </w:p>
        </w:tc>
        <w:tc>
          <w:tcPr>
            <w:tcW w:w="2977" w:type="dxa"/>
            <w:vAlign w:val="center"/>
          </w:tcPr>
          <w:p w:rsidR="00E72A13" w:rsidRPr="00C1648E" w:rsidRDefault="00E72A13" w:rsidP="00E72A13">
            <w:pPr>
              <w:spacing w:before="29" w:line="360" w:lineRule="auto"/>
              <w:ind w:left="17"/>
              <w:jc w:val="right"/>
              <w:rPr>
                <w:color w:val="000000"/>
                <w:sz w:val="24"/>
              </w:rPr>
            </w:pPr>
            <w:r w:rsidRPr="00C1648E">
              <w:rPr>
                <w:color w:val="000000"/>
                <w:sz w:val="24"/>
              </w:rPr>
              <w:t>-</w:t>
            </w:r>
          </w:p>
        </w:tc>
        <w:tc>
          <w:tcPr>
            <w:tcW w:w="1843" w:type="dxa"/>
            <w:vAlign w:val="center"/>
          </w:tcPr>
          <w:p w:rsidR="00E72A13" w:rsidRPr="00C1648E" w:rsidRDefault="00E72A13" w:rsidP="00E72A13">
            <w:pPr>
              <w:spacing w:before="29" w:line="360" w:lineRule="auto"/>
              <w:ind w:left="17"/>
              <w:jc w:val="right"/>
              <w:rPr>
                <w:color w:val="000000"/>
                <w:sz w:val="24"/>
              </w:rPr>
            </w:pPr>
            <w:r w:rsidRPr="00C1648E">
              <w:rPr>
                <w:color w:val="000000"/>
                <w:sz w:val="24"/>
              </w:rPr>
              <w:t>-</w:t>
            </w:r>
          </w:p>
        </w:tc>
      </w:tr>
      <w:tr w:rsidR="00E72A13" w:rsidRPr="00264E55" w:rsidTr="006B315F">
        <w:trPr>
          <w:jc w:val="center"/>
        </w:trPr>
        <w:tc>
          <w:tcPr>
            <w:tcW w:w="720" w:type="dxa"/>
            <w:vAlign w:val="center"/>
          </w:tcPr>
          <w:p w:rsidR="00E72A13" w:rsidRPr="00C1648E" w:rsidRDefault="00E72A13" w:rsidP="00E72A13">
            <w:pPr>
              <w:spacing w:before="29" w:line="360" w:lineRule="auto"/>
              <w:ind w:left="17"/>
              <w:jc w:val="center"/>
              <w:rPr>
                <w:color w:val="000000"/>
                <w:sz w:val="24"/>
              </w:rPr>
            </w:pPr>
          </w:p>
        </w:tc>
        <w:tc>
          <w:tcPr>
            <w:tcW w:w="3357" w:type="dxa"/>
            <w:vAlign w:val="center"/>
          </w:tcPr>
          <w:p w:rsidR="00E72A13" w:rsidRPr="00C1648E" w:rsidRDefault="00E72A13" w:rsidP="00E72A13">
            <w:pPr>
              <w:autoSpaceDE w:val="0"/>
              <w:autoSpaceDN w:val="0"/>
              <w:adjustRightInd w:val="0"/>
              <w:spacing w:before="29" w:line="360" w:lineRule="auto"/>
              <w:ind w:left="17"/>
              <w:jc w:val="left"/>
              <w:rPr>
                <w:color w:val="000000"/>
                <w:sz w:val="24"/>
              </w:rPr>
            </w:pPr>
            <w:r w:rsidRPr="00C1648E">
              <w:rPr>
                <w:color w:val="000000"/>
                <w:sz w:val="24"/>
              </w:rPr>
              <w:t>资产支持证券</w:t>
            </w:r>
          </w:p>
        </w:tc>
        <w:tc>
          <w:tcPr>
            <w:tcW w:w="2977" w:type="dxa"/>
            <w:vAlign w:val="center"/>
          </w:tcPr>
          <w:p w:rsidR="00E72A13" w:rsidRPr="00C1648E" w:rsidRDefault="00E72A13" w:rsidP="00E72A13">
            <w:pPr>
              <w:spacing w:before="29" w:line="360" w:lineRule="auto"/>
              <w:ind w:left="17"/>
              <w:jc w:val="right"/>
              <w:rPr>
                <w:color w:val="000000"/>
                <w:sz w:val="24"/>
              </w:rPr>
            </w:pPr>
            <w:r w:rsidRPr="00C1648E">
              <w:rPr>
                <w:color w:val="000000"/>
                <w:sz w:val="24"/>
              </w:rPr>
              <w:t>-</w:t>
            </w:r>
          </w:p>
        </w:tc>
        <w:tc>
          <w:tcPr>
            <w:tcW w:w="1843" w:type="dxa"/>
            <w:vAlign w:val="center"/>
          </w:tcPr>
          <w:p w:rsidR="00E72A13" w:rsidRPr="00C1648E" w:rsidRDefault="00E72A13" w:rsidP="00E72A13">
            <w:pPr>
              <w:spacing w:before="29" w:line="360" w:lineRule="auto"/>
              <w:ind w:left="17"/>
              <w:jc w:val="right"/>
              <w:rPr>
                <w:color w:val="000000"/>
                <w:sz w:val="24"/>
              </w:rPr>
            </w:pPr>
            <w:r w:rsidRPr="00C1648E">
              <w:rPr>
                <w:color w:val="000000"/>
                <w:sz w:val="24"/>
              </w:rPr>
              <w:t>-</w:t>
            </w:r>
          </w:p>
        </w:tc>
      </w:tr>
      <w:tr w:rsidR="00E72A13" w:rsidRPr="00264E55" w:rsidTr="006B315F">
        <w:trPr>
          <w:jc w:val="center"/>
        </w:trPr>
        <w:tc>
          <w:tcPr>
            <w:tcW w:w="720" w:type="dxa"/>
          </w:tcPr>
          <w:p w:rsidR="00E72A13" w:rsidRPr="00C1648E" w:rsidRDefault="00E72A13" w:rsidP="00E72A13">
            <w:pPr>
              <w:spacing w:before="29" w:line="360" w:lineRule="auto"/>
              <w:ind w:left="17"/>
              <w:jc w:val="center"/>
              <w:rPr>
                <w:color w:val="000000"/>
                <w:sz w:val="24"/>
              </w:rPr>
            </w:pPr>
            <w:r>
              <w:rPr>
                <w:color w:val="000000"/>
                <w:sz w:val="24"/>
              </w:rPr>
              <w:t>4</w:t>
            </w:r>
          </w:p>
        </w:tc>
        <w:tc>
          <w:tcPr>
            <w:tcW w:w="3357" w:type="dxa"/>
          </w:tcPr>
          <w:p w:rsidR="00E72A13" w:rsidRPr="00C1648E" w:rsidRDefault="00E72A13" w:rsidP="00E72A13">
            <w:pPr>
              <w:spacing w:before="29" w:line="360" w:lineRule="auto"/>
              <w:ind w:leftChars="50" w:left="105"/>
              <w:rPr>
                <w:color w:val="000000"/>
                <w:sz w:val="24"/>
              </w:rPr>
            </w:pPr>
            <w:r w:rsidRPr="00C1648E">
              <w:rPr>
                <w:color w:val="000000"/>
                <w:sz w:val="24"/>
              </w:rPr>
              <w:t>贵金属投资</w:t>
            </w:r>
          </w:p>
        </w:tc>
        <w:tc>
          <w:tcPr>
            <w:tcW w:w="2977" w:type="dxa"/>
            <w:vAlign w:val="center"/>
          </w:tcPr>
          <w:p w:rsidR="00E72A13" w:rsidRPr="00C1648E" w:rsidRDefault="00E72A13" w:rsidP="00E72A13">
            <w:pPr>
              <w:spacing w:before="29" w:line="360" w:lineRule="auto"/>
              <w:ind w:left="17"/>
              <w:jc w:val="right"/>
              <w:rPr>
                <w:color w:val="000000"/>
                <w:sz w:val="24"/>
              </w:rPr>
            </w:pPr>
            <w:r w:rsidRPr="00C1648E">
              <w:rPr>
                <w:color w:val="000000"/>
                <w:sz w:val="24"/>
              </w:rPr>
              <w:t>-</w:t>
            </w:r>
          </w:p>
        </w:tc>
        <w:tc>
          <w:tcPr>
            <w:tcW w:w="1843" w:type="dxa"/>
            <w:vAlign w:val="center"/>
          </w:tcPr>
          <w:p w:rsidR="00E72A13" w:rsidRPr="00C1648E" w:rsidRDefault="00E72A13" w:rsidP="00E72A13">
            <w:pPr>
              <w:spacing w:before="29" w:line="360" w:lineRule="auto"/>
              <w:ind w:left="17"/>
              <w:jc w:val="right"/>
              <w:rPr>
                <w:color w:val="000000"/>
                <w:sz w:val="24"/>
              </w:rPr>
            </w:pPr>
            <w:r w:rsidRPr="00C1648E">
              <w:rPr>
                <w:color w:val="000000"/>
                <w:sz w:val="24"/>
              </w:rPr>
              <w:t>-</w:t>
            </w:r>
          </w:p>
        </w:tc>
      </w:tr>
      <w:tr w:rsidR="00E72A13" w:rsidRPr="00264E55" w:rsidTr="006B315F">
        <w:trPr>
          <w:jc w:val="center"/>
        </w:trPr>
        <w:tc>
          <w:tcPr>
            <w:tcW w:w="720" w:type="dxa"/>
            <w:vAlign w:val="center"/>
          </w:tcPr>
          <w:p w:rsidR="00E72A13" w:rsidRPr="00C1648E" w:rsidRDefault="00E72A13" w:rsidP="00E72A13">
            <w:pPr>
              <w:spacing w:before="29" w:line="360" w:lineRule="auto"/>
              <w:ind w:left="17"/>
              <w:jc w:val="center"/>
              <w:rPr>
                <w:color w:val="000000"/>
                <w:sz w:val="24"/>
              </w:rPr>
            </w:pPr>
            <w:r>
              <w:rPr>
                <w:color w:val="000000"/>
                <w:sz w:val="24"/>
              </w:rPr>
              <w:t>5</w:t>
            </w:r>
          </w:p>
        </w:tc>
        <w:tc>
          <w:tcPr>
            <w:tcW w:w="3357" w:type="dxa"/>
            <w:vAlign w:val="center"/>
          </w:tcPr>
          <w:p w:rsidR="00E72A13" w:rsidRPr="00C1648E" w:rsidRDefault="00E72A13" w:rsidP="00E72A13">
            <w:pPr>
              <w:spacing w:before="29" w:line="360" w:lineRule="auto"/>
              <w:ind w:left="17"/>
              <w:jc w:val="left"/>
              <w:rPr>
                <w:color w:val="000000"/>
                <w:sz w:val="24"/>
              </w:rPr>
            </w:pPr>
            <w:r w:rsidRPr="00C1648E">
              <w:rPr>
                <w:color w:val="000000"/>
                <w:sz w:val="24"/>
              </w:rPr>
              <w:t>金融衍生品投资</w:t>
            </w:r>
          </w:p>
        </w:tc>
        <w:tc>
          <w:tcPr>
            <w:tcW w:w="2977" w:type="dxa"/>
            <w:vAlign w:val="center"/>
          </w:tcPr>
          <w:p w:rsidR="00E72A13" w:rsidRPr="00C1648E" w:rsidRDefault="00E72A13" w:rsidP="00E72A13">
            <w:pPr>
              <w:spacing w:before="29" w:line="360" w:lineRule="auto"/>
              <w:ind w:left="17"/>
              <w:jc w:val="right"/>
              <w:rPr>
                <w:color w:val="000000"/>
                <w:sz w:val="24"/>
              </w:rPr>
            </w:pPr>
            <w:r w:rsidRPr="00C1648E">
              <w:rPr>
                <w:color w:val="000000"/>
                <w:sz w:val="24"/>
              </w:rPr>
              <w:t>-</w:t>
            </w:r>
          </w:p>
        </w:tc>
        <w:tc>
          <w:tcPr>
            <w:tcW w:w="1843" w:type="dxa"/>
            <w:vAlign w:val="center"/>
          </w:tcPr>
          <w:p w:rsidR="00E72A13" w:rsidRPr="00C1648E" w:rsidRDefault="00E72A13" w:rsidP="00E72A13">
            <w:pPr>
              <w:spacing w:before="29" w:line="360" w:lineRule="auto"/>
              <w:ind w:left="17"/>
              <w:jc w:val="right"/>
              <w:rPr>
                <w:color w:val="000000"/>
                <w:sz w:val="24"/>
              </w:rPr>
            </w:pPr>
            <w:r w:rsidRPr="00C1648E">
              <w:rPr>
                <w:color w:val="000000"/>
                <w:sz w:val="24"/>
              </w:rPr>
              <w:t>-</w:t>
            </w:r>
          </w:p>
        </w:tc>
      </w:tr>
      <w:tr w:rsidR="00E72A13" w:rsidRPr="00264E55" w:rsidTr="006B315F">
        <w:trPr>
          <w:jc w:val="center"/>
        </w:trPr>
        <w:tc>
          <w:tcPr>
            <w:tcW w:w="720" w:type="dxa"/>
            <w:vAlign w:val="center"/>
          </w:tcPr>
          <w:p w:rsidR="00E72A13" w:rsidRPr="00C1648E" w:rsidRDefault="00E72A13" w:rsidP="00E72A13">
            <w:pPr>
              <w:spacing w:before="29" w:line="360" w:lineRule="auto"/>
              <w:ind w:left="17"/>
              <w:jc w:val="center"/>
              <w:rPr>
                <w:color w:val="000000"/>
                <w:sz w:val="24"/>
              </w:rPr>
            </w:pPr>
            <w:r>
              <w:rPr>
                <w:color w:val="000000"/>
                <w:sz w:val="24"/>
              </w:rPr>
              <w:t>6</w:t>
            </w:r>
          </w:p>
        </w:tc>
        <w:tc>
          <w:tcPr>
            <w:tcW w:w="3357" w:type="dxa"/>
            <w:vAlign w:val="center"/>
          </w:tcPr>
          <w:p w:rsidR="00E72A13" w:rsidRPr="00C1648E" w:rsidRDefault="00E72A13" w:rsidP="00E72A13">
            <w:pPr>
              <w:spacing w:before="29" w:line="360" w:lineRule="auto"/>
              <w:ind w:left="17"/>
              <w:jc w:val="left"/>
              <w:rPr>
                <w:sz w:val="24"/>
              </w:rPr>
            </w:pPr>
            <w:r w:rsidRPr="00C1648E">
              <w:rPr>
                <w:color w:val="000000"/>
                <w:sz w:val="24"/>
              </w:rPr>
              <w:t>买入返售金融资产</w:t>
            </w:r>
          </w:p>
        </w:tc>
        <w:tc>
          <w:tcPr>
            <w:tcW w:w="2977" w:type="dxa"/>
            <w:vAlign w:val="center"/>
          </w:tcPr>
          <w:p w:rsidR="00E72A13" w:rsidRPr="00C1648E" w:rsidRDefault="00E72A13" w:rsidP="00E72A13">
            <w:pPr>
              <w:spacing w:before="29" w:line="360" w:lineRule="auto"/>
              <w:ind w:left="17"/>
              <w:jc w:val="right"/>
              <w:rPr>
                <w:color w:val="000000"/>
                <w:sz w:val="24"/>
              </w:rPr>
            </w:pPr>
            <w:r w:rsidRPr="00C1648E">
              <w:rPr>
                <w:color w:val="000000"/>
                <w:sz w:val="24"/>
              </w:rPr>
              <w:t>-</w:t>
            </w:r>
          </w:p>
        </w:tc>
        <w:tc>
          <w:tcPr>
            <w:tcW w:w="1843" w:type="dxa"/>
            <w:vAlign w:val="center"/>
          </w:tcPr>
          <w:p w:rsidR="00E72A13" w:rsidRPr="00C1648E" w:rsidRDefault="00E72A13" w:rsidP="00E72A13">
            <w:pPr>
              <w:spacing w:before="29" w:line="360" w:lineRule="auto"/>
              <w:ind w:left="17"/>
              <w:jc w:val="right"/>
              <w:rPr>
                <w:color w:val="000000"/>
                <w:sz w:val="24"/>
              </w:rPr>
            </w:pPr>
            <w:r w:rsidRPr="00C1648E">
              <w:rPr>
                <w:color w:val="000000"/>
                <w:sz w:val="24"/>
              </w:rPr>
              <w:t>-</w:t>
            </w:r>
          </w:p>
        </w:tc>
      </w:tr>
      <w:tr w:rsidR="00E72A13" w:rsidRPr="00264E55" w:rsidTr="006B315F">
        <w:trPr>
          <w:jc w:val="center"/>
        </w:trPr>
        <w:tc>
          <w:tcPr>
            <w:tcW w:w="720" w:type="dxa"/>
            <w:vAlign w:val="center"/>
          </w:tcPr>
          <w:p w:rsidR="00E72A13" w:rsidRPr="00C1648E" w:rsidRDefault="00E72A13" w:rsidP="00E72A13">
            <w:pPr>
              <w:spacing w:before="29" w:line="360" w:lineRule="auto"/>
              <w:ind w:left="17"/>
              <w:jc w:val="center"/>
              <w:rPr>
                <w:color w:val="000000"/>
                <w:sz w:val="24"/>
              </w:rPr>
            </w:pPr>
          </w:p>
        </w:tc>
        <w:tc>
          <w:tcPr>
            <w:tcW w:w="3357" w:type="dxa"/>
            <w:vAlign w:val="center"/>
          </w:tcPr>
          <w:p w:rsidR="00E72A13" w:rsidRPr="00C1648E" w:rsidRDefault="00E72A13" w:rsidP="00E72A13">
            <w:pPr>
              <w:spacing w:before="29" w:line="360" w:lineRule="auto"/>
              <w:ind w:left="17"/>
              <w:jc w:val="left"/>
              <w:rPr>
                <w:sz w:val="24"/>
              </w:rPr>
            </w:pPr>
            <w:r w:rsidRPr="00C1648E">
              <w:rPr>
                <w:color w:val="000000"/>
                <w:sz w:val="24"/>
              </w:rPr>
              <w:t>其中：买断式回购的买入返售金融资产</w:t>
            </w:r>
          </w:p>
        </w:tc>
        <w:tc>
          <w:tcPr>
            <w:tcW w:w="2977" w:type="dxa"/>
            <w:vAlign w:val="center"/>
          </w:tcPr>
          <w:p w:rsidR="00E72A13" w:rsidRPr="00C1648E" w:rsidRDefault="00E72A13" w:rsidP="00E72A13">
            <w:pPr>
              <w:spacing w:before="29" w:line="360" w:lineRule="auto"/>
              <w:ind w:left="17"/>
              <w:jc w:val="right"/>
              <w:rPr>
                <w:color w:val="000000"/>
                <w:sz w:val="24"/>
              </w:rPr>
            </w:pPr>
            <w:r w:rsidRPr="00C1648E">
              <w:rPr>
                <w:color w:val="000000"/>
                <w:sz w:val="24"/>
              </w:rPr>
              <w:t>-</w:t>
            </w:r>
          </w:p>
        </w:tc>
        <w:tc>
          <w:tcPr>
            <w:tcW w:w="1843" w:type="dxa"/>
            <w:vAlign w:val="center"/>
          </w:tcPr>
          <w:p w:rsidR="00E72A13" w:rsidRPr="00C1648E" w:rsidRDefault="00E72A13" w:rsidP="00E72A13">
            <w:pPr>
              <w:spacing w:before="29" w:line="360" w:lineRule="auto"/>
              <w:ind w:left="17"/>
              <w:jc w:val="right"/>
              <w:rPr>
                <w:color w:val="000000"/>
                <w:sz w:val="24"/>
              </w:rPr>
            </w:pPr>
            <w:r w:rsidRPr="00C1648E">
              <w:rPr>
                <w:color w:val="000000"/>
                <w:sz w:val="24"/>
              </w:rPr>
              <w:t>-</w:t>
            </w:r>
          </w:p>
        </w:tc>
      </w:tr>
      <w:tr w:rsidR="00E72A13" w:rsidRPr="00264E55" w:rsidTr="006B315F">
        <w:trPr>
          <w:jc w:val="center"/>
        </w:trPr>
        <w:tc>
          <w:tcPr>
            <w:tcW w:w="720" w:type="dxa"/>
            <w:vAlign w:val="center"/>
          </w:tcPr>
          <w:p w:rsidR="00E72A13" w:rsidRPr="00C1648E" w:rsidRDefault="00E72A13" w:rsidP="00E72A13">
            <w:pPr>
              <w:spacing w:before="29" w:line="360" w:lineRule="auto"/>
              <w:ind w:left="17"/>
              <w:jc w:val="center"/>
              <w:rPr>
                <w:color w:val="000000"/>
                <w:sz w:val="24"/>
              </w:rPr>
            </w:pPr>
            <w:r>
              <w:rPr>
                <w:color w:val="000000"/>
                <w:sz w:val="24"/>
              </w:rPr>
              <w:t>7</w:t>
            </w:r>
          </w:p>
        </w:tc>
        <w:tc>
          <w:tcPr>
            <w:tcW w:w="3357" w:type="dxa"/>
            <w:vAlign w:val="center"/>
          </w:tcPr>
          <w:p w:rsidR="00E72A13" w:rsidRPr="00C1648E" w:rsidRDefault="00E72A13" w:rsidP="00E72A13">
            <w:pPr>
              <w:spacing w:before="29" w:line="360" w:lineRule="auto"/>
              <w:ind w:left="17"/>
              <w:jc w:val="left"/>
              <w:rPr>
                <w:sz w:val="24"/>
              </w:rPr>
            </w:pPr>
            <w:r w:rsidRPr="00C1648E">
              <w:rPr>
                <w:color w:val="000000"/>
                <w:sz w:val="24"/>
              </w:rPr>
              <w:t>银行存款和结算备付金合计</w:t>
            </w:r>
          </w:p>
        </w:tc>
        <w:tc>
          <w:tcPr>
            <w:tcW w:w="2977" w:type="dxa"/>
            <w:vAlign w:val="center"/>
          </w:tcPr>
          <w:p w:rsidR="00E72A13" w:rsidRPr="00C1648E" w:rsidRDefault="00E72A13" w:rsidP="00E72A13">
            <w:pPr>
              <w:spacing w:before="29" w:line="360" w:lineRule="auto"/>
              <w:ind w:left="17"/>
              <w:jc w:val="right"/>
              <w:rPr>
                <w:color w:val="000000"/>
                <w:sz w:val="24"/>
              </w:rPr>
            </w:pPr>
            <w:r w:rsidRPr="00C1648E">
              <w:rPr>
                <w:color w:val="000000"/>
                <w:sz w:val="24"/>
              </w:rPr>
              <w:t>70,489,910.72</w:t>
            </w:r>
          </w:p>
        </w:tc>
        <w:tc>
          <w:tcPr>
            <w:tcW w:w="1843" w:type="dxa"/>
            <w:vAlign w:val="center"/>
          </w:tcPr>
          <w:p w:rsidR="00E72A13" w:rsidRPr="00C1648E" w:rsidRDefault="00E72A13" w:rsidP="00E72A13">
            <w:pPr>
              <w:spacing w:before="29" w:line="360" w:lineRule="auto"/>
              <w:ind w:left="17"/>
              <w:jc w:val="right"/>
              <w:rPr>
                <w:color w:val="000000"/>
                <w:sz w:val="24"/>
              </w:rPr>
            </w:pPr>
            <w:r w:rsidRPr="00C1648E">
              <w:rPr>
                <w:color w:val="000000"/>
                <w:sz w:val="24"/>
              </w:rPr>
              <w:t>6.26</w:t>
            </w:r>
          </w:p>
        </w:tc>
      </w:tr>
      <w:tr w:rsidR="00E72A13" w:rsidRPr="00264E55" w:rsidTr="006B315F">
        <w:trPr>
          <w:jc w:val="center"/>
        </w:trPr>
        <w:tc>
          <w:tcPr>
            <w:tcW w:w="720" w:type="dxa"/>
            <w:vAlign w:val="center"/>
          </w:tcPr>
          <w:p w:rsidR="00E72A13" w:rsidRPr="00C1648E" w:rsidRDefault="00E72A13" w:rsidP="00E72A13">
            <w:pPr>
              <w:spacing w:before="29" w:line="360" w:lineRule="auto"/>
              <w:ind w:left="17"/>
              <w:jc w:val="center"/>
              <w:rPr>
                <w:color w:val="000000"/>
                <w:sz w:val="24"/>
              </w:rPr>
            </w:pPr>
            <w:r w:rsidRPr="00C1648E">
              <w:rPr>
                <w:color w:val="000000"/>
                <w:sz w:val="24"/>
              </w:rPr>
              <w:t>8</w:t>
            </w:r>
          </w:p>
        </w:tc>
        <w:tc>
          <w:tcPr>
            <w:tcW w:w="3357" w:type="dxa"/>
            <w:vAlign w:val="center"/>
          </w:tcPr>
          <w:p w:rsidR="00E72A13" w:rsidRPr="00C1648E" w:rsidRDefault="00E72A13" w:rsidP="00E72A13">
            <w:pPr>
              <w:jc w:val="left"/>
              <w:rPr>
                <w:sz w:val="24"/>
              </w:rPr>
            </w:pPr>
            <w:r w:rsidRPr="00C1648E">
              <w:rPr>
                <w:color w:val="000000"/>
                <w:sz w:val="24"/>
              </w:rPr>
              <w:t>其他资产</w:t>
            </w:r>
          </w:p>
        </w:tc>
        <w:tc>
          <w:tcPr>
            <w:tcW w:w="2977" w:type="dxa"/>
            <w:vAlign w:val="center"/>
          </w:tcPr>
          <w:p w:rsidR="00E72A13" w:rsidRPr="00C1648E" w:rsidRDefault="00E72A13" w:rsidP="00E72A13">
            <w:pPr>
              <w:jc w:val="right"/>
              <w:rPr>
                <w:color w:val="000000"/>
                <w:sz w:val="24"/>
              </w:rPr>
            </w:pPr>
            <w:r w:rsidRPr="00C1648E">
              <w:rPr>
                <w:color w:val="000000"/>
                <w:sz w:val="24"/>
              </w:rPr>
              <w:t>27,705,002.64</w:t>
            </w:r>
          </w:p>
        </w:tc>
        <w:tc>
          <w:tcPr>
            <w:tcW w:w="1843" w:type="dxa"/>
            <w:vAlign w:val="center"/>
          </w:tcPr>
          <w:p w:rsidR="00E72A13" w:rsidRPr="00C1648E" w:rsidRDefault="00E72A13" w:rsidP="00E72A13">
            <w:pPr>
              <w:jc w:val="right"/>
              <w:rPr>
                <w:color w:val="000000"/>
                <w:sz w:val="24"/>
              </w:rPr>
            </w:pPr>
            <w:r w:rsidRPr="00C1648E">
              <w:rPr>
                <w:color w:val="000000"/>
                <w:sz w:val="24"/>
              </w:rPr>
              <w:t>2.46</w:t>
            </w:r>
          </w:p>
        </w:tc>
      </w:tr>
      <w:tr w:rsidR="00E72A13" w:rsidRPr="00264E55" w:rsidTr="006B315F">
        <w:trPr>
          <w:jc w:val="center"/>
        </w:trPr>
        <w:tc>
          <w:tcPr>
            <w:tcW w:w="720" w:type="dxa"/>
            <w:vAlign w:val="center"/>
          </w:tcPr>
          <w:p w:rsidR="00E72A13" w:rsidRPr="00C1648E" w:rsidRDefault="00E72A13" w:rsidP="00E72A13">
            <w:pPr>
              <w:spacing w:before="29" w:line="360" w:lineRule="auto"/>
              <w:ind w:left="17"/>
              <w:jc w:val="center"/>
              <w:rPr>
                <w:color w:val="000000"/>
                <w:sz w:val="24"/>
              </w:rPr>
            </w:pPr>
            <w:r w:rsidRPr="00C1648E">
              <w:rPr>
                <w:color w:val="000000"/>
                <w:sz w:val="24"/>
              </w:rPr>
              <w:t>9</w:t>
            </w:r>
          </w:p>
        </w:tc>
        <w:tc>
          <w:tcPr>
            <w:tcW w:w="3357" w:type="dxa"/>
            <w:vAlign w:val="center"/>
          </w:tcPr>
          <w:p w:rsidR="00E72A13" w:rsidRPr="00C1648E" w:rsidRDefault="00E72A13" w:rsidP="00E72A13">
            <w:pPr>
              <w:jc w:val="left"/>
              <w:rPr>
                <w:sz w:val="24"/>
              </w:rPr>
            </w:pPr>
            <w:r w:rsidRPr="00C1648E">
              <w:rPr>
                <w:color w:val="000000"/>
                <w:sz w:val="24"/>
              </w:rPr>
              <w:t>合计</w:t>
            </w:r>
          </w:p>
        </w:tc>
        <w:tc>
          <w:tcPr>
            <w:tcW w:w="2977" w:type="dxa"/>
            <w:vAlign w:val="center"/>
          </w:tcPr>
          <w:p w:rsidR="00E72A13" w:rsidRPr="00C1648E" w:rsidRDefault="00E72A13" w:rsidP="00E72A13">
            <w:pPr>
              <w:jc w:val="right"/>
              <w:rPr>
                <w:color w:val="000000"/>
                <w:sz w:val="24"/>
              </w:rPr>
            </w:pPr>
            <w:r w:rsidRPr="00C1648E">
              <w:rPr>
                <w:color w:val="000000"/>
                <w:sz w:val="24"/>
              </w:rPr>
              <w:t>1,126,552,785.89</w:t>
            </w:r>
          </w:p>
        </w:tc>
        <w:tc>
          <w:tcPr>
            <w:tcW w:w="1843" w:type="dxa"/>
            <w:vAlign w:val="center"/>
          </w:tcPr>
          <w:p w:rsidR="00E72A13" w:rsidRPr="00C1648E" w:rsidRDefault="00E72A13" w:rsidP="00E72A13">
            <w:pPr>
              <w:jc w:val="right"/>
              <w:rPr>
                <w:color w:val="000000"/>
                <w:sz w:val="24"/>
              </w:rPr>
            </w:pPr>
            <w:r w:rsidRPr="00C1648E">
              <w:rPr>
                <w:color w:val="000000"/>
                <w:sz w:val="24"/>
              </w:rPr>
              <w:t>100.00</w:t>
            </w:r>
          </w:p>
        </w:tc>
      </w:tr>
    </w:tbl>
    <w:p w:rsidR="008624F9" w:rsidRDefault="008624F9" w:rsidP="008624F9">
      <w:pPr>
        <w:autoSpaceDE w:val="0"/>
        <w:autoSpaceDN w:val="0"/>
        <w:adjustRightInd w:val="0"/>
        <w:spacing w:line="360" w:lineRule="auto"/>
        <w:jc w:val="left"/>
        <w:rPr>
          <w:rFonts w:eastAsiaTheme="minorEastAsia"/>
          <w:b/>
          <w:color w:val="000000" w:themeColor="text1"/>
          <w:kern w:val="0"/>
          <w:sz w:val="24"/>
        </w:rPr>
      </w:pPr>
      <w:r w:rsidRPr="00105C87">
        <w:rPr>
          <w:rFonts w:eastAsiaTheme="minorEastAsia"/>
          <w:b/>
          <w:color w:val="000000" w:themeColor="text1"/>
          <w:kern w:val="0"/>
          <w:sz w:val="24"/>
        </w:rPr>
        <w:t xml:space="preserve">5.2 </w:t>
      </w:r>
      <w:r w:rsidRPr="00105C87">
        <w:rPr>
          <w:rFonts w:eastAsiaTheme="minorEastAsia"/>
          <w:b/>
          <w:color w:val="000000" w:themeColor="text1"/>
          <w:kern w:val="0"/>
          <w:sz w:val="24"/>
        </w:rPr>
        <w:t>报告期末按行业分类的股票投资组合</w:t>
      </w:r>
    </w:p>
    <w:p w:rsidR="008624F9" w:rsidRPr="00105C87" w:rsidRDefault="008624F9" w:rsidP="008624F9">
      <w:pPr>
        <w:autoSpaceDE w:val="0"/>
        <w:autoSpaceDN w:val="0"/>
        <w:adjustRightInd w:val="0"/>
        <w:spacing w:line="360" w:lineRule="auto"/>
        <w:jc w:val="left"/>
        <w:rPr>
          <w:rFonts w:eastAsiaTheme="minorEastAsia"/>
          <w:b/>
          <w:color w:val="000000" w:themeColor="text1"/>
          <w:kern w:val="0"/>
          <w:sz w:val="24"/>
        </w:rPr>
      </w:pPr>
      <w:r w:rsidRPr="00105C87">
        <w:rPr>
          <w:rFonts w:eastAsiaTheme="minorEastAsia"/>
          <w:b/>
          <w:color w:val="000000" w:themeColor="text1"/>
          <w:kern w:val="0"/>
          <w:sz w:val="24"/>
        </w:rPr>
        <w:t>5.2.1</w:t>
      </w:r>
      <w:r w:rsidRPr="00105C87">
        <w:rPr>
          <w:rFonts w:eastAsiaTheme="minorEastAsia"/>
          <w:b/>
          <w:color w:val="000000" w:themeColor="text1"/>
          <w:kern w:val="0"/>
          <w:sz w:val="24"/>
        </w:rPr>
        <w:t>积极投资按行业分类的股票投资组合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852"/>
        <w:gridCol w:w="1648"/>
      </w:tblGrid>
      <w:tr w:rsidR="008624F9" w:rsidRPr="00105C87" w:rsidTr="002C4578">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占基金资产净值比例（％）</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autoSpaceDE w:val="0"/>
              <w:autoSpaceDN w:val="0"/>
              <w:adjustRightInd w:val="0"/>
              <w:spacing w:before="29" w:line="360" w:lineRule="auto"/>
              <w:ind w:left="15"/>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utoSpaceDE w:val="0"/>
              <w:autoSpaceDN w:val="0"/>
              <w:adjustRightInd w:val="0"/>
              <w:spacing w:before="29" w:line="360" w:lineRule="auto"/>
              <w:ind w:left="15"/>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1,607,836.47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0.15</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16,322.72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0.00</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44,713.63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0.00</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8,975.14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0.00</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15,649.20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0.00</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1,693,497.16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0.16</w:t>
            </w:r>
          </w:p>
        </w:tc>
      </w:tr>
    </w:tbl>
    <w:p w:rsidR="008624F9" w:rsidRPr="00105C87" w:rsidRDefault="008624F9" w:rsidP="008624F9">
      <w:pPr>
        <w:autoSpaceDE w:val="0"/>
        <w:autoSpaceDN w:val="0"/>
        <w:adjustRightInd w:val="0"/>
        <w:spacing w:line="360" w:lineRule="auto"/>
        <w:jc w:val="left"/>
        <w:rPr>
          <w:rFonts w:eastAsiaTheme="minorEastAsia"/>
          <w:b/>
          <w:color w:val="000000" w:themeColor="text1"/>
          <w:kern w:val="0"/>
          <w:sz w:val="24"/>
        </w:rPr>
      </w:pPr>
      <w:r w:rsidRPr="00105C87">
        <w:rPr>
          <w:rFonts w:eastAsiaTheme="minorEastAsia"/>
          <w:b/>
          <w:color w:val="000000" w:themeColor="text1"/>
          <w:kern w:val="0"/>
          <w:sz w:val="24"/>
        </w:rPr>
        <w:t>5.2.</w:t>
      </w:r>
      <w:r w:rsidR="00AB077A">
        <w:rPr>
          <w:rFonts w:eastAsiaTheme="minorEastAsia"/>
          <w:b/>
          <w:color w:val="000000" w:themeColor="text1"/>
          <w:kern w:val="0"/>
          <w:sz w:val="24"/>
        </w:rPr>
        <w:t>2</w:t>
      </w:r>
      <w:r w:rsidRPr="00105C87">
        <w:rPr>
          <w:rFonts w:eastAsiaTheme="minorEastAsia"/>
          <w:b/>
          <w:color w:val="000000" w:themeColor="text1"/>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852"/>
        <w:gridCol w:w="1648"/>
      </w:tblGrid>
      <w:tr w:rsidR="008624F9" w:rsidRPr="00105C87" w:rsidTr="002C4578">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占基金资产净值比例（％）</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autoSpaceDE w:val="0"/>
              <w:autoSpaceDN w:val="0"/>
              <w:adjustRightInd w:val="0"/>
              <w:spacing w:before="29" w:line="360" w:lineRule="auto"/>
              <w:ind w:left="15"/>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utoSpaceDE w:val="0"/>
              <w:autoSpaceDN w:val="0"/>
              <w:adjustRightInd w:val="0"/>
              <w:spacing w:before="29" w:line="360" w:lineRule="auto"/>
              <w:ind w:left="15"/>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698,546,758.73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64.15</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67,794,418.95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6.23</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105,885,078.00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9.72</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5,548,284.00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0.51</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13,313,824.00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1.22</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7,099,980.30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0.65</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97,479,535.86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8.95</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30,996,495.53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2.85</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1,026,664,375.37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94.28</w:t>
            </w:r>
          </w:p>
        </w:tc>
      </w:tr>
    </w:tbl>
    <w:p w:rsidR="008624F9" w:rsidRPr="00105C87" w:rsidRDefault="008624F9" w:rsidP="008624F9">
      <w:pPr>
        <w:jc w:val="left"/>
        <w:rPr>
          <w:rFonts w:eastAsiaTheme="minorEastAsia"/>
          <w:color w:val="000000" w:themeColor="text1"/>
          <w:sz w:val="24"/>
        </w:rPr>
      </w:pPr>
      <w:r w:rsidRPr="00105C87">
        <w:rPr>
          <w:rFonts w:eastAsiaTheme="minorEastAsia"/>
          <w:b/>
          <w:color w:val="000000" w:themeColor="text1"/>
          <w:kern w:val="0"/>
          <w:sz w:val="24"/>
        </w:rPr>
        <w:t>5.2.</w:t>
      </w:r>
      <w:r w:rsidR="00AB077A">
        <w:rPr>
          <w:rFonts w:eastAsiaTheme="minorEastAsia"/>
          <w:b/>
          <w:color w:val="000000" w:themeColor="text1"/>
          <w:kern w:val="0"/>
          <w:sz w:val="24"/>
        </w:rPr>
        <w:t>3</w:t>
      </w:r>
      <w:r w:rsidR="00F729DC">
        <w:rPr>
          <w:rFonts w:eastAsiaTheme="minorEastAsia"/>
          <w:b/>
          <w:color w:val="000000" w:themeColor="text1"/>
          <w:kern w:val="0"/>
          <w:sz w:val="24"/>
        </w:rPr>
        <w:t>报告期末按行业分类的</w:t>
      </w:r>
      <w:r w:rsidR="00F729DC">
        <w:rPr>
          <w:rFonts w:eastAsiaTheme="minorEastAsia" w:hint="eastAsia"/>
          <w:b/>
          <w:color w:val="000000" w:themeColor="text1"/>
          <w:kern w:val="0"/>
          <w:sz w:val="24"/>
        </w:rPr>
        <w:t>港股通</w:t>
      </w:r>
      <w:r w:rsidRPr="00105C87">
        <w:rPr>
          <w:rFonts w:eastAsiaTheme="minorEastAsia"/>
          <w:b/>
          <w:color w:val="000000" w:themeColor="text1"/>
          <w:kern w:val="0"/>
          <w:sz w:val="24"/>
        </w:rPr>
        <w:t>投资股票投资组合</w:t>
      </w:r>
    </w:p>
    <w:p w:rsidR="00774C7D" w:rsidRPr="00BF18E8" w:rsidRDefault="008624F9" w:rsidP="00774C7D">
      <w:pPr>
        <w:spacing w:line="360" w:lineRule="auto"/>
        <w:ind w:firstLineChars="200" w:firstLine="480"/>
        <w:rPr>
          <w:color w:val="000000"/>
          <w:sz w:val="24"/>
        </w:rPr>
      </w:pPr>
      <w:r w:rsidRPr="00BF18E8">
        <w:rPr>
          <w:color w:val="000000"/>
          <w:sz w:val="24"/>
        </w:rPr>
        <w:t>本基金本报告期末未持有通过港股通投资的股票。</w:t>
      </w:r>
    </w:p>
    <w:p w:rsidR="00774C7D" w:rsidRPr="00EC5CE0" w:rsidRDefault="00774C7D" w:rsidP="00774C7D">
      <w:pPr>
        <w:autoSpaceDE w:val="0"/>
        <w:autoSpaceDN w:val="0"/>
        <w:adjustRightInd w:val="0"/>
        <w:spacing w:line="360" w:lineRule="auto"/>
        <w:jc w:val="left"/>
        <w:rPr>
          <w:rFonts w:ascii="宋体" w:cs="Arial"/>
          <w:b/>
          <w:color w:val="000000"/>
          <w:kern w:val="0"/>
          <w:sz w:val="24"/>
        </w:rPr>
      </w:pPr>
      <w:r w:rsidRPr="00EC5CE0">
        <w:rPr>
          <w:rFonts w:ascii="宋体" w:hAnsi="宋体" w:cs="Arial"/>
          <w:b/>
          <w:color w:val="000000"/>
          <w:kern w:val="0"/>
          <w:sz w:val="24"/>
        </w:rPr>
        <w:t>5.3</w:t>
      </w:r>
      <w:r w:rsidRPr="007F456A">
        <w:rPr>
          <w:rFonts w:ascii="宋体" w:hAnsi="宋体" w:cs="Arial" w:hint="eastAsia"/>
          <w:b/>
          <w:color w:val="000000"/>
          <w:kern w:val="0"/>
          <w:sz w:val="24"/>
        </w:rPr>
        <w:t>报告期末按公允价值占基金资产净值比例大小排序的股票投资明细</w:t>
      </w:r>
    </w:p>
    <w:p w:rsidR="00774C7D" w:rsidRPr="00045BEC" w:rsidRDefault="00774C7D" w:rsidP="00774C7D">
      <w:pPr>
        <w:spacing w:line="360" w:lineRule="auto"/>
        <w:rPr>
          <w:rFonts w:ascii="宋体"/>
          <w:b/>
          <w:sz w:val="24"/>
        </w:rPr>
      </w:pPr>
      <w:r w:rsidRPr="00045BEC">
        <w:rPr>
          <w:rFonts w:ascii="宋体" w:hAnsi="宋体" w:cs="Arial"/>
          <w:b/>
          <w:color w:val="000000"/>
          <w:kern w:val="0"/>
          <w:sz w:val="24"/>
        </w:rPr>
        <w:t>5.3.1</w:t>
      </w:r>
      <w:r w:rsidR="00AB077A">
        <w:rPr>
          <w:rFonts w:ascii="宋体" w:hAnsi="宋体" w:cs="Arial" w:hint="eastAsia"/>
          <w:b/>
          <w:color w:val="000000"/>
          <w:kern w:val="0"/>
          <w:sz w:val="24"/>
        </w:rPr>
        <w:t>报告</w:t>
      </w:r>
      <w:r w:rsidRPr="00045BEC">
        <w:rPr>
          <w:rFonts w:ascii="宋体" w:hAnsi="宋体" w:cs="Arial" w:hint="eastAsia"/>
          <w:b/>
          <w:color w:val="000000"/>
          <w:kern w:val="0"/>
          <w:sz w:val="24"/>
        </w:rPr>
        <w:t>期末</w:t>
      </w:r>
      <w:r w:rsidRPr="00045BEC">
        <w:rPr>
          <w:rFonts w:ascii="宋体" w:hAnsi="宋体" w:hint="eastAsia"/>
          <w:b/>
          <w:sz w:val="24"/>
        </w:rPr>
        <w:t>指数投资按公允价值占基金资产净值比例大小排序的前十名股票投资明细</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559"/>
        <w:gridCol w:w="1843"/>
        <w:gridCol w:w="2268"/>
        <w:gridCol w:w="1134"/>
      </w:tblGrid>
      <w:tr w:rsidR="00774C7D" w:rsidRPr="00EC5CE0" w:rsidTr="002C4578">
        <w:tc>
          <w:tcPr>
            <w:tcW w:w="817"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序号</w:t>
            </w:r>
          </w:p>
        </w:tc>
        <w:tc>
          <w:tcPr>
            <w:tcW w:w="1276"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股票代码</w:t>
            </w:r>
          </w:p>
        </w:tc>
        <w:tc>
          <w:tcPr>
            <w:tcW w:w="1559"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股票名称</w:t>
            </w:r>
          </w:p>
        </w:tc>
        <w:tc>
          <w:tcPr>
            <w:tcW w:w="1843"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数量（股）</w:t>
            </w:r>
          </w:p>
        </w:tc>
        <w:tc>
          <w:tcPr>
            <w:tcW w:w="2268" w:type="dxa"/>
            <w:vAlign w:val="center"/>
          </w:tcPr>
          <w:p w:rsidR="00774C7D" w:rsidRPr="00C1648E" w:rsidRDefault="00774C7D" w:rsidP="002C4578">
            <w:pPr>
              <w:autoSpaceDE w:val="0"/>
              <w:autoSpaceDN w:val="0"/>
              <w:adjustRightInd w:val="0"/>
              <w:spacing w:before="29" w:line="360" w:lineRule="auto"/>
              <w:ind w:left="17"/>
              <w:jc w:val="center"/>
              <w:rPr>
                <w:color w:val="000000"/>
                <w:sz w:val="24"/>
              </w:rPr>
            </w:pPr>
            <w:r w:rsidRPr="00C1648E">
              <w:rPr>
                <w:color w:val="000000"/>
                <w:sz w:val="24"/>
              </w:rPr>
              <w:t>公允价值（元）</w:t>
            </w:r>
          </w:p>
        </w:tc>
        <w:tc>
          <w:tcPr>
            <w:tcW w:w="1134"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占基金资产净值比例</w:t>
            </w:r>
            <w:r w:rsidRPr="00C1648E">
              <w:rPr>
                <w:color w:val="000000"/>
                <w:sz w:val="24"/>
              </w:rPr>
              <w:t>(</w:t>
            </w:r>
            <w:r w:rsidRPr="00C1648E">
              <w:rPr>
                <w:color w:val="000000"/>
                <w:sz w:val="24"/>
              </w:rPr>
              <w:t>％</w:t>
            </w:r>
            <w:r w:rsidRPr="00C1648E">
              <w:rPr>
                <w:color w:val="000000"/>
                <w:sz w:val="24"/>
              </w:rPr>
              <w:t>)</w:t>
            </w:r>
          </w:p>
        </w:tc>
      </w:tr>
      <w:tr w:rsidR="00AE51F5">
        <w:tc>
          <w:tcPr>
            <w:tcW w:w="817" w:type="dxa"/>
            <w:vAlign w:val="center"/>
          </w:tcPr>
          <w:p w:rsidR="00AE51F5" w:rsidRDefault="009A78F6">
            <w:pPr>
              <w:jc w:val="center"/>
            </w:pPr>
            <w:r>
              <w:rPr>
                <w:color w:val="000000"/>
                <w:sz w:val="24"/>
              </w:rPr>
              <w:t>1</w:t>
            </w:r>
          </w:p>
        </w:tc>
        <w:tc>
          <w:tcPr>
            <w:tcW w:w="1276" w:type="dxa"/>
            <w:vAlign w:val="center"/>
          </w:tcPr>
          <w:p w:rsidR="00AE51F5" w:rsidRDefault="009A78F6">
            <w:pPr>
              <w:jc w:val="center"/>
            </w:pPr>
            <w:r>
              <w:rPr>
                <w:color w:val="000000"/>
                <w:sz w:val="24"/>
              </w:rPr>
              <w:t>300750</w:t>
            </w:r>
          </w:p>
        </w:tc>
        <w:tc>
          <w:tcPr>
            <w:tcW w:w="1559" w:type="dxa"/>
            <w:vAlign w:val="center"/>
          </w:tcPr>
          <w:p w:rsidR="00AE51F5" w:rsidRDefault="009A78F6">
            <w:pPr>
              <w:jc w:val="center"/>
            </w:pPr>
            <w:r>
              <w:rPr>
                <w:color w:val="000000"/>
                <w:sz w:val="24"/>
              </w:rPr>
              <w:t>宁德时代</w:t>
            </w:r>
          </w:p>
        </w:tc>
        <w:tc>
          <w:tcPr>
            <w:tcW w:w="1843" w:type="dxa"/>
            <w:vAlign w:val="center"/>
          </w:tcPr>
          <w:p w:rsidR="00AE51F5" w:rsidRDefault="009A78F6">
            <w:pPr>
              <w:jc w:val="right"/>
            </w:pPr>
            <w:r>
              <w:rPr>
                <w:color w:val="000000"/>
                <w:sz w:val="24"/>
              </w:rPr>
              <w:t>463,382</w:t>
            </w:r>
          </w:p>
        </w:tc>
        <w:tc>
          <w:tcPr>
            <w:tcW w:w="2268" w:type="dxa"/>
            <w:vAlign w:val="center"/>
          </w:tcPr>
          <w:p w:rsidR="00AE51F5" w:rsidRDefault="009A78F6">
            <w:pPr>
              <w:jc w:val="right"/>
            </w:pPr>
            <w:r>
              <w:rPr>
                <w:color w:val="000000"/>
                <w:sz w:val="24"/>
              </w:rPr>
              <w:t>162,698,054.02</w:t>
            </w:r>
          </w:p>
        </w:tc>
        <w:tc>
          <w:tcPr>
            <w:tcW w:w="1134" w:type="dxa"/>
            <w:vAlign w:val="center"/>
          </w:tcPr>
          <w:p w:rsidR="00AE51F5" w:rsidRDefault="009A78F6">
            <w:pPr>
              <w:jc w:val="right"/>
            </w:pPr>
            <w:r>
              <w:rPr>
                <w:color w:val="000000"/>
                <w:sz w:val="24"/>
              </w:rPr>
              <w:t>14.94</w:t>
            </w:r>
          </w:p>
        </w:tc>
      </w:tr>
      <w:tr w:rsidR="00AE51F5">
        <w:tc>
          <w:tcPr>
            <w:tcW w:w="817" w:type="dxa"/>
            <w:vAlign w:val="center"/>
          </w:tcPr>
          <w:p w:rsidR="00AE51F5" w:rsidRDefault="009A78F6">
            <w:pPr>
              <w:jc w:val="center"/>
            </w:pPr>
            <w:r>
              <w:rPr>
                <w:color w:val="000000"/>
                <w:sz w:val="24"/>
              </w:rPr>
              <w:t>2</w:t>
            </w:r>
          </w:p>
        </w:tc>
        <w:tc>
          <w:tcPr>
            <w:tcW w:w="1276" w:type="dxa"/>
            <w:vAlign w:val="center"/>
          </w:tcPr>
          <w:p w:rsidR="00AE51F5" w:rsidRDefault="009A78F6">
            <w:pPr>
              <w:jc w:val="center"/>
            </w:pPr>
            <w:r>
              <w:rPr>
                <w:color w:val="000000"/>
                <w:sz w:val="24"/>
              </w:rPr>
              <w:t>300059</w:t>
            </w:r>
          </w:p>
        </w:tc>
        <w:tc>
          <w:tcPr>
            <w:tcW w:w="1559" w:type="dxa"/>
            <w:vAlign w:val="center"/>
          </w:tcPr>
          <w:p w:rsidR="00AE51F5" w:rsidRDefault="009A78F6">
            <w:pPr>
              <w:jc w:val="center"/>
            </w:pPr>
            <w:r>
              <w:rPr>
                <w:color w:val="000000"/>
                <w:sz w:val="24"/>
              </w:rPr>
              <w:t>东方财富</w:t>
            </w:r>
          </w:p>
        </w:tc>
        <w:tc>
          <w:tcPr>
            <w:tcW w:w="1843" w:type="dxa"/>
            <w:vAlign w:val="center"/>
          </w:tcPr>
          <w:p w:rsidR="00AE51F5" w:rsidRDefault="009A78F6">
            <w:pPr>
              <w:jc w:val="right"/>
            </w:pPr>
            <w:r>
              <w:rPr>
                <w:color w:val="000000"/>
                <w:sz w:val="24"/>
              </w:rPr>
              <w:t>3,041,708</w:t>
            </w:r>
          </w:p>
        </w:tc>
        <w:tc>
          <w:tcPr>
            <w:tcW w:w="2268" w:type="dxa"/>
            <w:vAlign w:val="center"/>
          </w:tcPr>
          <w:p w:rsidR="00AE51F5" w:rsidRDefault="009A78F6">
            <w:pPr>
              <w:jc w:val="right"/>
            </w:pPr>
            <w:r>
              <w:rPr>
                <w:color w:val="000000"/>
                <w:sz w:val="24"/>
              </w:rPr>
              <w:t>94,292,948.00</w:t>
            </w:r>
          </w:p>
        </w:tc>
        <w:tc>
          <w:tcPr>
            <w:tcW w:w="1134" w:type="dxa"/>
            <w:vAlign w:val="center"/>
          </w:tcPr>
          <w:p w:rsidR="00AE51F5" w:rsidRDefault="009A78F6">
            <w:pPr>
              <w:jc w:val="right"/>
            </w:pPr>
            <w:r>
              <w:rPr>
                <w:color w:val="000000"/>
                <w:sz w:val="24"/>
              </w:rPr>
              <w:t>8.66</w:t>
            </w:r>
          </w:p>
        </w:tc>
      </w:tr>
      <w:tr w:rsidR="00AE51F5">
        <w:tc>
          <w:tcPr>
            <w:tcW w:w="817" w:type="dxa"/>
            <w:vAlign w:val="center"/>
          </w:tcPr>
          <w:p w:rsidR="00AE51F5" w:rsidRDefault="009A78F6">
            <w:pPr>
              <w:jc w:val="center"/>
            </w:pPr>
            <w:r>
              <w:rPr>
                <w:color w:val="000000"/>
                <w:sz w:val="24"/>
              </w:rPr>
              <w:t>3</w:t>
            </w:r>
          </w:p>
        </w:tc>
        <w:tc>
          <w:tcPr>
            <w:tcW w:w="1276" w:type="dxa"/>
            <w:vAlign w:val="center"/>
          </w:tcPr>
          <w:p w:rsidR="00AE51F5" w:rsidRDefault="009A78F6">
            <w:pPr>
              <w:jc w:val="center"/>
            </w:pPr>
            <w:r>
              <w:rPr>
                <w:color w:val="000000"/>
                <w:sz w:val="24"/>
              </w:rPr>
              <w:t>300760</w:t>
            </w:r>
          </w:p>
        </w:tc>
        <w:tc>
          <w:tcPr>
            <w:tcW w:w="1559" w:type="dxa"/>
            <w:vAlign w:val="center"/>
          </w:tcPr>
          <w:p w:rsidR="00AE51F5" w:rsidRDefault="009A78F6">
            <w:pPr>
              <w:jc w:val="center"/>
            </w:pPr>
            <w:r>
              <w:rPr>
                <w:color w:val="000000"/>
                <w:sz w:val="24"/>
              </w:rPr>
              <w:t>迈瑞医疗</w:t>
            </w:r>
          </w:p>
        </w:tc>
        <w:tc>
          <w:tcPr>
            <w:tcW w:w="1843" w:type="dxa"/>
            <w:vAlign w:val="center"/>
          </w:tcPr>
          <w:p w:rsidR="00AE51F5" w:rsidRDefault="009A78F6">
            <w:pPr>
              <w:jc w:val="right"/>
            </w:pPr>
            <w:r>
              <w:rPr>
                <w:color w:val="000000"/>
                <w:sz w:val="24"/>
              </w:rPr>
              <w:t>187,700</w:t>
            </w:r>
          </w:p>
        </w:tc>
        <w:tc>
          <w:tcPr>
            <w:tcW w:w="2268" w:type="dxa"/>
            <w:vAlign w:val="center"/>
          </w:tcPr>
          <w:p w:rsidR="00AE51F5" w:rsidRDefault="009A78F6">
            <w:pPr>
              <w:jc w:val="right"/>
            </w:pPr>
            <w:r>
              <w:rPr>
                <w:color w:val="000000"/>
                <w:sz w:val="24"/>
              </w:rPr>
              <w:t>79,960,200.00</w:t>
            </w:r>
          </w:p>
        </w:tc>
        <w:tc>
          <w:tcPr>
            <w:tcW w:w="1134" w:type="dxa"/>
            <w:vAlign w:val="center"/>
          </w:tcPr>
          <w:p w:rsidR="00AE51F5" w:rsidRDefault="009A78F6">
            <w:pPr>
              <w:jc w:val="right"/>
            </w:pPr>
            <w:r>
              <w:rPr>
                <w:color w:val="000000"/>
                <w:sz w:val="24"/>
              </w:rPr>
              <w:t>7.34</w:t>
            </w:r>
          </w:p>
        </w:tc>
      </w:tr>
      <w:tr w:rsidR="00AE51F5">
        <w:tc>
          <w:tcPr>
            <w:tcW w:w="817" w:type="dxa"/>
            <w:vAlign w:val="center"/>
          </w:tcPr>
          <w:p w:rsidR="00AE51F5" w:rsidRDefault="009A78F6">
            <w:pPr>
              <w:jc w:val="center"/>
            </w:pPr>
            <w:r>
              <w:rPr>
                <w:color w:val="000000"/>
                <w:sz w:val="24"/>
              </w:rPr>
              <w:t>4</w:t>
            </w:r>
          </w:p>
        </w:tc>
        <w:tc>
          <w:tcPr>
            <w:tcW w:w="1276" w:type="dxa"/>
            <w:vAlign w:val="center"/>
          </w:tcPr>
          <w:p w:rsidR="00AE51F5" w:rsidRDefault="009A78F6">
            <w:pPr>
              <w:jc w:val="center"/>
            </w:pPr>
            <w:r>
              <w:rPr>
                <w:color w:val="000000"/>
                <w:sz w:val="24"/>
              </w:rPr>
              <w:t>300015</w:t>
            </w:r>
          </w:p>
        </w:tc>
        <w:tc>
          <w:tcPr>
            <w:tcW w:w="1559" w:type="dxa"/>
            <w:vAlign w:val="center"/>
          </w:tcPr>
          <w:p w:rsidR="00AE51F5" w:rsidRDefault="009A78F6">
            <w:pPr>
              <w:jc w:val="center"/>
            </w:pPr>
            <w:r>
              <w:rPr>
                <w:color w:val="000000"/>
                <w:sz w:val="24"/>
              </w:rPr>
              <w:t>爱尔眼科</w:t>
            </w:r>
          </w:p>
        </w:tc>
        <w:tc>
          <w:tcPr>
            <w:tcW w:w="1843" w:type="dxa"/>
            <w:vAlign w:val="center"/>
          </w:tcPr>
          <w:p w:rsidR="00AE51F5" w:rsidRDefault="009A78F6">
            <w:pPr>
              <w:jc w:val="right"/>
            </w:pPr>
            <w:r>
              <w:rPr>
                <w:color w:val="000000"/>
                <w:sz w:val="24"/>
              </w:rPr>
              <w:t>797,391</w:t>
            </w:r>
          </w:p>
        </w:tc>
        <w:tc>
          <w:tcPr>
            <w:tcW w:w="2268" w:type="dxa"/>
            <w:vAlign w:val="center"/>
          </w:tcPr>
          <w:p w:rsidR="00AE51F5" w:rsidRDefault="009A78F6">
            <w:pPr>
              <w:jc w:val="right"/>
            </w:pPr>
            <w:r>
              <w:rPr>
                <w:color w:val="000000"/>
                <w:sz w:val="24"/>
              </w:rPr>
              <w:t>59,716,611.99</w:t>
            </w:r>
          </w:p>
        </w:tc>
        <w:tc>
          <w:tcPr>
            <w:tcW w:w="1134" w:type="dxa"/>
            <w:vAlign w:val="center"/>
          </w:tcPr>
          <w:p w:rsidR="00AE51F5" w:rsidRDefault="009A78F6">
            <w:pPr>
              <w:jc w:val="right"/>
            </w:pPr>
            <w:r>
              <w:rPr>
                <w:color w:val="000000"/>
                <w:sz w:val="24"/>
              </w:rPr>
              <w:t>5.48</w:t>
            </w:r>
          </w:p>
        </w:tc>
      </w:tr>
      <w:tr w:rsidR="00AE51F5">
        <w:tc>
          <w:tcPr>
            <w:tcW w:w="817" w:type="dxa"/>
            <w:vAlign w:val="center"/>
          </w:tcPr>
          <w:p w:rsidR="00AE51F5" w:rsidRDefault="009A78F6">
            <w:pPr>
              <w:jc w:val="center"/>
            </w:pPr>
            <w:r>
              <w:rPr>
                <w:color w:val="000000"/>
                <w:sz w:val="24"/>
              </w:rPr>
              <w:t>5</w:t>
            </w:r>
          </w:p>
        </w:tc>
        <w:tc>
          <w:tcPr>
            <w:tcW w:w="1276" w:type="dxa"/>
            <w:vAlign w:val="center"/>
          </w:tcPr>
          <w:p w:rsidR="00AE51F5" w:rsidRDefault="009A78F6">
            <w:pPr>
              <w:jc w:val="center"/>
            </w:pPr>
            <w:r>
              <w:rPr>
                <w:color w:val="000000"/>
                <w:sz w:val="24"/>
              </w:rPr>
              <w:t>300124</w:t>
            </w:r>
          </w:p>
        </w:tc>
        <w:tc>
          <w:tcPr>
            <w:tcW w:w="1559" w:type="dxa"/>
            <w:vAlign w:val="center"/>
          </w:tcPr>
          <w:p w:rsidR="00AE51F5" w:rsidRDefault="009A78F6">
            <w:pPr>
              <w:jc w:val="center"/>
            </w:pPr>
            <w:r>
              <w:rPr>
                <w:color w:val="000000"/>
                <w:sz w:val="24"/>
              </w:rPr>
              <w:t>汇川技术</w:t>
            </w:r>
          </w:p>
        </w:tc>
        <w:tc>
          <w:tcPr>
            <w:tcW w:w="1843" w:type="dxa"/>
            <w:vAlign w:val="center"/>
          </w:tcPr>
          <w:p w:rsidR="00AE51F5" w:rsidRDefault="009A78F6">
            <w:pPr>
              <w:jc w:val="right"/>
            </w:pPr>
            <w:r>
              <w:rPr>
                <w:color w:val="000000"/>
                <w:sz w:val="24"/>
              </w:rPr>
              <w:t>505,250</w:t>
            </w:r>
          </w:p>
        </w:tc>
        <w:tc>
          <w:tcPr>
            <w:tcW w:w="2268" w:type="dxa"/>
            <w:vAlign w:val="center"/>
          </w:tcPr>
          <w:p w:rsidR="00AE51F5" w:rsidRDefault="009A78F6">
            <w:pPr>
              <w:jc w:val="right"/>
            </w:pPr>
            <w:r>
              <w:rPr>
                <w:color w:val="000000"/>
                <w:sz w:val="24"/>
              </w:rPr>
              <w:t>47,139,825.00</w:t>
            </w:r>
          </w:p>
        </w:tc>
        <w:tc>
          <w:tcPr>
            <w:tcW w:w="1134" w:type="dxa"/>
            <w:vAlign w:val="center"/>
          </w:tcPr>
          <w:p w:rsidR="00AE51F5" w:rsidRDefault="009A78F6">
            <w:pPr>
              <w:jc w:val="right"/>
            </w:pPr>
            <w:r>
              <w:rPr>
                <w:color w:val="000000"/>
                <w:sz w:val="24"/>
              </w:rPr>
              <w:t>4.33</w:t>
            </w:r>
          </w:p>
        </w:tc>
      </w:tr>
      <w:tr w:rsidR="00AE51F5">
        <w:tc>
          <w:tcPr>
            <w:tcW w:w="817" w:type="dxa"/>
            <w:vAlign w:val="center"/>
          </w:tcPr>
          <w:p w:rsidR="00AE51F5" w:rsidRDefault="009A78F6">
            <w:pPr>
              <w:jc w:val="center"/>
            </w:pPr>
            <w:r>
              <w:rPr>
                <w:color w:val="000000"/>
                <w:sz w:val="24"/>
              </w:rPr>
              <w:t>6</w:t>
            </w:r>
          </w:p>
        </w:tc>
        <w:tc>
          <w:tcPr>
            <w:tcW w:w="1276" w:type="dxa"/>
            <w:vAlign w:val="center"/>
          </w:tcPr>
          <w:p w:rsidR="00AE51F5" w:rsidRDefault="009A78F6">
            <w:pPr>
              <w:jc w:val="center"/>
            </w:pPr>
            <w:r>
              <w:rPr>
                <w:color w:val="000000"/>
                <w:sz w:val="24"/>
              </w:rPr>
              <w:t>300122</w:t>
            </w:r>
          </w:p>
        </w:tc>
        <w:tc>
          <w:tcPr>
            <w:tcW w:w="1559" w:type="dxa"/>
            <w:vAlign w:val="center"/>
          </w:tcPr>
          <w:p w:rsidR="00AE51F5" w:rsidRDefault="009A78F6">
            <w:pPr>
              <w:jc w:val="center"/>
            </w:pPr>
            <w:r>
              <w:rPr>
                <w:color w:val="000000"/>
                <w:sz w:val="24"/>
              </w:rPr>
              <w:t>智飞生物</w:t>
            </w:r>
          </w:p>
        </w:tc>
        <w:tc>
          <w:tcPr>
            <w:tcW w:w="1843" w:type="dxa"/>
            <w:vAlign w:val="center"/>
          </w:tcPr>
          <w:p w:rsidR="00AE51F5" w:rsidRDefault="009A78F6">
            <w:pPr>
              <w:jc w:val="right"/>
            </w:pPr>
            <w:r>
              <w:rPr>
                <w:color w:val="000000"/>
                <w:sz w:val="24"/>
              </w:rPr>
              <w:t>278,370</w:t>
            </w:r>
          </w:p>
        </w:tc>
        <w:tc>
          <w:tcPr>
            <w:tcW w:w="2268" w:type="dxa"/>
            <w:vAlign w:val="center"/>
          </w:tcPr>
          <w:p w:rsidR="00AE51F5" w:rsidRDefault="009A78F6">
            <w:pPr>
              <w:jc w:val="right"/>
            </w:pPr>
            <w:r>
              <w:rPr>
                <w:color w:val="000000"/>
                <w:sz w:val="24"/>
              </w:rPr>
              <w:t>41,173,706.70</w:t>
            </w:r>
          </w:p>
        </w:tc>
        <w:tc>
          <w:tcPr>
            <w:tcW w:w="1134" w:type="dxa"/>
            <w:vAlign w:val="center"/>
          </w:tcPr>
          <w:p w:rsidR="00AE51F5" w:rsidRDefault="009A78F6">
            <w:pPr>
              <w:jc w:val="right"/>
            </w:pPr>
            <w:r>
              <w:rPr>
                <w:color w:val="000000"/>
                <w:sz w:val="24"/>
              </w:rPr>
              <w:t>3.78</w:t>
            </w:r>
          </w:p>
        </w:tc>
      </w:tr>
      <w:tr w:rsidR="00AE51F5">
        <w:tc>
          <w:tcPr>
            <w:tcW w:w="817" w:type="dxa"/>
            <w:vAlign w:val="center"/>
          </w:tcPr>
          <w:p w:rsidR="00AE51F5" w:rsidRDefault="009A78F6">
            <w:pPr>
              <w:jc w:val="center"/>
            </w:pPr>
            <w:r>
              <w:rPr>
                <w:color w:val="000000"/>
                <w:sz w:val="24"/>
              </w:rPr>
              <w:t>7</w:t>
            </w:r>
          </w:p>
        </w:tc>
        <w:tc>
          <w:tcPr>
            <w:tcW w:w="1276" w:type="dxa"/>
            <w:vAlign w:val="center"/>
          </w:tcPr>
          <w:p w:rsidR="00AE51F5" w:rsidRDefault="009A78F6">
            <w:pPr>
              <w:jc w:val="center"/>
            </w:pPr>
            <w:r>
              <w:rPr>
                <w:color w:val="000000"/>
                <w:sz w:val="24"/>
              </w:rPr>
              <w:t>300014</w:t>
            </w:r>
          </w:p>
        </w:tc>
        <w:tc>
          <w:tcPr>
            <w:tcW w:w="1559" w:type="dxa"/>
            <w:vAlign w:val="center"/>
          </w:tcPr>
          <w:p w:rsidR="00AE51F5" w:rsidRDefault="009A78F6">
            <w:pPr>
              <w:jc w:val="center"/>
            </w:pPr>
            <w:r>
              <w:rPr>
                <w:color w:val="000000"/>
                <w:sz w:val="24"/>
              </w:rPr>
              <w:t>亿纬锂能</w:t>
            </w:r>
          </w:p>
        </w:tc>
        <w:tc>
          <w:tcPr>
            <w:tcW w:w="1843" w:type="dxa"/>
            <w:vAlign w:val="center"/>
          </w:tcPr>
          <w:p w:rsidR="00AE51F5" w:rsidRDefault="009A78F6">
            <w:pPr>
              <w:jc w:val="right"/>
            </w:pPr>
            <w:r>
              <w:rPr>
                <w:color w:val="000000"/>
                <w:sz w:val="24"/>
              </w:rPr>
              <w:t>498,010</w:t>
            </w:r>
          </w:p>
        </w:tc>
        <w:tc>
          <w:tcPr>
            <w:tcW w:w="2268" w:type="dxa"/>
            <w:vAlign w:val="center"/>
          </w:tcPr>
          <w:p w:rsidR="00AE51F5" w:rsidRDefault="009A78F6">
            <w:pPr>
              <w:jc w:val="right"/>
            </w:pPr>
            <w:r>
              <w:rPr>
                <w:color w:val="000000"/>
                <w:sz w:val="24"/>
              </w:rPr>
              <w:t>40,587,815.00</w:t>
            </w:r>
          </w:p>
        </w:tc>
        <w:tc>
          <w:tcPr>
            <w:tcW w:w="1134" w:type="dxa"/>
            <w:vAlign w:val="center"/>
          </w:tcPr>
          <w:p w:rsidR="00AE51F5" w:rsidRDefault="009A78F6">
            <w:pPr>
              <w:jc w:val="right"/>
            </w:pPr>
            <w:r>
              <w:rPr>
                <w:color w:val="000000"/>
                <w:sz w:val="24"/>
              </w:rPr>
              <w:t>3.73</w:t>
            </w:r>
          </w:p>
        </w:tc>
      </w:tr>
      <w:tr w:rsidR="00AE51F5">
        <w:tc>
          <w:tcPr>
            <w:tcW w:w="817" w:type="dxa"/>
            <w:vAlign w:val="center"/>
          </w:tcPr>
          <w:p w:rsidR="00AE51F5" w:rsidRDefault="009A78F6">
            <w:pPr>
              <w:jc w:val="center"/>
            </w:pPr>
            <w:r>
              <w:rPr>
                <w:color w:val="000000"/>
                <w:sz w:val="24"/>
              </w:rPr>
              <w:t>8</w:t>
            </w:r>
          </w:p>
        </w:tc>
        <w:tc>
          <w:tcPr>
            <w:tcW w:w="1276" w:type="dxa"/>
            <w:vAlign w:val="center"/>
          </w:tcPr>
          <w:p w:rsidR="00AE51F5" w:rsidRDefault="009A78F6">
            <w:pPr>
              <w:jc w:val="center"/>
            </w:pPr>
            <w:r>
              <w:rPr>
                <w:color w:val="000000"/>
                <w:sz w:val="24"/>
              </w:rPr>
              <w:t>300347</w:t>
            </w:r>
          </w:p>
        </w:tc>
        <w:tc>
          <w:tcPr>
            <w:tcW w:w="1559" w:type="dxa"/>
            <w:vAlign w:val="center"/>
          </w:tcPr>
          <w:p w:rsidR="00AE51F5" w:rsidRDefault="009A78F6">
            <w:pPr>
              <w:jc w:val="center"/>
            </w:pPr>
            <w:r>
              <w:rPr>
                <w:color w:val="000000"/>
                <w:sz w:val="24"/>
              </w:rPr>
              <w:t>泰格医药</w:t>
            </w:r>
          </w:p>
        </w:tc>
        <w:tc>
          <w:tcPr>
            <w:tcW w:w="1843" w:type="dxa"/>
            <w:vAlign w:val="center"/>
          </w:tcPr>
          <w:p w:rsidR="00AE51F5" w:rsidRDefault="009A78F6">
            <w:pPr>
              <w:jc w:val="right"/>
            </w:pPr>
            <w:r>
              <w:rPr>
                <w:color w:val="000000"/>
                <w:sz w:val="24"/>
              </w:rPr>
              <w:t>233,667</w:t>
            </w:r>
          </w:p>
        </w:tc>
        <w:tc>
          <w:tcPr>
            <w:tcW w:w="2268" w:type="dxa"/>
            <w:vAlign w:val="center"/>
          </w:tcPr>
          <w:p w:rsidR="00AE51F5" w:rsidRDefault="009A78F6">
            <w:pPr>
              <w:jc w:val="right"/>
            </w:pPr>
            <w:r>
              <w:rPr>
                <w:color w:val="000000"/>
                <w:sz w:val="24"/>
              </w:rPr>
              <w:t>37,762,923.87</w:t>
            </w:r>
          </w:p>
        </w:tc>
        <w:tc>
          <w:tcPr>
            <w:tcW w:w="1134" w:type="dxa"/>
            <w:vAlign w:val="center"/>
          </w:tcPr>
          <w:p w:rsidR="00AE51F5" w:rsidRDefault="009A78F6">
            <w:pPr>
              <w:jc w:val="right"/>
            </w:pPr>
            <w:r>
              <w:rPr>
                <w:color w:val="000000"/>
                <w:sz w:val="24"/>
              </w:rPr>
              <w:t>3.47</w:t>
            </w:r>
          </w:p>
        </w:tc>
      </w:tr>
      <w:tr w:rsidR="00AE51F5">
        <w:tc>
          <w:tcPr>
            <w:tcW w:w="817" w:type="dxa"/>
            <w:vAlign w:val="center"/>
          </w:tcPr>
          <w:p w:rsidR="00AE51F5" w:rsidRDefault="009A78F6">
            <w:pPr>
              <w:jc w:val="center"/>
            </w:pPr>
            <w:r>
              <w:rPr>
                <w:color w:val="000000"/>
                <w:sz w:val="24"/>
              </w:rPr>
              <w:t>9</w:t>
            </w:r>
          </w:p>
        </w:tc>
        <w:tc>
          <w:tcPr>
            <w:tcW w:w="1276" w:type="dxa"/>
            <w:vAlign w:val="center"/>
          </w:tcPr>
          <w:p w:rsidR="00AE51F5" w:rsidRDefault="009A78F6">
            <w:pPr>
              <w:jc w:val="center"/>
            </w:pPr>
            <w:r>
              <w:rPr>
                <w:color w:val="000000"/>
                <w:sz w:val="24"/>
              </w:rPr>
              <w:t>300274</w:t>
            </w:r>
          </w:p>
        </w:tc>
        <w:tc>
          <w:tcPr>
            <w:tcW w:w="1559" w:type="dxa"/>
            <w:vAlign w:val="center"/>
          </w:tcPr>
          <w:p w:rsidR="00AE51F5" w:rsidRDefault="009A78F6">
            <w:pPr>
              <w:jc w:val="center"/>
            </w:pPr>
            <w:r>
              <w:rPr>
                <w:color w:val="000000"/>
                <w:sz w:val="24"/>
              </w:rPr>
              <w:t>阳光电源</w:t>
            </w:r>
          </w:p>
        </w:tc>
        <w:tc>
          <w:tcPr>
            <w:tcW w:w="1843" w:type="dxa"/>
            <w:vAlign w:val="center"/>
          </w:tcPr>
          <w:p w:rsidR="00AE51F5" w:rsidRDefault="009A78F6">
            <w:pPr>
              <w:jc w:val="right"/>
            </w:pPr>
            <w:r>
              <w:rPr>
                <w:color w:val="000000"/>
                <w:sz w:val="24"/>
              </w:rPr>
              <w:t>430,700</w:t>
            </w:r>
          </w:p>
        </w:tc>
        <w:tc>
          <w:tcPr>
            <w:tcW w:w="2268" w:type="dxa"/>
            <w:vAlign w:val="center"/>
          </w:tcPr>
          <w:p w:rsidR="00AE51F5" w:rsidRDefault="009A78F6">
            <w:pPr>
              <w:jc w:val="right"/>
            </w:pPr>
            <w:r>
              <w:rPr>
                <w:color w:val="000000"/>
                <w:sz w:val="24"/>
              </w:rPr>
              <w:t>31,130,996.00</w:t>
            </w:r>
          </w:p>
        </w:tc>
        <w:tc>
          <w:tcPr>
            <w:tcW w:w="1134" w:type="dxa"/>
            <w:vAlign w:val="center"/>
          </w:tcPr>
          <w:p w:rsidR="00AE51F5" w:rsidRDefault="009A78F6">
            <w:pPr>
              <w:jc w:val="right"/>
            </w:pPr>
            <w:r>
              <w:rPr>
                <w:color w:val="000000"/>
                <w:sz w:val="24"/>
              </w:rPr>
              <w:t>2.86</w:t>
            </w:r>
          </w:p>
        </w:tc>
      </w:tr>
      <w:tr w:rsidR="00AE51F5">
        <w:tc>
          <w:tcPr>
            <w:tcW w:w="817" w:type="dxa"/>
            <w:vAlign w:val="center"/>
          </w:tcPr>
          <w:p w:rsidR="00AE51F5" w:rsidRDefault="009A78F6">
            <w:pPr>
              <w:jc w:val="center"/>
            </w:pPr>
            <w:r>
              <w:rPr>
                <w:color w:val="000000"/>
                <w:sz w:val="24"/>
              </w:rPr>
              <w:t>10</w:t>
            </w:r>
          </w:p>
        </w:tc>
        <w:tc>
          <w:tcPr>
            <w:tcW w:w="1276" w:type="dxa"/>
            <w:vAlign w:val="center"/>
          </w:tcPr>
          <w:p w:rsidR="00AE51F5" w:rsidRDefault="009A78F6">
            <w:pPr>
              <w:jc w:val="center"/>
            </w:pPr>
            <w:r>
              <w:rPr>
                <w:color w:val="000000"/>
                <w:sz w:val="24"/>
              </w:rPr>
              <w:t>300142</w:t>
            </w:r>
          </w:p>
        </w:tc>
        <w:tc>
          <w:tcPr>
            <w:tcW w:w="1559" w:type="dxa"/>
            <w:vAlign w:val="center"/>
          </w:tcPr>
          <w:p w:rsidR="00AE51F5" w:rsidRDefault="009A78F6">
            <w:pPr>
              <w:jc w:val="center"/>
            </w:pPr>
            <w:r>
              <w:rPr>
                <w:color w:val="000000"/>
                <w:sz w:val="24"/>
              </w:rPr>
              <w:t>沃森生物</w:t>
            </w:r>
          </w:p>
        </w:tc>
        <w:tc>
          <w:tcPr>
            <w:tcW w:w="1843" w:type="dxa"/>
            <w:vAlign w:val="center"/>
          </w:tcPr>
          <w:p w:rsidR="00AE51F5" w:rsidRDefault="009A78F6">
            <w:pPr>
              <w:jc w:val="right"/>
            </w:pPr>
            <w:r>
              <w:rPr>
                <w:color w:val="000000"/>
                <w:sz w:val="24"/>
              </w:rPr>
              <w:t>711,382</w:t>
            </w:r>
          </w:p>
        </w:tc>
        <w:tc>
          <w:tcPr>
            <w:tcW w:w="2268" w:type="dxa"/>
            <w:vAlign w:val="center"/>
          </w:tcPr>
          <w:p w:rsidR="00AE51F5" w:rsidRDefault="009A78F6">
            <w:pPr>
              <w:jc w:val="right"/>
            </w:pPr>
            <w:r>
              <w:rPr>
                <w:color w:val="000000"/>
                <w:sz w:val="24"/>
              </w:rPr>
              <w:t>27,430,889.92</w:t>
            </w:r>
          </w:p>
        </w:tc>
        <w:tc>
          <w:tcPr>
            <w:tcW w:w="1134" w:type="dxa"/>
            <w:vAlign w:val="center"/>
          </w:tcPr>
          <w:p w:rsidR="00AE51F5" w:rsidRDefault="009A78F6">
            <w:pPr>
              <w:jc w:val="right"/>
            </w:pPr>
            <w:r>
              <w:rPr>
                <w:color w:val="000000"/>
                <w:sz w:val="24"/>
              </w:rPr>
              <w:t>2.52</w:t>
            </w:r>
          </w:p>
        </w:tc>
      </w:tr>
    </w:tbl>
    <w:p w:rsidR="00774C7D" w:rsidRPr="00045BEC" w:rsidRDefault="00774C7D" w:rsidP="00774C7D">
      <w:pPr>
        <w:spacing w:line="360" w:lineRule="auto"/>
        <w:rPr>
          <w:rFonts w:ascii="宋体"/>
          <w:b/>
          <w:sz w:val="24"/>
        </w:rPr>
      </w:pPr>
      <w:r w:rsidRPr="00045BEC">
        <w:rPr>
          <w:rFonts w:ascii="宋体" w:hAnsi="宋体" w:cs="Arial"/>
          <w:b/>
          <w:color w:val="000000"/>
          <w:kern w:val="0"/>
          <w:sz w:val="24"/>
        </w:rPr>
        <w:t>5.3.2</w:t>
      </w:r>
      <w:r w:rsidR="00AB077A">
        <w:rPr>
          <w:rFonts w:ascii="宋体" w:hAnsi="宋体" w:cs="Arial" w:hint="eastAsia"/>
          <w:b/>
          <w:color w:val="000000"/>
          <w:kern w:val="0"/>
          <w:sz w:val="24"/>
        </w:rPr>
        <w:t>报告</w:t>
      </w:r>
      <w:r w:rsidRPr="00045BEC">
        <w:rPr>
          <w:rFonts w:ascii="宋体" w:hAnsi="宋体" w:cs="Arial" w:hint="eastAsia"/>
          <w:b/>
          <w:color w:val="000000"/>
          <w:kern w:val="0"/>
          <w:sz w:val="24"/>
        </w:rPr>
        <w:t>期末</w:t>
      </w:r>
      <w:r w:rsidRPr="00045BEC">
        <w:rPr>
          <w:rFonts w:ascii="宋体" w:hAnsi="宋体" w:hint="eastAsia"/>
          <w:b/>
          <w:sz w:val="24"/>
        </w:rPr>
        <w:t>积极投资按公允价值占基金资产净值比例大小排序的前五名股票投资明细</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843"/>
        <w:gridCol w:w="2126"/>
        <w:gridCol w:w="1134"/>
      </w:tblGrid>
      <w:tr w:rsidR="00774C7D" w:rsidRPr="00EC5CE0" w:rsidTr="002C4578">
        <w:tc>
          <w:tcPr>
            <w:tcW w:w="817"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序号</w:t>
            </w:r>
          </w:p>
        </w:tc>
        <w:tc>
          <w:tcPr>
            <w:tcW w:w="1276"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股票代码</w:t>
            </w:r>
          </w:p>
        </w:tc>
        <w:tc>
          <w:tcPr>
            <w:tcW w:w="1701"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股票名称</w:t>
            </w:r>
          </w:p>
        </w:tc>
        <w:tc>
          <w:tcPr>
            <w:tcW w:w="1843"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数量（股）</w:t>
            </w:r>
          </w:p>
        </w:tc>
        <w:tc>
          <w:tcPr>
            <w:tcW w:w="2126" w:type="dxa"/>
            <w:vAlign w:val="center"/>
          </w:tcPr>
          <w:p w:rsidR="00774C7D" w:rsidRPr="00C1648E" w:rsidRDefault="00774C7D" w:rsidP="002C4578">
            <w:pPr>
              <w:autoSpaceDE w:val="0"/>
              <w:autoSpaceDN w:val="0"/>
              <w:adjustRightInd w:val="0"/>
              <w:spacing w:before="29" w:line="360" w:lineRule="auto"/>
              <w:ind w:left="17"/>
              <w:jc w:val="center"/>
              <w:rPr>
                <w:color w:val="000000"/>
                <w:sz w:val="24"/>
              </w:rPr>
            </w:pPr>
            <w:r w:rsidRPr="00C1648E">
              <w:rPr>
                <w:color w:val="000000"/>
                <w:sz w:val="24"/>
              </w:rPr>
              <w:t>公允价值（元）</w:t>
            </w:r>
          </w:p>
        </w:tc>
        <w:tc>
          <w:tcPr>
            <w:tcW w:w="1134"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占基金资产净值比例</w:t>
            </w:r>
            <w:r w:rsidRPr="00C1648E">
              <w:rPr>
                <w:color w:val="000000"/>
                <w:sz w:val="24"/>
              </w:rPr>
              <w:t>(</w:t>
            </w:r>
            <w:r w:rsidRPr="00C1648E">
              <w:rPr>
                <w:color w:val="000000"/>
                <w:sz w:val="24"/>
              </w:rPr>
              <w:t>％</w:t>
            </w:r>
            <w:r w:rsidRPr="00C1648E">
              <w:rPr>
                <w:color w:val="000000"/>
                <w:sz w:val="24"/>
              </w:rPr>
              <w:t>)</w:t>
            </w:r>
          </w:p>
        </w:tc>
      </w:tr>
      <w:tr w:rsidR="00AE51F5">
        <w:tc>
          <w:tcPr>
            <w:tcW w:w="817" w:type="dxa"/>
            <w:vAlign w:val="center"/>
          </w:tcPr>
          <w:p w:rsidR="00AE51F5" w:rsidRDefault="009A78F6">
            <w:pPr>
              <w:jc w:val="center"/>
            </w:pPr>
            <w:r>
              <w:rPr>
                <w:color w:val="000000"/>
                <w:sz w:val="24"/>
              </w:rPr>
              <w:t>1</w:t>
            </w:r>
          </w:p>
        </w:tc>
        <w:tc>
          <w:tcPr>
            <w:tcW w:w="1276" w:type="dxa"/>
            <w:vAlign w:val="center"/>
          </w:tcPr>
          <w:p w:rsidR="00AE51F5" w:rsidRDefault="009A78F6">
            <w:pPr>
              <w:jc w:val="center"/>
            </w:pPr>
            <w:r>
              <w:rPr>
                <w:color w:val="000000"/>
                <w:sz w:val="24"/>
              </w:rPr>
              <w:t>300999</w:t>
            </w:r>
          </w:p>
        </w:tc>
        <w:tc>
          <w:tcPr>
            <w:tcW w:w="1701" w:type="dxa"/>
            <w:vAlign w:val="center"/>
          </w:tcPr>
          <w:p w:rsidR="00AE51F5" w:rsidRDefault="009A78F6">
            <w:pPr>
              <w:jc w:val="center"/>
            </w:pPr>
            <w:r>
              <w:rPr>
                <w:color w:val="000000"/>
                <w:sz w:val="24"/>
              </w:rPr>
              <w:t>金龙鱼</w:t>
            </w:r>
          </w:p>
        </w:tc>
        <w:tc>
          <w:tcPr>
            <w:tcW w:w="1843" w:type="dxa"/>
            <w:vAlign w:val="center"/>
          </w:tcPr>
          <w:p w:rsidR="00AE51F5" w:rsidRDefault="009A78F6">
            <w:pPr>
              <w:jc w:val="right"/>
            </w:pPr>
            <w:r>
              <w:rPr>
                <w:color w:val="000000"/>
                <w:sz w:val="24"/>
              </w:rPr>
              <w:t>6,314</w:t>
            </w:r>
          </w:p>
        </w:tc>
        <w:tc>
          <w:tcPr>
            <w:tcW w:w="2126" w:type="dxa"/>
            <w:vAlign w:val="center"/>
          </w:tcPr>
          <w:p w:rsidR="00AE51F5" w:rsidRDefault="009A78F6">
            <w:pPr>
              <w:jc w:val="right"/>
            </w:pPr>
            <w:r>
              <w:rPr>
                <w:color w:val="000000"/>
                <w:sz w:val="24"/>
              </w:rPr>
              <w:t>557,463.06</w:t>
            </w:r>
          </w:p>
        </w:tc>
        <w:tc>
          <w:tcPr>
            <w:tcW w:w="1134" w:type="dxa"/>
            <w:vAlign w:val="center"/>
          </w:tcPr>
          <w:p w:rsidR="00AE51F5" w:rsidRDefault="009A78F6">
            <w:pPr>
              <w:jc w:val="right"/>
            </w:pPr>
            <w:r>
              <w:rPr>
                <w:color w:val="000000"/>
                <w:sz w:val="24"/>
              </w:rPr>
              <w:t>0.05</w:t>
            </w:r>
          </w:p>
        </w:tc>
      </w:tr>
      <w:tr w:rsidR="00AE51F5">
        <w:tc>
          <w:tcPr>
            <w:tcW w:w="817" w:type="dxa"/>
            <w:vAlign w:val="center"/>
          </w:tcPr>
          <w:p w:rsidR="00AE51F5" w:rsidRDefault="009A78F6">
            <w:pPr>
              <w:jc w:val="center"/>
            </w:pPr>
            <w:r>
              <w:rPr>
                <w:color w:val="000000"/>
                <w:sz w:val="24"/>
              </w:rPr>
              <w:t>2</w:t>
            </w:r>
          </w:p>
        </w:tc>
        <w:tc>
          <w:tcPr>
            <w:tcW w:w="1276" w:type="dxa"/>
            <w:vAlign w:val="center"/>
          </w:tcPr>
          <w:p w:rsidR="00AE51F5" w:rsidRDefault="009A78F6">
            <w:pPr>
              <w:jc w:val="center"/>
            </w:pPr>
            <w:r>
              <w:rPr>
                <w:color w:val="000000"/>
                <w:sz w:val="24"/>
              </w:rPr>
              <w:t>300919</w:t>
            </w:r>
          </w:p>
        </w:tc>
        <w:tc>
          <w:tcPr>
            <w:tcW w:w="1701" w:type="dxa"/>
            <w:vAlign w:val="center"/>
          </w:tcPr>
          <w:p w:rsidR="00AE51F5" w:rsidRDefault="009A78F6">
            <w:pPr>
              <w:jc w:val="center"/>
            </w:pPr>
            <w:r>
              <w:rPr>
                <w:color w:val="000000"/>
                <w:sz w:val="24"/>
              </w:rPr>
              <w:t>中伟股份</w:t>
            </w:r>
          </w:p>
        </w:tc>
        <w:tc>
          <w:tcPr>
            <w:tcW w:w="1843" w:type="dxa"/>
            <w:vAlign w:val="center"/>
          </w:tcPr>
          <w:p w:rsidR="00AE51F5" w:rsidRDefault="009A78F6">
            <w:pPr>
              <w:jc w:val="right"/>
            </w:pPr>
            <w:r>
              <w:rPr>
                <w:color w:val="000000"/>
                <w:sz w:val="24"/>
              </w:rPr>
              <w:t>6,093</w:t>
            </w:r>
          </w:p>
        </w:tc>
        <w:tc>
          <w:tcPr>
            <w:tcW w:w="2126" w:type="dxa"/>
            <w:vAlign w:val="center"/>
          </w:tcPr>
          <w:p w:rsidR="00AE51F5" w:rsidRDefault="009A78F6">
            <w:pPr>
              <w:jc w:val="right"/>
            </w:pPr>
            <w:r>
              <w:rPr>
                <w:color w:val="000000"/>
                <w:sz w:val="24"/>
              </w:rPr>
              <w:t>485,591.86</w:t>
            </w:r>
          </w:p>
        </w:tc>
        <w:tc>
          <w:tcPr>
            <w:tcW w:w="1134" w:type="dxa"/>
            <w:vAlign w:val="center"/>
          </w:tcPr>
          <w:p w:rsidR="00AE51F5" w:rsidRDefault="009A78F6">
            <w:pPr>
              <w:jc w:val="right"/>
            </w:pPr>
            <w:r>
              <w:rPr>
                <w:color w:val="000000"/>
                <w:sz w:val="24"/>
              </w:rPr>
              <w:t>0.04</w:t>
            </w:r>
          </w:p>
        </w:tc>
      </w:tr>
      <w:tr w:rsidR="00AE51F5">
        <w:tc>
          <w:tcPr>
            <w:tcW w:w="817" w:type="dxa"/>
            <w:vAlign w:val="center"/>
          </w:tcPr>
          <w:p w:rsidR="00AE51F5" w:rsidRDefault="009A78F6">
            <w:pPr>
              <w:jc w:val="center"/>
            </w:pPr>
            <w:r>
              <w:rPr>
                <w:color w:val="000000"/>
                <w:sz w:val="24"/>
              </w:rPr>
              <w:t>3</w:t>
            </w:r>
          </w:p>
        </w:tc>
        <w:tc>
          <w:tcPr>
            <w:tcW w:w="1276" w:type="dxa"/>
            <w:vAlign w:val="center"/>
          </w:tcPr>
          <w:p w:rsidR="00AE51F5" w:rsidRDefault="009A78F6">
            <w:pPr>
              <w:jc w:val="center"/>
            </w:pPr>
            <w:r>
              <w:rPr>
                <w:color w:val="000000"/>
                <w:sz w:val="24"/>
              </w:rPr>
              <w:t>300896</w:t>
            </w:r>
          </w:p>
        </w:tc>
        <w:tc>
          <w:tcPr>
            <w:tcW w:w="1701" w:type="dxa"/>
            <w:vAlign w:val="center"/>
          </w:tcPr>
          <w:p w:rsidR="00AE51F5" w:rsidRDefault="009A78F6">
            <w:pPr>
              <w:jc w:val="center"/>
            </w:pPr>
            <w:r>
              <w:rPr>
                <w:color w:val="000000"/>
                <w:sz w:val="24"/>
              </w:rPr>
              <w:t>爱美客</w:t>
            </w:r>
          </w:p>
        </w:tc>
        <w:tc>
          <w:tcPr>
            <w:tcW w:w="1843" w:type="dxa"/>
            <w:vAlign w:val="center"/>
          </w:tcPr>
          <w:p w:rsidR="00AE51F5" w:rsidRDefault="009A78F6">
            <w:pPr>
              <w:jc w:val="right"/>
            </w:pPr>
            <w:r>
              <w:rPr>
                <w:color w:val="000000"/>
                <w:sz w:val="24"/>
              </w:rPr>
              <w:t>426</w:t>
            </w:r>
          </w:p>
        </w:tc>
        <w:tc>
          <w:tcPr>
            <w:tcW w:w="2126" w:type="dxa"/>
            <w:vAlign w:val="center"/>
          </w:tcPr>
          <w:p w:rsidR="00AE51F5" w:rsidRDefault="009A78F6">
            <w:pPr>
              <w:jc w:val="right"/>
            </w:pPr>
            <w:r>
              <w:rPr>
                <w:color w:val="000000"/>
                <w:sz w:val="24"/>
              </w:rPr>
              <w:t>257,031.36</w:t>
            </w:r>
          </w:p>
        </w:tc>
        <w:tc>
          <w:tcPr>
            <w:tcW w:w="1134" w:type="dxa"/>
            <w:vAlign w:val="center"/>
          </w:tcPr>
          <w:p w:rsidR="00AE51F5" w:rsidRDefault="009A78F6">
            <w:pPr>
              <w:jc w:val="right"/>
            </w:pPr>
            <w:r>
              <w:rPr>
                <w:color w:val="000000"/>
                <w:sz w:val="24"/>
              </w:rPr>
              <w:t>0.02</w:t>
            </w:r>
          </w:p>
        </w:tc>
      </w:tr>
      <w:tr w:rsidR="00AE51F5">
        <w:tc>
          <w:tcPr>
            <w:tcW w:w="817" w:type="dxa"/>
            <w:vAlign w:val="center"/>
          </w:tcPr>
          <w:p w:rsidR="00AE51F5" w:rsidRDefault="009A78F6">
            <w:pPr>
              <w:jc w:val="center"/>
            </w:pPr>
            <w:r>
              <w:rPr>
                <w:color w:val="000000"/>
                <w:sz w:val="24"/>
              </w:rPr>
              <w:t>4</w:t>
            </w:r>
          </w:p>
        </w:tc>
        <w:tc>
          <w:tcPr>
            <w:tcW w:w="1276" w:type="dxa"/>
            <w:vAlign w:val="center"/>
          </w:tcPr>
          <w:p w:rsidR="00AE51F5" w:rsidRDefault="009A78F6">
            <w:pPr>
              <w:jc w:val="center"/>
            </w:pPr>
            <w:r>
              <w:rPr>
                <w:color w:val="000000"/>
                <w:sz w:val="24"/>
              </w:rPr>
              <w:t>300926</w:t>
            </w:r>
          </w:p>
        </w:tc>
        <w:tc>
          <w:tcPr>
            <w:tcW w:w="1701" w:type="dxa"/>
            <w:vAlign w:val="center"/>
          </w:tcPr>
          <w:p w:rsidR="00AE51F5" w:rsidRDefault="009A78F6">
            <w:pPr>
              <w:jc w:val="center"/>
            </w:pPr>
            <w:r>
              <w:rPr>
                <w:color w:val="000000"/>
                <w:sz w:val="24"/>
              </w:rPr>
              <w:t>博俊科技</w:t>
            </w:r>
          </w:p>
        </w:tc>
        <w:tc>
          <w:tcPr>
            <w:tcW w:w="1843" w:type="dxa"/>
            <w:vAlign w:val="center"/>
          </w:tcPr>
          <w:p w:rsidR="00AE51F5" w:rsidRDefault="009A78F6">
            <w:pPr>
              <w:jc w:val="right"/>
            </w:pPr>
            <w:r>
              <w:rPr>
                <w:color w:val="000000"/>
                <w:sz w:val="24"/>
              </w:rPr>
              <w:t>3,584</w:t>
            </w:r>
          </w:p>
        </w:tc>
        <w:tc>
          <w:tcPr>
            <w:tcW w:w="2126" w:type="dxa"/>
            <w:vAlign w:val="center"/>
          </w:tcPr>
          <w:p w:rsidR="00AE51F5" w:rsidRDefault="009A78F6">
            <w:pPr>
              <w:jc w:val="right"/>
            </w:pPr>
            <w:r>
              <w:rPr>
                <w:color w:val="000000"/>
                <w:sz w:val="24"/>
              </w:rPr>
              <w:t>38,563.84</w:t>
            </w:r>
          </w:p>
        </w:tc>
        <w:tc>
          <w:tcPr>
            <w:tcW w:w="1134" w:type="dxa"/>
            <w:vAlign w:val="center"/>
          </w:tcPr>
          <w:p w:rsidR="00AE51F5" w:rsidRDefault="009A78F6">
            <w:pPr>
              <w:jc w:val="right"/>
            </w:pPr>
            <w:r>
              <w:rPr>
                <w:color w:val="000000"/>
                <w:sz w:val="24"/>
              </w:rPr>
              <w:t>0.00</w:t>
            </w:r>
          </w:p>
        </w:tc>
      </w:tr>
      <w:tr w:rsidR="00AE51F5">
        <w:tc>
          <w:tcPr>
            <w:tcW w:w="817" w:type="dxa"/>
            <w:vAlign w:val="center"/>
          </w:tcPr>
          <w:p w:rsidR="00AE51F5" w:rsidRDefault="009A78F6">
            <w:pPr>
              <w:jc w:val="center"/>
            </w:pPr>
            <w:r>
              <w:rPr>
                <w:color w:val="000000"/>
                <w:sz w:val="24"/>
              </w:rPr>
              <w:t>5</w:t>
            </w:r>
          </w:p>
        </w:tc>
        <w:tc>
          <w:tcPr>
            <w:tcW w:w="1276" w:type="dxa"/>
            <w:vAlign w:val="center"/>
          </w:tcPr>
          <w:p w:rsidR="00AE51F5" w:rsidRDefault="009A78F6">
            <w:pPr>
              <w:jc w:val="center"/>
            </w:pPr>
            <w:r>
              <w:rPr>
                <w:color w:val="000000"/>
                <w:sz w:val="24"/>
              </w:rPr>
              <w:t>300900</w:t>
            </w:r>
          </w:p>
        </w:tc>
        <w:tc>
          <w:tcPr>
            <w:tcW w:w="1701" w:type="dxa"/>
            <w:vAlign w:val="center"/>
          </w:tcPr>
          <w:p w:rsidR="00AE51F5" w:rsidRDefault="009A78F6">
            <w:pPr>
              <w:jc w:val="center"/>
            </w:pPr>
            <w:r>
              <w:rPr>
                <w:color w:val="000000"/>
                <w:sz w:val="24"/>
              </w:rPr>
              <w:t>广联航空</w:t>
            </w:r>
          </w:p>
        </w:tc>
        <w:tc>
          <w:tcPr>
            <w:tcW w:w="1843" w:type="dxa"/>
            <w:vAlign w:val="center"/>
          </w:tcPr>
          <w:p w:rsidR="00AE51F5" w:rsidRDefault="009A78F6">
            <w:pPr>
              <w:jc w:val="right"/>
            </w:pPr>
            <w:r>
              <w:rPr>
                <w:color w:val="000000"/>
                <w:sz w:val="24"/>
              </w:rPr>
              <w:t>879</w:t>
            </w:r>
          </w:p>
        </w:tc>
        <w:tc>
          <w:tcPr>
            <w:tcW w:w="2126" w:type="dxa"/>
            <w:vAlign w:val="center"/>
          </w:tcPr>
          <w:p w:rsidR="00AE51F5" w:rsidRDefault="009A78F6">
            <w:pPr>
              <w:jc w:val="right"/>
            </w:pPr>
            <w:r>
              <w:rPr>
                <w:color w:val="000000"/>
                <w:sz w:val="24"/>
              </w:rPr>
              <w:t>29,147.64</w:t>
            </w:r>
          </w:p>
        </w:tc>
        <w:tc>
          <w:tcPr>
            <w:tcW w:w="1134" w:type="dxa"/>
            <w:vAlign w:val="center"/>
          </w:tcPr>
          <w:p w:rsidR="00AE51F5" w:rsidRDefault="009A78F6">
            <w:pPr>
              <w:jc w:val="right"/>
            </w:pPr>
            <w:r>
              <w:rPr>
                <w:color w:val="000000"/>
                <w:sz w:val="24"/>
              </w:rPr>
              <w:t>0.00</w:t>
            </w:r>
          </w:p>
        </w:tc>
      </w:tr>
    </w:tbl>
    <w:p w:rsidR="00712EE5" w:rsidRPr="00712EE5" w:rsidRDefault="00A62673" w:rsidP="00712EE5">
      <w:pPr>
        <w:autoSpaceDE w:val="0"/>
        <w:autoSpaceDN w:val="0"/>
        <w:adjustRightInd w:val="0"/>
        <w:spacing w:line="360" w:lineRule="auto"/>
        <w:jc w:val="left"/>
        <w:rPr>
          <w:rFonts w:eastAsiaTheme="minorEastAsia"/>
          <w:b/>
          <w:color w:val="000000" w:themeColor="text1"/>
          <w:kern w:val="0"/>
          <w:sz w:val="24"/>
        </w:rPr>
      </w:pPr>
      <w:r w:rsidRPr="00EC5CE0">
        <w:rPr>
          <w:rFonts w:ascii="宋体" w:hAnsi="宋体" w:cs="Arial"/>
          <w:b/>
          <w:color w:val="000000"/>
          <w:kern w:val="0"/>
          <w:sz w:val="24"/>
        </w:rPr>
        <w:t xml:space="preserve">5.4 </w:t>
      </w:r>
      <w:r w:rsidRPr="00EC5CE0">
        <w:rPr>
          <w:rFonts w:ascii="宋体" w:hAnsi="宋体" w:cs="Arial" w:hint="eastAsia"/>
          <w:b/>
          <w:color w:val="000000"/>
          <w:kern w:val="0"/>
          <w:sz w:val="24"/>
        </w:rPr>
        <w:t>报告期末按债券品种分类的债券投资组合</w:t>
      </w:r>
    </w:p>
    <w:p w:rsidR="00A62673" w:rsidRPr="00BF18E8" w:rsidRDefault="00712EE5" w:rsidP="00712EE5">
      <w:pPr>
        <w:spacing w:line="360" w:lineRule="auto"/>
        <w:ind w:firstLineChars="200" w:firstLine="480"/>
        <w:rPr>
          <w:color w:val="000000"/>
          <w:sz w:val="24"/>
        </w:rPr>
      </w:pPr>
      <w:r w:rsidRPr="00BF18E8">
        <w:rPr>
          <w:color w:val="000000"/>
          <w:sz w:val="24"/>
        </w:rPr>
        <w:t>本基金本报告期末未持有债券。</w:t>
      </w:r>
    </w:p>
    <w:p w:rsidR="00A62673" w:rsidRPr="00EC5CE0" w:rsidRDefault="00A62673" w:rsidP="00045BEC">
      <w:pPr>
        <w:autoSpaceDE w:val="0"/>
        <w:autoSpaceDN w:val="0"/>
        <w:adjustRightInd w:val="0"/>
        <w:spacing w:line="360" w:lineRule="auto"/>
        <w:jc w:val="left"/>
        <w:rPr>
          <w:rFonts w:ascii="宋体" w:cs="Arial"/>
          <w:b/>
          <w:color w:val="000000"/>
          <w:kern w:val="0"/>
          <w:sz w:val="24"/>
        </w:rPr>
      </w:pPr>
      <w:r w:rsidRPr="00EC5CE0">
        <w:rPr>
          <w:rFonts w:ascii="宋体" w:hAnsi="宋体" w:cs="Arial"/>
          <w:b/>
          <w:color w:val="000000"/>
          <w:kern w:val="0"/>
          <w:sz w:val="24"/>
        </w:rPr>
        <w:t xml:space="preserve">5.5 </w:t>
      </w:r>
      <w:r w:rsidRPr="00EC5CE0">
        <w:rPr>
          <w:rFonts w:ascii="宋体" w:hAnsi="宋体" w:cs="Arial" w:hint="eastAsia"/>
          <w:b/>
          <w:color w:val="000000"/>
          <w:kern w:val="0"/>
          <w:sz w:val="24"/>
        </w:rPr>
        <w:t>报告期末按公允价值占基金资产净值比例大小排</w:t>
      </w:r>
      <w:r>
        <w:rPr>
          <w:rFonts w:ascii="宋体" w:hAnsi="宋体" w:cs="Arial" w:hint="eastAsia"/>
          <w:b/>
          <w:color w:val="000000"/>
          <w:kern w:val="0"/>
          <w:sz w:val="24"/>
        </w:rPr>
        <w:t>序</w:t>
      </w:r>
      <w:r w:rsidRPr="00EC5CE0">
        <w:rPr>
          <w:rFonts w:ascii="宋体" w:hAnsi="宋体" w:cs="Arial" w:hint="eastAsia"/>
          <w:b/>
          <w:color w:val="000000"/>
          <w:kern w:val="0"/>
          <w:sz w:val="24"/>
        </w:rPr>
        <w:t>的前五名债券投资明细</w:t>
      </w:r>
    </w:p>
    <w:p w:rsidR="00A62673" w:rsidRPr="00C1648E" w:rsidRDefault="00A62673" w:rsidP="00C1648E">
      <w:pPr>
        <w:spacing w:line="360" w:lineRule="auto"/>
        <w:ind w:firstLineChars="200" w:firstLine="480"/>
        <w:rPr>
          <w:color w:val="000000"/>
          <w:sz w:val="24"/>
        </w:rPr>
      </w:pPr>
      <w:r w:rsidRPr="00DC315B">
        <w:rPr>
          <w:color w:val="000000"/>
          <w:sz w:val="24"/>
        </w:rPr>
        <w:t>本基金本报告期末未持有债券。</w:t>
      </w:r>
    </w:p>
    <w:p w:rsidR="00A62673" w:rsidRPr="00EC5CE0" w:rsidRDefault="00A62673" w:rsidP="00045BEC">
      <w:pPr>
        <w:autoSpaceDE w:val="0"/>
        <w:autoSpaceDN w:val="0"/>
        <w:adjustRightInd w:val="0"/>
        <w:spacing w:line="360" w:lineRule="auto"/>
        <w:jc w:val="left"/>
        <w:rPr>
          <w:rFonts w:ascii="宋体" w:cs="Arial"/>
          <w:b/>
          <w:color w:val="000000"/>
          <w:kern w:val="0"/>
          <w:sz w:val="24"/>
        </w:rPr>
      </w:pPr>
      <w:r w:rsidRPr="00EC5CE0">
        <w:rPr>
          <w:rFonts w:ascii="宋体" w:hAnsi="宋体" w:cs="Arial"/>
          <w:b/>
          <w:color w:val="000000"/>
          <w:kern w:val="0"/>
          <w:sz w:val="24"/>
        </w:rPr>
        <w:t>5.6</w:t>
      </w:r>
      <w:r w:rsidRPr="00EC5CE0">
        <w:rPr>
          <w:rFonts w:ascii="宋体" w:hAnsi="宋体" w:cs="Arial" w:hint="eastAsia"/>
          <w:b/>
          <w:color w:val="000000"/>
          <w:kern w:val="0"/>
          <w:sz w:val="24"/>
        </w:rPr>
        <w:t>报告期末按公允价值占基金资产净值比例大小排</w:t>
      </w:r>
      <w:r>
        <w:rPr>
          <w:rFonts w:ascii="宋体" w:hAnsi="宋体" w:cs="Arial" w:hint="eastAsia"/>
          <w:b/>
          <w:color w:val="000000"/>
          <w:kern w:val="0"/>
          <w:sz w:val="24"/>
        </w:rPr>
        <w:t>序</w:t>
      </w:r>
      <w:r w:rsidRPr="00EC5CE0">
        <w:rPr>
          <w:rFonts w:ascii="宋体" w:hAnsi="宋体" w:cs="Arial" w:hint="eastAsia"/>
          <w:b/>
          <w:color w:val="000000"/>
          <w:kern w:val="0"/>
          <w:sz w:val="24"/>
        </w:rPr>
        <w:t>的前十名资产支持证券投资明细</w:t>
      </w:r>
    </w:p>
    <w:p w:rsidR="00A62673" w:rsidRPr="00C1648E" w:rsidRDefault="00A62673" w:rsidP="00C1648E">
      <w:pPr>
        <w:spacing w:line="360" w:lineRule="auto"/>
        <w:ind w:firstLineChars="200" w:firstLine="480"/>
        <w:rPr>
          <w:color w:val="000000"/>
          <w:sz w:val="24"/>
        </w:rPr>
      </w:pPr>
      <w:r w:rsidRPr="00DC315B">
        <w:rPr>
          <w:color w:val="000000"/>
          <w:sz w:val="24"/>
        </w:rPr>
        <w:t>本基金本报告期末未持有资产支持证券。</w:t>
      </w:r>
    </w:p>
    <w:p w:rsidR="00A62673" w:rsidRPr="001D63BB" w:rsidRDefault="00A62673" w:rsidP="008021E8">
      <w:pPr>
        <w:autoSpaceDE w:val="0"/>
        <w:autoSpaceDN w:val="0"/>
        <w:adjustRightInd w:val="0"/>
        <w:spacing w:line="360" w:lineRule="auto"/>
        <w:jc w:val="left"/>
        <w:rPr>
          <w:rFonts w:ascii="宋体"/>
          <w:b/>
          <w:bCs/>
          <w:color w:val="000000"/>
          <w:kern w:val="0"/>
          <w:sz w:val="24"/>
        </w:rPr>
      </w:pPr>
      <w:r w:rsidRPr="001B0A62">
        <w:rPr>
          <w:rFonts w:ascii="宋体" w:hAnsi="宋体"/>
          <w:b/>
          <w:bCs/>
          <w:color w:val="000000"/>
          <w:kern w:val="0"/>
          <w:sz w:val="24"/>
        </w:rPr>
        <w:t>5.</w:t>
      </w:r>
      <w:r w:rsidRPr="001B0A62">
        <w:rPr>
          <w:rFonts w:ascii="宋体"/>
          <w:b/>
          <w:bCs/>
          <w:color w:val="000000"/>
          <w:kern w:val="0"/>
          <w:sz w:val="24"/>
        </w:rPr>
        <w:t>7</w:t>
      </w:r>
      <w:r w:rsidRPr="001D63BB">
        <w:rPr>
          <w:rFonts w:ascii="宋体" w:hAnsi="宋体" w:hint="eastAsia"/>
          <w:b/>
          <w:bCs/>
          <w:color w:val="000000"/>
          <w:kern w:val="0"/>
          <w:sz w:val="24"/>
        </w:rPr>
        <w:t>报告期末按公允价值占基金资产净值比例大小排序的前五名贵金属投资明细</w:t>
      </w:r>
    </w:p>
    <w:p w:rsidR="00A62673" w:rsidRPr="00C1648E" w:rsidRDefault="00A62673" w:rsidP="00C1648E">
      <w:pPr>
        <w:spacing w:line="360" w:lineRule="auto"/>
        <w:ind w:firstLineChars="200" w:firstLine="480"/>
        <w:rPr>
          <w:color w:val="000000"/>
          <w:sz w:val="24"/>
        </w:rPr>
      </w:pPr>
      <w:r w:rsidRPr="00DC315B">
        <w:rPr>
          <w:color w:val="000000"/>
          <w:sz w:val="24"/>
        </w:rPr>
        <w:t>本基金本报告期末未持有贵金属。</w:t>
      </w:r>
    </w:p>
    <w:p w:rsidR="00A62673" w:rsidRPr="00EC5CE0" w:rsidRDefault="00A62673" w:rsidP="00045BEC">
      <w:pPr>
        <w:autoSpaceDE w:val="0"/>
        <w:autoSpaceDN w:val="0"/>
        <w:adjustRightInd w:val="0"/>
        <w:spacing w:line="360" w:lineRule="auto"/>
        <w:jc w:val="left"/>
        <w:rPr>
          <w:rFonts w:ascii="宋体" w:cs="Arial"/>
          <w:b/>
          <w:color w:val="000000"/>
          <w:kern w:val="0"/>
          <w:sz w:val="24"/>
        </w:rPr>
      </w:pPr>
      <w:r w:rsidRPr="00EC5CE0">
        <w:rPr>
          <w:rFonts w:ascii="宋体" w:cs="Arial"/>
          <w:b/>
          <w:color w:val="000000"/>
          <w:kern w:val="0"/>
          <w:sz w:val="24"/>
        </w:rPr>
        <w:t>5.8</w:t>
      </w:r>
      <w:r w:rsidRPr="00EC5CE0">
        <w:rPr>
          <w:rFonts w:ascii="宋体" w:hAnsi="宋体" w:hint="eastAsia"/>
          <w:b/>
          <w:bCs/>
          <w:color w:val="000000"/>
          <w:sz w:val="24"/>
        </w:rPr>
        <w:t>报告期末按公允价值占基金资产净值比例大小排</w:t>
      </w:r>
      <w:r>
        <w:rPr>
          <w:rFonts w:ascii="宋体" w:hAnsi="宋体" w:hint="eastAsia"/>
          <w:b/>
          <w:bCs/>
          <w:color w:val="000000"/>
          <w:sz w:val="24"/>
        </w:rPr>
        <w:t>序</w:t>
      </w:r>
      <w:r w:rsidRPr="00EC5CE0">
        <w:rPr>
          <w:rFonts w:ascii="宋体" w:hAnsi="宋体" w:hint="eastAsia"/>
          <w:b/>
          <w:bCs/>
          <w:color w:val="000000"/>
          <w:sz w:val="24"/>
        </w:rPr>
        <w:t>的前五名权证投资明细</w:t>
      </w:r>
    </w:p>
    <w:p w:rsidR="00A62673" w:rsidRPr="00C1648E" w:rsidRDefault="00A62673" w:rsidP="00C1648E">
      <w:pPr>
        <w:spacing w:line="360" w:lineRule="auto"/>
        <w:ind w:firstLineChars="200" w:firstLine="480"/>
        <w:rPr>
          <w:color w:val="000000"/>
          <w:sz w:val="24"/>
        </w:rPr>
      </w:pPr>
      <w:r w:rsidRPr="00DC315B">
        <w:rPr>
          <w:color w:val="000000"/>
          <w:sz w:val="24"/>
        </w:rPr>
        <w:t>本基金本报告期末未持有权证。</w:t>
      </w:r>
    </w:p>
    <w:p w:rsidR="00A62673" w:rsidRPr="00EC5CE0" w:rsidRDefault="00A62673" w:rsidP="00045BEC">
      <w:pPr>
        <w:adjustRightInd w:val="0"/>
        <w:snapToGrid w:val="0"/>
        <w:spacing w:line="360" w:lineRule="auto"/>
        <w:rPr>
          <w:rFonts w:ascii="宋体"/>
          <w:b/>
          <w:sz w:val="24"/>
        </w:rPr>
      </w:pPr>
      <w:r w:rsidRPr="00EC5CE0">
        <w:rPr>
          <w:rFonts w:ascii="宋体" w:hAnsi="宋体"/>
          <w:b/>
          <w:sz w:val="24"/>
        </w:rPr>
        <w:t xml:space="preserve">5.9 </w:t>
      </w:r>
      <w:r w:rsidRPr="00EC5CE0">
        <w:rPr>
          <w:rFonts w:ascii="宋体" w:hAnsi="宋体" w:hint="eastAsia"/>
          <w:b/>
          <w:sz w:val="24"/>
        </w:rPr>
        <w:t>报告期末本基金投资的股指期货交易情况说明</w:t>
      </w:r>
    </w:p>
    <w:p w:rsidR="00A62673" w:rsidRPr="00C1648E" w:rsidRDefault="00A62673" w:rsidP="00C1648E">
      <w:pPr>
        <w:spacing w:line="360" w:lineRule="auto"/>
        <w:ind w:firstLineChars="200" w:firstLine="480"/>
        <w:rPr>
          <w:color w:val="000000"/>
          <w:sz w:val="24"/>
        </w:rPr>
      </w:pPr>
      <w:r w:rsidRPr="00DC315B">
        <w:rPr>
          <w:color w:val="000000"/>
          <w:sz w:val="24"/>
        </w:rPr>
        <w:t>本基金本报告期末未持有股指期货。</w:t>
      </w:r>
    </w:p>
    <w:p w:rsidR="00A62673" w:rsidRPr="00EC5CE0" w:rsidRDefault="00A62673" w:rsidP="00045BEC">
      <w:pPr>
        <w:adjustRightInd w:val="0"/>
        <w:snapToGrid w:val="0"/>
        <w:spacing w:line="360" w:lineRule="auto"/>
        <w:rPr>
          <w:rFonts w:ascii="宋体"/>
          <w:b/>
          <w:sz w:val="24"/>
        </w:rPr>
      </w:pPr>
      <w:r w:rsidRPr="00EC5CE0">
        <w:rPr>
          <w:rFonts w:ascii="宋体" w:hAnsi="宋体"/>
          <w:b/>
          <w:sz w:val="24"/>
        </w:rPr>
        <w:t>5.10</w:t>
      </w:r>
      <w:r w:rsidRPr="00EC5CE0">
        <w:rPr>
          <w:rFonts w:ascii="宋体" w:hAnsi="宋体" w:hint="eastAsia"/>
          <w:b/>
          <w:sz w:val="24"/>
        </w:rPr>
        <w:t>报告期末本基金投资的国债期货交易情况说明</w:t>
      </w:r>
    </w:p>
    <w:p w:rsidR="00A62673" w:rsidRPr="00DC315B" w:rsidRDefault="00A62673" w:rsidP="00DC315B">
      <w:pPr>
        <w:spacing w:line="360" w:lineRule="auto"/>
        <w:ind w:firstLineChars="200" w:firstLine="480"/>
        <w:rPr>
          <w:color w:val="000000"/>
          <w:sz w:val="24"/>
        </w:rPr>
      </w:pPr>
      <w:r w:rsidRPr="00DC315B">
        <w:rPr>
          <w:color w:val="000000"/>
          <w:sz w:val="24"/>
        </w:rPr>
        <w:t>本基金本报告期末未持有国债期货。</w:t>
      </w:r>
    </w:p>
    <w:p w:rsidR="00A62673" w:rsidRPr="00EC5CE0" w:rsidRDefault="00A62673" w:rsidP="00045BEC">
      <w:pPr>
        <w:autoSpaceDE w:val="0"/>
        <w:autoSpaceDN w:val="0"/>
        <w:adjustRightInd w:val="0"/>
        <w:spacing w:line="360" w:lineRule="auto"/>
        <w:jc w:val="left"/>
        <w:rPr>
          <w:rFonts w:ascii="宋体" w:cs="Arial"/>
          <w:b/>
          <w:color w:val="000000"/>
          <w:kern w:val="0"/>
          <w:sz w:val="24"/>
        </w:rPr>
      </w:pPr>
      <w:r w:rsidRPr="00EC5CE0">
        <w:rPr>
          <w:rFonts w:ascii="宋体" w:hAnsi="宋体" w:cs="Arial"/>
          <w:b/>
          <w:color w:val="000000"/>
          <w:kern w:val="0"/>
          <w:sz w:val="24"/>
        </w:rPr>
        <w:t>5.11</w:t>
      </w:r>
      <w:r w:rsidRPr="00EC5CE0">
        <w:rPr>
          <w:rFonts w:ascii="宋体" w:hAnsi="宋体" w:cs="Arial" w:hint="eastAsia"/>
          <w:b/>
          <w:color w:val="000000"/>
          <w:kern w:val="0"/>
          <w:sz w:val="24"/>
        </w:rPr>
        <w:t>投资组合报告附注</w:t>
      </w:r>
    </w:p>
    <w:p w:rsidR="000D34E3" w:rsidRPr="00D435A4" w:rsidRDefault="000D34E3" w:rsidP="009A78F6">
      <w:pPr>
        <w:spacing w:line="360" w:lineRule="auto"/>
        <w:rPr>
          <w:rFonts w:eastAsiaTheme="minorEastAsia"/>
          <w:color w:val="000000"/>
          <w:sz w:val="24"/>
        </w:rPr>
      </w:pPr>
      <w:r w:rsidRPr="0015516B">
        <w:rPr>
          <w:rFonts w:asciiTheme="minorEastAsia" w:eastAsiaTheme="minorEastAsia" w:hAnsiTheme="minorEastAsia" w:hint="eastAsia"/>
          <w:b/>
          <w:color w:val="000000"/>
          <w:sz w:val="24"/>
        </w:rPr>
        <w:t>5.11.1</w:t>
      </w:r>
      <w:r w:rsidRPr="00D435A4">
        <w:rPr>
          <w:rFonts w:eastAsiaTheme="minorEastAsia"/>
          <w:color w:val="000000"/>
          <w:sz w:val="24"/>
        </w:rPr>
        <w:t>报告期内本基金投资的前十名证券的发行主体未被监管部门立案调查，在本报告编制日前一年内本基金投资的前十名证券的发行主体未受到公开谴责和处罚。</w:t>
      </w:r>
    </w:p>
    <w:p w:rsidR="000D34E3" w:rsidRPr="005619D8" w:rsidRDefault="000D34E3" w:rsidP="009A78F6">
      <w:pPr>
        <w:spacing w:line="360" w:lineRule="auto"/>
        <w:rPr>
          <w:rFonts w:asciiTheme="minorEastAsia" w:eastAsiaTheme="minorEastAsia" w:hAnsiTheme="minorEastAsia"/>
          <w:color w:val="000000"/>
          <w:sz w:val="24"/>
        </w:rPr>
      </w:pPr>
      <w:r w:rsidRPr="0015516B">
        <w:rPr>
          <w:rFonts w:asciiTheme="minorEastAsia" w:eastAsiaTheme="minorEastAsia" w:hAnsiTheme="minorEastAsia" w:hint="eastAsia"/>
          <w:b/>
          <w:color w:val="000000"/>
          <w:sz w:val="24"/>
        </w:rPr>
        <w:t>5.11.2</w:t>
      </w:r>
      <w:r w:rsidR="00AB077A" w:rsidRPr="0015516B">
        <w:rPr>
          <w:rFonts w:asciiTheme="minorEastAsia" w:eastAsiaTheme="minorEastAsia" w:hAnsiTheme="minorEastAsia"/>
          <w:b/>
          <w:color w:val="000000"/>
          <w:sz w:val="24"/>
        </w:rPr>
        <w:t xml:space="preserve"> </w:t>
      </w:r>
      <w:bookmarkStart w:id="0" w:name="_GoBack"/>
      <w:bookmarkEnd w:id="0"/>
      <w:r w:rsidRPr="00D435A4">
        <w:rPr>
          <w:rFonts w:eastAsiaTheme="minorEastAsia"/>
          <w:color w:val="000000"/>
          <w:sz w:val="24"/>
        </w:rPr>
        <w:t>本基金投资的前十名股票中，没有超出基金合同规定的备选股票库之外的股票。</w:t>
      </w:r>
    </w:p>
    <w:p w:rsidR="00A62673" w:rsidRPr="00320C1E" w:rsidRDefault="00A62673" w:rsidP="00045BEC">
      <w:pPr>
        <w:autoSpaceDE w:val="0"/>
        <w:autoSpaceDN w:val="0"/>
        <w:adjustRightInd w:val="0"/>
        <w:spacing w:line="360" w:lineRule="auto"/>
        <w:jc w:val="left"/>
        <w:rPr>
          <w:rFonts w:asciiTheme="minorEastAsia" w:eastAsiaTheme="minorEastAsia" w:hAnsiTheme="minorEastAsia" w:cs="Arial"/>
          <w:b/>
          <w:color w:val="000000"/>
          <w:kern w:val="0"/>
          <w:sz w:val="24"/>
        </w:rPr>
      </w:pPr>
      <w:r w:rsidRPr="00320C1E">
        <w:rPr>
          <w:rFonts w:asciiTheme="minorEastAsia" w:eastAsiaTheme="minorEastAsia" w:hAnsiTheme="minorEastAsia"/>
          <w:b/>
          <w:color w:val="000000"/>
          <w:kern w:val="0"/>
          <w:sz w:val="24"/>
        </w:rPr>
        <w:t>5.11.3</w:t>
      </w:r>
      <w:r w:rsidRPr="00EF4FFA">
        <w:rPr>
          <w:rFonts w:ascii="宋体" w:hAnsi="宋体" w:cs="Arial" w:hint="eastAsia"/>
          <w:b/>
          <w:color w:val="000000"/>
          <w:kern w:val="0"/>
          <w:sz w:val="24"/>
        </w:rPr>
        <w:t>其他各项资产构成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4"/>
        <w:gridCol w:w="2761"/>
        <w:gridCol w:w="4808"/>
      </w:tblGrid>
      <w:tr w:rsidR="00A62673" w:rsidRPr="00EC5CE0" w:rsidTr="006B315F">
        <w:tc>
          <w:tcPr>
            <w:tcW w:w="944" w:type="dxa"/>
            <w:vAlign w:val="center"/>
          </w:tcPr>
          <w:p w:rsidR="00A62673" w:rsidRPr="00C1648E" w:rsidRDefault="00A62673" w:rsidP="006B315F">
            <w:pPr>
              <w:autoSpaceDE w:val="0"/>
              <w:autoSpaceDN w:val="0"/>
              <w:adjustRightInd w:val="0"/>
              <w:spacing w:before="29" w:line="360" w:lineRule="auto"/>
              <w:ind w:left="17"/>
              <w:jc w:val="center"/>
              <w:rPr>
                <w:color w:val="000000"/>
                <w:kern w:val="0"/>
                <w:sz w:val="24"/>
              </w:rPr>
            </w:pPr>
            <w:r w:rsidRPr="00C1648E">
              <w:rPr>
                <w:color w:val="000000"/>
                <w:kern w:val="0"/>
                <w:sz w:val="24"/>
              </w:rPr>
              <w:t>序号</w:t>
            </w:r>
          </w:p>
        </w:tc>
        <w:tc>
          <w:tcPr>
            <w:tcW w:w="2761" w:type="dxa"/>
            <w:vAlign w:val="center"/>
          </w:tcPr>
          <w:p w:rsidR="00A62673" w:rsidRPr="00C1648E" w:rsidRDefault="00A62673" w:rsidP="006B315F">
            <w:pPr>
              <w:autoSpaceDE w:val="0"/>
              <w:autoSpaceDN w:val="0"/>
              <w:adjustRightInd w:val="0"/>
              <w:spacing w:before="29" w:line="360" w:lineRule="auto"/>
              <w:ind w:left="17"/>
              <w:jc w:val="center"/>
              <w:rPr>
                <w:color w:val="000000"/>
                <w:kern w:val="0"/>
                <w:sz w:val="24"/>
              </w:rPr>
            </w:pPr>
            <w:r w:rsidRPr="00C1648E">
              <w:rPr>
                <w:color w:val="000000"/>
                <w:kern w:val="0"/>
                <w:sz w:val="24"/>
              </w:rPr>
              <w:t>名称</w:t>
            </w:r>
          </w:p>
        </w:tc>
        <w:tc>
          <w:tcPr>
            <w:tcW w:w="4808" w:type="dxa"/>
            <w:vAlign w:val="center"/>
          </w:tcPr>
          <w:p w:rsidR="00A62673" w:rsidRPr="00C1648E" w:rsidRDefault="00A62673" w:rsidP="006B315F">
            <w:pPr>
              <w:autoSpaceDE w:val="0"/>
              <w:autoSpaceDN w:val="0"/>
              <w:adjustRightInd w:val="0"/>
              <w:spacing w:before="29" w:line="360" w:lineRule="auto"/>
              <w:ind w:left="17"/>
              <w:jc w:val="center"/>
              <w:rPr>
                <w:color w:val="000000"/>
                <w:kern w:val="0"/>
                <w:sz w:val="24"/>
              </w:rPr>
            </w:pPr>
            <w:r w:rsidRPr="00C1648E">
              <w:rPr>
                <w:color w:val="000000"/>
                <w:kern w:val="0"/>
                <w:sz w:val="24"/>
              </w:rPr>
              <w:t>金额</w:t>
            </w:r>
            <w:r w:rsidR="005A2769" w:rsidRPr="00C1648E">
              <w:rPr>
                <w:color w:val="000000"/>
                <w:kern w:val="0"/>
                <w:sz w:val="24"/>
              </w:rPr>
              <w:t>（元）</w:t>
            </w:r>
          </w:p>
        </w:tc>
      </w:tr>
      <w:tr w:rsidR="00A62673" w:rsidRPr="00EC5CE0" w:rsidTr="006B315F">
        <w:tc>
          <w:tcPr>
            <w:tcW w:w="944" w:type="dxa"/>
            <w:vAlign w:val="center"/>
          </w:tcPr>
          <w:p w:rsidR="00A62673" w:rsidRPr="00C1648E" w:rsidRDefault="00A62673" w:rsidP="006B315F">
            <w:pPr>
              <w:autoSpaceDE w:val="0"/>
              <w:autoSpaceDN w:val="0"/>
              <w:adjustRightInd w:val="0"/>
              <w:spacing w:before="29" w:line="360" w:lineRule="auto"/>
              <w:ind w:left="15"/>
              <w:jc w:val="center"/>
              <w:rPr>
                <w:color w:val="000000"/>
                <w:kern w:val="0"/>
                <w:sz w:val="24"/>
              </w:rPr>
            </w:pPr>
            <w:r w:rsidRPr="00C1648E">
              <w:rPr>
                <w:color w:val="000000"/>
                <w:sz w:val="24"/>
              </w:rPr>
              <w:t>1</w:t>
            </w:r>
          </w:p>
        </w:tc>
        <w:tc>
          <w:tcPr>
            <w:tcW w:w="2761" w:type="dxa"/>
            <w:vAlign w:val="center"/>
          </w:tcPr>
          <w:p w:rsidR="00A62673" w:rsidRPr="00C1648E" w:rsidRDefault="00A62673" w:rsidP="006B315F">
            <w:pPr>
              <w:autoSpaceDE w:val="0"/>
              <w:autoSpaceDN w:val="0"/>
              <w:adjustRightInd w:val="0"/>
              <w:spacing w:before="29" w:line="360" w:lineRule="auto"/>
              <w:ind w:left="15"/>
              <w:jc w:val="left"/>
              <w:rPr>
                <w:color w:val="000000"/>
                <w:kern w:val="0"/>
                <w:sz w:val="24"/>
              </w:rPr>
            </w:pPr>
            <w:r w:rsidRPr="00C1648E">
              <w:rPr>
                <w:color w:val="000000"/>
                <w:kern w:val="0"/>
                <w:sz w:val="24"/>
              </w:rPr>
              <w:t>存出保证金</w:t>
            </w:r>
          </w:p>
        </w:tc>
        <w:tc>
          <w:tcPr>
            <w:tcW w:w="4808" w:type="dxa"/>
            <w:vAlign w:val="center"/>
          </w:tcPr>
          <w:p w:rsidR="00A62673" w:rsidRPr="00C1648E" w:rsidRDefault="00A62673" w:rsidP="006B315F">
            <w:pPr>
              <w:autoSpaceDE w:val="0"/>
              <w:autoSpaceDN w:val="0"/>
              <w:adjustRightInd w:val="0"/>
              <w:spacing w:before="29" w:line="360" w:lineRule="auto"/>
              <w:ind w:left="15"/>
              <w:jc w:val="right"/>
              <w:rPr>
                <w:color w:val="000000"/>
                <w:kern w:val="0"/>
                <w:sz w:val="24"/>
              </w:rPr>
            </w:pPr>
            <w:r w:rsidRPr="00C1648E">
              <w:rPr>
                <w:color w:val="000000"/>
                <w:kern w:val="0"/>
                <w:sz w:val="24"/>
              </w:rPr>
              <w:t>241,841.85</w:t>
            </w:r>
          </w:p>
        </w:tc>
      </w:tr>
      <w:tr w:rsidR="00A62673" w:rsidRPr="00EC5CE0" w:rsidTr="006B315F">
        <w:tc>
          <w:tcPr>
            <w:tcW w:w="944" w:type="dxa"/>
            <w:vAlign w:val="center"/>
          </w:tcPr>
          <w:p w:rsidR="00A62673" w:rsidRPr="00C1648E" w:rsidRDefault="00A62673" w:rsidP="006B315F">
            <w:pPr>
              <w:autoSpaceDE w:val="0"/>
              <w:autoSpaceDN w:val="0"/>
              <w:adjustRightInd w:val="0"/>
              <w:spacing w:before="29" w:line="360" w:lineRule="auto"/>
              <w:ind w:left="15"/>
              <w:jc w:val="center"/>
              <w:rPr>
                <w:color w:val="000000"/>
                <w:sz w:val="24"/>
              </w:rPr>
            </w:pPr>
            <w:r w:rsidRPr="00C1648E">
              <w:rPr>
                <w:color w:val="000000"/>
                <w:sz w:val="24"/>
              </w:rPr>
              <w:t>2</w:t>
            </w:r>
          </w:p>
        </w:tc>
        <w:tc>
          <w:tcPr>
            <w:tcW w:w="2761" w:type="dxa"/>
            <w:vAlign w:val="center"/>
          </w:tcPr>
          <w:p w:rsidR="00A62673" w:rsidRPr="00C1648E" w:rsidRDefault="00A62673" w:rsidP="006B315F">
            <w:pPr>
              <w:autoSpaceDE w:val="0"/>
              <w:autoSpaceDN w:val="0"/>
              <w:adjustRightInd w:val="0"/>
              <w:spacing w:before="29" w:line="360" w:lineRule="auto"/>
              <w:ind w:left="15"/>
              <w:jc w:val="left"/>
              <w:rPr>
                <w:color w:val="000000"/>
                <w:kern w:val="0"/>
                <w:sz w:val="24"/>
              </w:rPr>
            </w:pPr>
            <w:r w:rsidRPr="00C1648E">
              <w:rPr>
                <w:color w:val="000000"/>
                <w:kern w:val="0"/>
                <w:sz w:val="24"/>
              </w:rPr>
              <w:t>应收证券清算款</w:t>
            </w:r>
          </w:p>
        </w:tc>
        <w:tc>
          <w:tcPr>
            <w:tcW w:w="4808" w:type="dxa"/>
            <w:vAlign w:val="center"/>
          </w:tcPr>
          <w:p w:rsidR="00A62673" w:rsidRPr="00C1648E" w:rsidRDefault="00A62673" w:rsidP="006B315F">
            <w:pPr>
              <w:autoSpaceDE w:val="0"/>
              <w:autoSpaceDN w:val="0"/>
              <w:adjustRightInd w:val="0"/>
              <w:spacing w:before="29" w:line="360" w:lineRule="auto"/>
              <w:ind w:left="15"/>
              <w:jc w:val="right"/>
              <w:rPr>
                <w:color w:val="000000"/>
                <w:kern w:val="0"/>
                <w:sz w:val="24"/>
              </w:rPr>
            </w:pPr>
            <w:r w:rsidRPr="00C1648E">
              <w:rPr>
                <w:color w:val="000000"/>
                <w:kern w:val="0"/>
                <w:sz w:val="24"/>
              </w:rPr>
              <w:t>21,046,842.94</w:t>
            </w:r>
          </w:p>
        </w:tc>
      </w:tr>
      <w:tr w:rsidR="00A62673" w:rsidRPr="00EC5CE0" w:rsidTr="006B315F">
        <w:tc>
          <w:tcPr>
            <w:tcW w:w="944" w:type="dxa"/>
            <w:vAlign w:val="center"/>
          </w:tcPr>
          <w:p w:rsidR="00A62673" w:rsidRPr="00C1648E" w:rsidRDefault="00A62673" w:rsidP="006B315F">
            <w:pPr>
              <w:autoSpaceDE w:val="0"/>
              <w:autoSpaceDN w:val="0"/>
              <w:adjustRightInd w:val="0"/>
              <w:spacing w:before="29" w:line="360" w:lineRule="auto"/>
              <w:ind w:left="15"/>
              <w:jc w:val="center"/>
              <w:rPr>
                <w:color w:val="000000"/>
                <w:sz w:val="24"/>
              </w:rPr>
            </w:pPr>
            <w:r w:rsidRPr="00C1648E">
              <w:rPr>
                <w:color w:val="000000"/>
                <w:sz w:val="24"/>
              </w:rPr>
              <w:t>3</w:t>
            </w:r>
          </w:p>
        </w:tc>
        <w:tc>
          <w:tcPr>
            <w:tcW w:w="2761" w:type="dxa"/>
            <w:vAlign w:val="center"/>
          </w:tcPr>
          <w:p w:rsidR="00A62673" w:rsidRPr="00C1648E" w:rsidRDefault="00A62673" w:rsidP="006B315F">
            <w:pPr>
              <w:autoSpaceDE w:val="0"/>
              <w:autoSpaceDN w:val="0"/>
              <w:adjustRightInd w:val="0"/>
              <w:spacing w:before="29" w:line="360" w:lineRule="auto"/>
              <w:ind w:left="15"/>
              <w:jc w:val="left"/>
              <w:rPr>
                <w:color w:val="000000"/>
                <w:kern w:val="0"/>
                <w:sz w:val="24"/>
              </w:rPr>
            </w:pPr>
            <w:r w:rsidRPr="00C1648E">
              <w:rPr>
                <w:color w:val="000000"/>
                <w:kern w:val="0"/>
                <w:sz w:val="24"/>
              </w:rPr>
              <w:t>应收股利</w:t>
            </w:r>
          </w:p>
        </w:tc>
        <w:tc>
          <w:tcPr>
            <w:tcW w:w="4808" w:type="dxa"/>
            <w:vAlign w:val="center"/>
          </w:tcPr>
          <w:p w:rsidR="00A62673" w:rsidRPr="00C1648E" w:rsidRDefault="00A62673" w:rsidP="006B315F">
            <w:pPr>
              <w:autoSpaceDE w:val="0"/>
              <w:autoSpaceDN w:val="0"/>
              <w:adjustRightInd w:val="0"/>
              <w:spacing w:before="29" w:line="360" w:lineRule="auto"/>
              <w:ind w:left="15"/>
              <w:jc w:val="right"/>
              <w:rPr>
                <w:color w:val="000000"/>
                <w:kern w:val="0"/>
                <w:sz w:val="24"/>
              </w:rPr>
            </w:pPr>
            <w:r w:rsidRPr="00C1648E">
              <w:rPr>
                <w:color w:val="000000"/>
                <w:kern w:val="0"/>
                <w:sz w:val="24"/>
              </w:rPr>
              <w:t>-</w:t>
            </w:r>
          </w:p>
        </w:tc>
      </w:tr>
      <w:tr w:rsidR="00A62673" w:rsidRPr="00EC5CE0" w:rsidTr="006B315F">
        <w:tc>
          <w:tcPr>
            <w:tcW w:w="944" w:type="dxa"/>
            <w:vAlign w:val="center"/>
          </w:tcPr>
          <w:p w:rsidR="00A62673" w:rsidRPr="00C1648E" w:rsidRDefault="00A62673" w:rsidP="006B315F">
            <w:pPr>
              <w:autoSpaceDE w:val="0"/>
              <w:autoSpaceDN w:val="0"/>
              <w:adjustRightInd w:val="0"/>
              <w:spacing w:before="29" w:line="360" w:lineRule="auto"/>
              <w:ind w:left="15"/>
              <w:jc w:val="center"/>
              <w:rPr>
                <w:color w:val="000000"/>
                <w:sz w:val="24"/>
              </w:rPr>
            </w:pPr>
            <w:r w:rsidRPr="00C1648E">
              <w:rPr>
                <w:color w:val="000000"/>
                <w:sz w:val="24"/>
              </w:rPr>
              <w:t>4</w:t>
            </w:r>
          </w:p>
        </w:tc>
        <w:tc>
          <w:tcPr>
            <w:tcW w:w="2761" w:type="dxa"/>
            <w:vAlign w:val="center"/>
          </w:tcPr>
          <w:p w:rsidR="00A62673" w:rsidRPr="00C1648E" w:rsidRDefault="00A62673" w:rsidP="006B315F">
            <w:pPr>
              <w:autoSpaceDE w:val="0"/>
              <w:autoSpaceDN w:val="0"/>
              <w:adjustRightInd w:val="0"/>
              <w:spacing w:before="29" w:line="360" w:lineRule="auto"/>
              <w:ind w:left="15"/>
              <w:jc w:val="left"/>
              <w:rPr>
                <w:color w:val="000000"/>
                <w:kern w:val="0"/>
                <w:sz w:val="24"/>
              </w:rPr>
            </w:pPr>
            <w:r w:rsidRPr="00C1648E">
              <w:rPr>
                <w:color w:val="000000"/>
                <w:kern w:val="0"/>
                <w:sz w:val="24"/>
              </w:rPr>
              <w:t>应收利息</w:t>
            </w:r>
          </w:p>
        </w:tc>
        <w:tc>
          <w:tcPr>
            <w:tcW w:w="4808" w:type="dxa"/>
            <w:vAlign w:val="center"/>
          </w:tcPr>
          <w:p w:rsidR="00A62673" w:rsidRPr="00C1648E" w:rsidRDefault="00A62673" w:rsidP="006B315F">
            <w:pPr>
              <w:autoSpaceDE w:val="0"/>
              <w:autoSpaceDN w:val="0"/>
              <w:adjustRightInd w:val="0"/>
              <w:spacing w:before="29" w:line="360" w:lineRule="auto"/>
              <w:ind w:left="15"/>
              <w:jc w:val="right"/>
              <w:rPr>
                <w:color w:val="000000"/>
                <w:kern w:val="0"/>
                <w:sz w:val="24"/>
              </w:rPr>
            </w:pPr>
            <w:r w:rsidRPr="00C1648E">
              <w:rPr>
                <w:color w:val="000000"/>
                <w:kern w:val="0"/>
                <w:sz w:val="24"/>
              </w:rPr>
              <w:t>8,695.52</w:t>
            </w:r>
          </w:p>
        </w:tc>
      </w:tr>
      <w:tr w:rsidR="00A62673" w:rsidRPr="00EC5CE0" w:rsidTr="006B315F">
        <w:tc>
          <w:tcPr>
            <w:tcW w:w="944" w:type="dxa"/>
            <w:vAlign w:val="center"/>
          </w:tcPr>
          <w:p w:rsidR="00A62673" w:rsidRPr="00C1648E" w:rsidRDefault="00A62673" w:rsidP="006B315F">
            <w:pPr>
              <w:autoSpaceDE w:val="0"/>
              <w:autoSpaceDN w:val="0"/>
              <w:adjustRightInd w:val="0"/>
              <w:spacing w:before="29" w:line="360" w:lineRule="auto"/>
              <w:ind w:left="15"/>
              <w:jc w:val="center"/>
              <w:rPr>
                <w:color w:val="000000"/>
                <w:sz w:val="24"/>
              </w:rPr>
            </w:pPr>
            <w:r w:rsidRPr="00C1648E">
              <w:rPr>
                <w:color w:val="000000"/>
                <w:sz w:val="24"/>
              </w:rPr>
              <w:t>5</w:t>
            </w:r>
          </w:p>
        </w:tc>
        <w:tc>
          <w:tcPr>
            <w:tcW w:w="2761" w:type="dxa"/>
            <w:vAlign w:val="center"/>
          </w:tcPr>
          <w:p w:rsidR="00A62673" w:rsidRPr="00C1648E" w:rsidRDefault="00A62673" w:rsidP="006B315F">
            <w:pPr>
              <w:autoSpaceDE w:val="0"/>
              <w:autoSpaceDN w:val="0"/>
              <w:adjustRightInd w:val="0"/>
              <w:spacing w:before="29" w:line="360" w:lineRule="auto"/>
              <w:ind w:left="15"/>
              <w:jc w:val="left"/>
              <w:rPr>
                <w:color w:val="000000"/>
                <w:kern w:val="0"/>
                <w:sz w:val="24"/>
              </w:rPr>
            </w:pPr>
            <w:r w:rsidRPr="00C1648E">
              <w:rPr>
                <w:color w:val="000000"/>
                <w:kern w:val="0"/>
                <w:sz w:val="24"/>
              </w:rPr>
              <w:t>应收申购款</w:t>
            </w:r>
          </w:p>
        </w:tc>
        <w:tc>
          <w:tcPr>
            <w:tcW w:w="4808" w:type="dxa"/>
            <w:vAlign w:val="center"/>
          </w:tcPr>
          <w:p w:rsidR="00A62673" w:rsidRPr="00C1648E" w:rsidRDefault="00A62673" w:rsidP="006B315F">
            <w:pPr>
              <w:autoSpaceDE w:val="0"/>
              <w:autoSpaceDN w:val="0"/>
              <w:adjustRightInd w:val="0"/>
              <w:spacing w:before="29" w:line="360" w:lineRule="auto"/>
              <w:ind w:left="15"/>
              <w:jc w:val="right"/>
              <w:rPr>
                <w:color w:val="000000"/>
                <w:kern w:val="0"/>
                <w:sz w:val="24"/>
              </w:rPr>
            </w:pPr>
            <w:r w:rsidRPr="00C1648E">
              <w:rPr>
                <w:color w:val="000000"/>
                <w:kern w:val="0"/>
                <w:sz w:val="24"/>
              </w:rPr>
              <w:t>6,407,622.33</w:t>
            </w:r>
          </w:p>
        </w:tc>
      </w:tr>
      <w:tr w:rsidR="00A62673" w:rsidRPr="00EC5CE0" w:rsidTr="006B315F">
        <w:tc>
          <w:tcPr>
            <w:tcW w:w="944" w:type="dxa"/>
            <w:vAlign w:val="center"/>
          </w:tcPr>
          <w:p w:rsidR="00A62673" w:rsidRPr="00C1648E" w:rsidRDefault="00A62673" w:rsidP="006B315F">
            <w:pPr>
              <w:autoSpaceDE w:val="0"/>
              <w:autoSpaceDN w:val="0"/>
              <w:adjustRightInd w:val="0"/>
              <w:spacing w:before="29" w:line="360" w:lineRule="auto"/>
              <w:ind w:left="15"/>
              <w:jc w:val="center"/>
              <w:rPr>
                <w:color w:val="000000"/>
                <w:sz w:val="24"/>
              </w:rPr>
            </w:pPr>
            <w:r w:rsidRPr="00C1648E">
              <w:rPr>
                <w:color w:val="000000"/>
                <w:sz w:val="24"/>
              </w:rPr>
              <w:t>6</w:t>
            </w:r>
          </w:p>
        </w:tc>
        <w:tc>
          <w:tcPr>
            <w:tcW w:w="2761" w:type="dxa"/>
            <w:vAlign w:val="center"/>
          </w:tcPr>
          <w:p w:rsidR="00A62673" w:rsidRPr="00C1648E" w:rsidRDefault="00A62673" w:rsidP="006B315F">
            <w:pPr>
              <w:autoSpaceDE w:val="0"/>
              <w:autoSpaceDN w:val="0"/>
              <w:adjustRightInd w:val="0"/>
              <w:spacing w:before="29" w:line="360" w:lineRule="auto"/>
              <w:ind w:left="15"/>
              <w:jc w:val="left"/>
              <w:rPr>
                <w:color w:val="000000"/>
                <w:kern w:val="0"/>
                <w:sz w:val="24"/>
              </w:rPr>
            </w:pPr>
            <w:r w:rsidRPr="00C1648E">
              <w:rPr>
                <w:color w:val="000000"/>
                <w:kern w:val="0"/>
                <w:sz w:val="24"/>
              </w:rPr>
              <w:t>其他应收款</w:t>
            </w:r>
          </w:p>
        </w:tc>
        <w:tc>
          <w:tcPr>
            <w:tcW w:w="4808" w:type="dxa"/>
            <w:vAlign w:val="center"/>
          </w:tcPr>
          <w:p w:rsidR="00A62673" w:rsidRPr="00C1648E" w:rsidRDefault="00A62673" w:rsidP="006B315F">
            <w:pPr>
              <w:autoSpaceDE w:val="0"/>
              <w:autoSpaceDN w:val="0"/>
              <w:adjustRightInd w:val="0"/>
              <w:spacing w:before="29" w:line="360" w:lineRule="auto"/>
              <w:ind w:left="15"/>
              <w:jc w:val="right"/>
              <w:rPr>
                <w:color w:val="000000"/>
                <w:kern w:val="0"/>
                <w:sz w:val="24"/>
              </w:rPr>
            </w:pPr>
            <w:r w:rsidRPr="00C1648E">
              <w:rPr>
                <w:color w:val="000000"/>
                <w:kern w:val="0"/>
                <w:sz w:val="24"/>
              </w:rPr>
              <w:t>-</w:t>
            </w:r>
          </w:p>
        </w:tc>
      </w:tr>
      <w:tr w:rsidR="00A62673" w:rsidRPr="00EC5CE0" w:rsidTr="006B315F">
        <w:tc>
          <w:tcPr>
            <w:tcW w:w="944" w:type="dxa"/>
          </w:tcPr>
          <w:p w:rsidR="00A62673" w:rsidRPr="00C1648E" w:rsidRDefault="00A62673" w:rsidP="006B315F">
            <w:pPr>
              <w:autoSpaceDE w:val="0"/>
              <w:autoSpaceDN w:val="0"/>
              <w:adjustRightInd w:val="0"/>
              <w:spacing w:before="29" w:line="360" w:lineRule="auto"/>
              <w:ind w:left="15"/>
              <w:jc w:val="center"/>
              <w:rPr>
                <w:color w:val="000000"/>
                <w:sz w:val="24"/>
              </w:rPr>
            </w:pPr>
            <w:r w:rsidRPr="00C1648E">
              <w:rPr>
                <w:color w:val="000000"/>
                <w:sz w:val="24"/>
              </w:rPr>
              <w:t>7</w:t>
            </w:r>
          </w:p>
        </w:tc>
        <w:tc>
          <w:tcPr>
            <w:tcW w:w="2761" w:type="dxa"/>
          </w:tcPr>
          <w:p w:rsidR="00A62673" w:rsidRPr="00C1648E" w:rsidRDefault="00A62673" w:rsidP="006B315F">
            <w:pPr>
              <w:autoSpaceDE w:val="0"/>
              <w:autoSpaceDN w:val="0"/>
              <w:adjustRightInd w:val="0"/>
              <w:spacing w:before="29" w:line="360" w:lineRule="auto"/>
              <w:ind w:left="15"/>
              <w:jc w:val="left"/>
              <w:rPr>
                <w:color w:val="000000"/>
                <w:kern w:val="0"/>
                <w:sz w:val="24"/>
              </w:rPr>
            </w:pPr>
            <w:r w:rsidRPr="00C1648E">
              <w:rPr>
                <w:color w:val="000000"/>
                <w:kern w:val="0"/>
                <w:sz w:val="24"/>
              </w:rPr>
              <w:t>待摊费用</w:t>
            </w:r>
          </w:p>
        </w:tc>
        <w:tc>
          <w:tcPr>
            <w:tcW w:w="4808" w:type="dxa"/>
            <w:vAlign w:val="center"/>
          </w:tcPr>
          <w:p w:rsidR="00A62673" w:rsidRPr="00C1648E" w:rsidRDefault="00A62673" w:rsidP="006B315F">
            <w:pPr>
              <w:autoSpaceDE w:val="0"/>
              <w:autoSpaceDN w:val="0"/>
              <w:adjustRightInd w:val="0"/>
              <w:spacing w:before="29" w:line="360" w:lineRule="auto"/>
              <w:ind w:left="15"/>
              <w:jc w:val="right"/>
              <w:rPr>
                <w:color w:val="000000"/>
                <w:sz w:val="24"/>
              </w:rPr>
            </w:pPr>
            <w:r w:rsidRPr="00C1648E">
              <w:rPr>
                <w:color w:val="000000"/>
                <w:sz w:val="24"/>
              </w:rPr>
              <w:t>-</w:t>
            </w:r>
          </w:p>
        </w:tc>
      </w:tr>
      <w:tr w:rsidR="00A62673" w:rsidRPr="00EC5CE0" w:rsidTr="006B315F">
        <w:tc>
          <w:tcPr>
            <w:tcW w:w="944" w:type="dxa"/>
            <w:vAlign w:val="center"/>
          </w:tcPr>
          <w:p w:rsidR="00A62673" w:rsidRPr="00C1648E" w:rsidRDefault="00A62673" w:rsidP="006B315F">
            <w:pPr>
              <w:autoSpaceDE w:val="0"/>
              <w:autoSpaceDN w:val="0"/>
              <w:adjustRightInd w:val="0"/>
              <w:spacing w:before="29" w:line="360" w:lineRule="auto"/>
              <w:ind w:left="15"/>
              <w:jc w:val="center"/>
              <w:rPr>
                <w:color w:val="000000"/>
                <w:sz w:val="24"/>
              </w:rPr>
            </w:pPr>
            <w:r w:rsidRPr="00C1648E">
              <w:rPr>
                <w:color w:val="000000"/>
                <w:sz w:val="24"/>
              </w:rPr>
              <w:t>8</w:t>
            </w:r>
          </w:p>
        </w:tc>
        <w:tc>
          <w:tcPr>
            <w:tcW w:w="2761" w:type="dxa"/>
            <w:vAlign w:val="center"/>
          </w:tcPr>
          <w:p w:rsidR="00A62673" w:rsidRPr="00C1648E" w:rsidRDefault="00A62673" w:rsidP="006B315F">
            <w:pPr>
              <w:autoSpaceDE w:val="0"/>
              <w:autoSpaceDN w:val="0"/>
              <w:adjustRightInd w:val="0"/>
              <w:spacing w:before="29" w:line="360" w:lineRule="auto"/>
              <w:ind w:left="15"/>
              <w:jc w:val="left"/>
              <w:rPr>
                <w:color w:val="000000"/>
                <w:kern w:val="0"/>
                <w:sz w:val="24"/>
              </w:rPr>
            </w:pPr>
            <w:r w:rsidRPr="00C1648E">
              <w:rPr>
                <w:color w:val="000000"/>
                <w:kern w:val="0"/>
                <w:sz w:val="24"/>
              </w:rPr>
              <w:t>其他</w:t>
            </w:r>
          </w:p>
        </w:tc>
        <w:tc>
          <w:tcPr>
            <w:tcW w:w="4808" w:type="dxa"/>
            <w:vAlign w:val="center"/>
          </w:tcPr>
          <w:p w:rsidR="00A62673" w:rsidRPr="00C1648E" w:rsidRDefault="00A62673" w:rsidP="006B315F">
            <w:pPr>
              <w:autoSpaceDE w:val="0"/>
              <w:autoSpaceDN w:val="0"/>
              <w:adjustRightInd w:val="0"/>
              <w:spacing w:before="29" w:line="360" w:lineRule="auto"/>
              <w:ind w:left="15"/>
              <w:jc w:val="right"/>
              <w:rPr>
                <w:color w:val="000000"/>
                <w:kern w:val="0"/>
                <w:sz w:val="24"/>
              </w:rPr>
            </w:pPr>
            <w:r w:rsidRPr="00C1648E">
              <w:rPr>
                <w:color w:val="000000"/>
                <w:kern w:val="0"/>
                <w:sz w:val="24"/>
              </w:rPr>
              <w:t>-</w:t>
            </w:r>
          </w:p>
        </w:tc>
      </w:tr>
      <w:tr w:rsidR="00A62673" w:rsidRPr="00EC5CE0" w:rsidTr="006B315F">
        <w:tc>
          <w:tcPr>
            <w:tcW w:w="944" w:type="dxa"/>
            <w:vAlign w:val="center"/>
          </w:tcPr>
          <w:p w:rsidR="00A62673" w:rsidRPr="00C1648E" w:rsidRDefault="00A62673" w:rsidP="006B315F">
            <w:pPr>
              <w:autoSpaceDE w:val="0"/>
              <w:autoSpaceDN w:val="0"/>
              <w:adjustRightInd w:val="0"/>
              <w:spacing w:before="29" w:line="360" w:lineRule="auto"/>
              <w:ind w:left="15"/>
              <w:jc w:val="center"/>
              <w:rPr>
                <w:color w:val="000000"/>
                <w:sz w:val="24"/>
              </w:rPr>
            </w:pPr>
            <w:r w:rsidRPr="00C1648E">
              <w:rPr>
                <w:color w:val="000000"/>
                <w:sz w:val="24"/>
              </w:rPr>
              <w:t>9</w:t>
            </w:r>
          </w:p>
        </w:tc>
        <w:tc>
          <w:tcPr>
            <w:tcW w:w="2761" w:type="dxa"/>
            <w:vAlign w:val="center"/>
          </w:tcPr>
          <w:p w:rsidR="00A62673" w:rsidRPr="00C1648E" w:rsidRDefault="00A62673" w:rsidP="006B315F">
            <w:pPr>
              <w:autoSpaceDE w:val="0"/>
              <w:autoSpaceDN w:val="0"/>
              <w:adjustRightInd w:val="0"/>
              <w:spacing w:before="29" w:line="360" w:lineRule="auto"/>
              <w:ind w:left="15"/>
              <w:jc w:val="left"/>
              <w:rPr>
                <w:color w:val="000000"/>
                <w:kern w:val="0"/>
                <w:sz w:val="24"/>
              </w:rPr>
            </w:pPr>
            <w:r w:rsidRPr="00C1648E">
              <w:rPr>
                <w:color w:val="000000"/>
                <w:kern w:val="0"/>
                <w:sz w:val="24"/>
              </w:rPr>
              <w:t>合计</w:t>
            </w:r>
          </w:p>
        </w:tc>
        <w:tc>
          <w:tcPr>
            <w:tcW w:w="4808" w:type="dxa"/>
            <w:vAlign w:val="center"/>
          </w:tcPr>
          <w:p w:rsidR="00A62673" w:rsidRPr="00C1648E" w:rsidRDefault="00A62673" w:rsidP="006B315F">
            <w:pPr>
              <w:autoSpaceDE w:val="0"/>
              <w:autoSpaceDN w:val="0"/>
              <w:adjustRightInd w:val="0"/>
              <w:spacing w:before="29" w:line="360" w:lineRule="auto"/>
              <w:ind w:left="15"/>
              <w:jc w:val="right"/>
              <w:rPr>
                <w:color w:val="000000"/>
                <w:kern w:val="0"/>
                <w:sz w:val="24"/>
              </w:rPr>
            </w:pPr>
            <w:r w:rsidRPr="00C1648E">
              <w:rPr>
                <w:color w:val="000000"/>
                <w:kern w:val="0"/>
                <w:sz w:val="24"/>
              </w:rPr>
              <w:t>27,705,002.64</w:t>
            </w:r>
          </w:p>
        </w:tc>
      </w:tr>
    </w:tbl>
    <w:p w:rsidR="00A62673" w:rsidRPr="00CE743F" w:rsidRDefault="00A62673" w:rsidP="00045BEC">
      <w:pPr>
        <w:autoSpaceDE w:val="0"/>
        <w:autoSpaceDN w:val="0"/>
        <w:adjustRightInd w:val="0"/>
        <w:spacing w:line="360" w:lineRule="auto"/>
        <w:jc w:val="left"/>
        <w:rPr>
          <w:rFonts w:ascii="宋体" w:cs="Arial"/>
          <w:b/>
          <w:color w:val="000000"/>
          <w:kern w:val="0"/>
          <w:sz w:val="24"/>
        </w:rPr>
      </w:pPr>
      <w:r w:rsidRPr="00CE743F">
        <w:rPr>
          <w:rFonts w:ascii="宋体" w:hAnsi="宋体"/>
          <w:b/>
          <w:color w:val="000000"/>
          <w:kern w:val="0"/>
          <w:sz w:val="24"/>
        </w:rPr>
        <w:t>5.11.4</w:t>
      </w:r>
      <w:r w:rsidRPr="00CE743F">
        <w:rPr>
          <w:rFonts w:ascii="宋体" w:hAnsi="宋体" w:cs="Arial" w:hint="eastAsia"/>
          <w:b/>
          <w:color w:val="000000"/>
          <w:kern w:val="0"/>
          <w:sz w:val="24"/>
        </w:rPr>
        <w:t>报告期末持有的处于转股期的可转换债券明细</w:t>
      </w:r>
    </w:p>
    <w:p w:rsidR="00A62673" w:rsidRPr="00DC315B" w:rsidRDefault="00A62673" w:rsidP="00DC315B">
      <w:pPr>
        <w:spacing w:line="360" w:lineRule="auto"/>
        <w:ind w:firstLineChars="200" w:firstLine="480"/>
        <w:rPr>
          <w:color w:val="000000"/>
          <w:sz w:val="24"/>
        </w:rPr>
      </w:pPr>
      <w:r w:rsidRPr="00DC315B">
        <w:rPr>
          <w:color w:val="000000"/>
          <w:sz w:val="24"/>
        </w:rPr>
        <w:t>本基金本报告期末未持有处于转股期的可转换债券。</w:t>
      </w:r>
    </w:p>
    <w:p w:rsidR="00774C7D" w:rsidRPr="00CE743F" w:rsidRDefault="00774C7D" w:rsidP="00774C7D">
      <w:pPr>
        <w:spacing w:line="360" w:lineRule="auto"/>
        <w:rPr>
          <w:rFonts w:ascii="宋体" w:cs="Arial"/>
          <w:b/>
          <w:color w:val="000000"/>
          <w:kern w:val="0"/>
          <w:sz w:val="24"/>
        </w:rPr>
      </w:pPr>
      <w:r w:rsidRPr="00CE743F">
        <w:rPr>
          <w:rFonts w:ascii="宋体" w:hAnsi="宋体"/>
          <w:b/>
          <w:color w:val="000000"/>
          <w:kern w:val="0"/>
          <w:sz w:val="24"/>
        </w:rPr>
        <w:t>5.11.5</w:t>
      </w:r>
      <w:r w:rsidRPr="00CE743F">
        <w:rPr>
          <w:rFonts w:ascii="宋体" w:hAnsi="宋体" w:hint="eastAsia"/>
          <w:b/>
          <w:sz w:val="24"/>
        </w:rPr>
        <w:t>报告期末</w:t>
      </w:r>
      <w:r w:rsidR="00AB077A">
        <w:rPr>
          <w:rFonts w:ascii="宋体" w:hAnsi="宋体" w:hint="eastAsia"/>
          <w:b/>
          <w:sz w:val="24"/>
        </w:rPr>
        <w:t>投资的</w:t>
      </w:r>
      <w:r w:rsidRPr="00CE743F">
        <w:rPr>
          <w:rFonts w:ascii="宋体" w:hAnsi="宋体" w:hint="eastAsia"/>
          <w:b/>
          <w:sz w:val="24"/>
        </w:rPr>
        <w:t>股票存在流通受限情况的说明</w:t>
      </w:r>
    </w:p>
    <w:p w:rsidR="00774C7D" w:rsidRPr="00CE743F" w:rsidRDefault="00774C7D" w:rsidP="00774C7D">
      <w:pPr>
        <w:spacing w:line="360" w:lineRule="auto"/>
        <w:rPr>
          <w:rFonts w:ascii="宋体" w:cs="Arial"/>
          <w:b/>
          <w:color w:val="000000"/>
          <w:kern w:val="0"/>
          <w:sz w:val="24"/>
        </w:rPr>
      </w:pPr>
      <w:r w:rsidRPr="00CE743F">
        <w:rPr>
          <w:rFonts w:ascii="宋体" w:hAnsi="宋体"/>
          <w:b/>
          <w:color w:val="000000"/>
          <w:kern w:val="0"/>
          <w:sz w:val="24"/>
        </w:rPr>
        <w:t>5.11.5</w:t>
      </w:r>
      <w:r w:rsidRPr="00CE743F">
        <w:rPr>
          <w:rFonts w:ascii="宋体" w:cs="Arial"/>
          <w:b/>
          <w:color w:val="000000"/>
          <w:kern w:val="0"/>
          <w:sz w:val="24"/>
        </w:rPr>
        <w:t>.</w:t>
      </w:r>
      <w:r w:rsidRPr="00CE743F">
        <w:rPr>
          <w:rFonts w:ascii="宋体" w:hAnsi="宋体" w:cs="Arial"/>
          <w:b/>
          <w:color w:val="000000"/>
          <w:kern w:val="0"/>
          <w:sz w:val="24"/>
        </w:rPr>
        <w:t>1</w:t>
      </w:r>
      <w:r w:rsidR="00AB077A">
        <w:rPr>
          <w:rFonts w:ascii="宋体" w:hAnsi="宋体" w:cs="Arial" w:hint="eastAsia"/>
          <w:b/>
          <w:color w:val="000000"/>
          <w:kern w:val="0"/>
          <w:sz w:val="24"/>
        </w:rPr>
        <w:t>报告</w:t>
      </w:r>
      <w:r w:rsidRPr="00CE743F">
        <w:rPr>
          <w:rFonts w:ascii="宋体" w:hAnsi="宋体" w:hint="eastAsia"/>
          <w:b/>
          <w:sz w:val="24"/>
        </w:rPr>
        <w:t>期末指数投资前十名股票中存在流通受限情况的说明</w:t>
      </w:r>
    </w:p>
    <w:p w:rsidR="00774C7D" w:rsidRPr="00DC315B" w:rsidRDefault="00774C7D" w:rsidP="00774C7D">
      <w:pPr>
        <w:spacing w:line="360" w:lineRule="auto"/>
        <w:ind w:firstLineChars="200" w:firstLine="480"/>
        <w:rPr>
          <w:color w:val="000000"/>
          <w:sz w:val="24"/>
        </w:rPr>
      </w:pPr>
      <w:r w:rsidRPr="00DC315B">
        <w:rPr>
          <w:color w:val="000000"/>
          <w:sz w:val="24"/>
        </w:rPr>
        <w:t>本基金本报告期末前十名股票中不存在流通受限情况。</w:t>
      </w:r>
    </w:p>
    <w:p w:rsidR="00774C7D" w:rsidRPr="00CE743F" w:rsidRDefault="00774C7D" w:rsidP="00774C7D">
      <w:pPr>
        <w:spacing w:line="360" w:lineRule="auto"/>
        <w:rPr>
          <w:rFonts w:ascii="宋体" w:cs="STSong-Light"/>
          <w:b/>
          <w:sz w:val="24"/>
        </w:rPr>
      </w:pPr>
      <w:r w:rsidRPr="00CE743F">
        <w:rPr>
          <w:rFonts w:ascii="宋体" w:hAnsi="宋体"/>
          <w:b/>
          <w:color w:val="000000"/>
          <w:kern w:val="0"/>
          <w:sz w:val="24"/>
        </w:rPr>
        <w:t>5.11.5</w:t>
      </w:r>
      <w:r w:rsidRPr="00CE743F">
        <w:rPr>
          <w:rFonts w:ascii="宋体" w:cs="Arial"/>
          <w:b/>
          <w:color w:val="000000"/>
          <w:kern w:val="0"/>
          <w:sz w:val="24"/>
        </w:rPr>
        <w:t>.</w:t>
      </w:r>
      <w:r w:rsidRPr="00CE743F">
        <w:rPr>
          <w:rFonts w:ascii="宋体" w:hAnsi="宋体" w:cs="Arial"/>
          <w:b/>
          <w:color w:val="000000"/>
          <w:kern w:val="0"/>
          <w:sz w:val="24"/>
        </w:rPr>
        <w:t>2</w:t>
      </w:r>
      <w:r w:rsidR="00AB077A">
        <w:rPr>
          <w:rFonts w:ascii="宋体" w:hAnsi="宋体" w:cs="Arial" w:hint="eastAsia"/>
          <w:b/>
          <w:color w:val="000000"/>
          <w:kern w:val="0"/>
          <w:sz w:val="24"/>
        </w:rPr>
        <w:t>报告</w:t>
      </w:r>
      <w:r w:rsidRPr="00CE743F">
        <w:rPr>
          <w:rFonts w:ascii="宋体" w:hAnsi="宋体" w:hint="eastAsia"/>
          <w:b/>
          <w:sz w:val="24"/>
        </w:rPr>
        <w:t>期末积极投资前五名股票中存在流通受限情况的说明</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3"/>
        <w:gridCol w:w="1302"/>
        <w:gridCol w:w="1301"/>
        <w:gridCol w:w="1805"/>
        <w:gridCol w:w="1655"/>
        <w:gridCol w:w="1367"/>
      </w:tblGrid>
      <w:tr w:rsidR="00774C7D" w:rsidRPr="00EC5CE0" w:rsidTr="002C4578">
        <w:tc>
          <w:tcPr>
            <w:tcW w:w="1083"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序号</w:t>
            </w:r>
          </w:p>
        </w:tc>
        <w:tc>
          <w:tcPr>
            <w:tcW w:w="1302"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股票代码</w:t>
            </w:r>
          </w:p>
        </w:tc>
        <w:tc>
          <w:tcPr>
            <w:tcW w:w="1301"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股票名称</w:t>
            </w:r>
          </w:p>
        </w:tc>
        <w:tc>
          <w:tcPr>
            <w:tcW w:w="1805"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流通受限部分的公允价值（元）</w:t>
            </w:r>
          </w:p>
        </w:tc>
        <w:tc>
          <w:tcPr>
            <w:tcW w:w="1655"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占基金资产净值比例（</w:t>
            </w:r>
            <w:r w:rsidRPr="00C1648E">
              <w:rPr>
                <w:color w:val="000000"/>
                <w:sz w:val="24"/>
              </w:rPr>
              <w:t>%</w:t>
            </w:r>
            <w:r w:rsidRPr="00C1648E">
              <w:rPr>
                <w:color w:val="000000"/>
                <w:sz w:val="24"/>
              </w:rPr>
              <w:t>）</w:t>
            </w:r>
          </w:p>
        </w:tc>
        <w:tc>
          <w:tcPr>
            <w:tcW w:w="1367"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流通受限情况说明</w:t>
            </w:r>
          </w:p>
        </w:tc>
      </w:tr>
      <w:tr w:rsidR="00AE51F5">
        <w:tc>
          <w:tcPr>
            <w:tcW w:w="1083" w:type="dxa"/>
            <w:vAlign w:val="center"/>
          </w:tcPr>
          <w:p w:rsidR="00AE51F5" w:rsidRDefault="009A78F6">
            <w:pPr>
              <w:jc w:val="center"/>
            </w:pPr>
            <w:r>
              <w:rPr>
                <w:color w:val="000000"/>
                <w:sz w:val="24"/>
              </w:rPr>
              <w:t>1</w:t>
            </w:r>
          </w:p>
        </w:tc>
        <w:tc>
          <w:tcPr>
            <w:tcW w:w="1302" w:type="dxa"/>
            <w:vAlign w:val="center"/>
          </w:tcPr>
          <w:p w:rsidR="00AE51F5" w:rsidRDefault="009A78F6">
            <w:pPr>
              <w:jc w:val="center"/>
            </w:pPr>
            <w:r>
              <w:rPr>
                <w:color w:val="000000"/>
                <w:sz w:val="24"/>
              </w:rPr>
              <w:t>300999</w:t>
            </w:r>
          </w:p>
        </w:tc>
        <w:tc>
          <w:tcPr>
            <w:tcW w:w="1301" w:type="dxa"/>
            <w:vAlign w:val="center"/>
          </w:tcPr>
          <w:p w:rsidR="00AE51F5" w:rsidRDefault="009A78F6">
            <w:pPr>
              <w:jc w:val="center"/>
            </w:pPr>
            <w:r>
              <w:rPr>
                <w:color w:val="000000"/>
                <w:sz w:val="24"/>
              </w:rPr>
              <w:t>金龙鱼</w:t>
            </w:r>
          </w:p>
        </w:tc>
        <w:tc>
          <w:tcPr>
            <w:tcW w:w="1805" w:type="dxa"/>
            <w:vAlign w:val="center"/>
          </w:tcPr>
          <w:p w:rsidR="00AE51F5" w:rsidRDefault="009A78F6">
            <w:pPr>
              <w:jc w:val="right"/>
            </w:pPr>
            <w:r>
              <w:rPr>
                <w:color w:val="000000"/>
                <w:sz w:val="24"/>
              </w:rPr>
              <w:t>557,463.06</w:t>
            </w:r>
          </w:p>
        </w:tc>
        <w:tc>
          <w:tcPr>
            <w:tcW w:w="1655" w:type="dxa"/>
            <w:vAlign w:val="center"/>
          </w:tcPr>
          <w:p w:rsidR="00AE51F5" w:rsidRDefault="009A78F6">
            <w:pPr>
              <w:jc w:val="right"/>
            </w:pPr>
            <w:r>
              <w:rPr>
                <w:color w:val="000000"/>
                <w:sz w:val="24"/>
              </w:rPr>
              <w:t>0.05</w:t>
            </w:r>
          </w:p>
        </w:tc>
        <w:tc>
          <w:tcPr>
            <w:tcW w:w="1367" w:type="dxa"/>
            <w:vAlign w:val="center"/>
          </w:tcPr>
          <w:p w:rsidR="00AE51F5" w:rsidRDefault="009A78F6">
            <w:pPr>
              <w:jc w:val="right"/>
            </w:pPr>
            <w:r>
              <w:rPr>
                <w:color w:val="000000"/>
                <w:sz w:val="24"/>
              </w:rPr>
              <w:t>限售股</w:t>
            </w:r>
          </w:p>
        </w:tc>
      </w:tr>
      <w:tr w:rsidR="00AE51F5">
        <w:tc>
          <w:tcPr>
            <w:tcW w:w="1083" w:type="dxa"/>
            <w:vAlign w:val="center"/>
          </w:tcPr>
          <w:p w:rsidR="00AE51F5" w:rsidRDefault="009A78F6">
            <w:pPr>
              <w:jc w:val="center"/>
            </w:pPr>
            <w:r>
              <w:rPr>
                <w:color w:val="000000"/>
                <w:sz w:val="24"/>
              </w:rPr>
              <w:t>2</w:t>
            </w:r>
          </w:p>
        </w:tc>
        <w:tc>
          <w:tcPr>
            <w:tcW w:w="1302" w:type="dxa"/>
            <w:vAlign w:val="center"/>
          </w:tcPr>
          <w:p w:rsidR="00AE51F5" w:rsidRDefault="009A78F6">
            <w:pPr>
              <w:jc w:val="center"/>
            </w:pPr>
            <w:r>
              <w:rPr>
                <w:color w:val="000000"/>
                <w:sz w:val="24"/>
              </w:rPr>
              <w:t>300896</w:t>
            </w:r>
          </w:p>
        </w:tc>
        <w:tc>
          <w:tcPr>
            <w:tcW w:w="1301" w:type="dxa"/>
            <w:vAlign w:val="center"/>
          </w:tcPr>
          <w:p w:rsidR="00AE51F5" w:rsidRDefault="009A78F6">
            <w:pPr>
              <w:jc w:val="center"/>
            </w:pPr>
            <w:r>
              <w:rPr>
                <w:color w:val="000000"/>
                <w:sz w:val="24"/>
              </w:rPr>
              <w:t>爱美客</w:t>
            </w:r>
          </w:p>
        </w:tc>
        <w:tc>
          <w:tcPr>
            <w:tcW w:w="1805" w:type="dxa"/>
            <w:vAlign w:val="center"/>
          </w:tcPr>
          <w:p w:rsidR="00AE51F5" w:rsidRDefault="009A78F6">
            <w:pPr>
              <w:jc w:val="right"/>
            </w:pPr>
            <w:r>
              <w:rPr>
                <w:color w:val="000000"/>
                <w:sz w:val="24"/>
              </w:rPr>
              <w:t>257,031.36</w:t>
            </w:r>
          </w:p>
        </w:tc>
        <w:tc>
          <w:tcPr>
            <w:tcW w:w="1655" w:type="dxa"/>
            <w:vAlign w:val="center"/>
          </w:tcPr>
          <w:p w:rsidR="00AE51F5" w:rsidRDefault="009A78F6">
            <w:pPr>
              <w:jc w:val="right"/>
            </w:pPr>
            <w:r>
              <w:rPr>
                <w:color w:val="000000"/>
                <w:sz w:val="24"/>
              </w:rPr>
              <w:t>0.02</w:t>
            </w:r>
          </w:p>
        </w:tc>
        <w:tc>
          <w:tcPr>
            <w:tcW w:w="1367" w:type="dxa"/>
            <w:vAlign w:val="center"/>
          </w:tcPr>
          <w:p w:rsidR="00AE51F5" w:rsidRDefault="009A78F6">
            <w:pPr>
              <w:jc w:val="right"/>
            </w:pPr>
            <w:r>
              <w:rPr>
                <w:color w:val="000000"/>
                <w:sz w:val="24"/>
              </w:rPr>
              <w:t>限售股</w:t>
            </w:r>
          </w:p>
        </w:tc>
      </w:tr>
      <w:tr w:rsidR="00AE51F5">
        <w:tc>
          <w:tcPr>
            <w:tcW w:w="1083" w:type="dxa"/>
            <w:vAlign w:val="center"/>
          </w:tcPr>
          <w:p w:rsidR="00AE51F5" w:rsidRDefault="009A78F6">
            <w:pPr>
              <w:jc w:val="center"/>
            </w:pPr>
            <w:r>
              <w:rPr>
                <w:color w:val="000000"/>
                <w:sz w:val="24"/>
              </w:rPr>
              <w:t>3</w:t>
            </w:r>
          </w:p>
        </w:tc>
        <w:tc>
          <w:tcPr>
            <w:tcW w:w="1302" w:type="dxa"/>
            <w:vAlign w:val="center"/>
          </w:tcPr>
          <w:p w:rsidR="00AE51F5" w:rsidRDefault="009A78F6">
            <w:pPr>
              <w:jc w:val="center"/>
            </w:pPr>
            <w:r>
              <w:rPr>
                <w:color w:val="000000"/>
                <w:sz w:val="24"/>
              </w:rPr>
              <w:t>300926</w:t>
            </w:r>
          </w:p>
        </w:tc>
        <w:tc>
          <w:tcPr>
            <w:tcW w:w="1301" w:type="dxa"/>
            <w:vAlign w:val="center"/>
          </w:tcPr>
          <w:p w:rsidR="00AE51F5" w:rsidRDefault="009A78F6">
            <w:pPr>
              <w:jc w:val="center"/>
            </w:pPr>
            <w:r>
              <w:rPr>
                <w:color w:val="000000"/>
                <w:sz w:val="24"/>
              </w:rPr>
              <w:t>博俊科技</w:t>
            </w:r>
          </w:p>
        </w:tc>
        <w:tc>
          <w:tcPr>
            <w:tcW w:w="1805" w:type="dxa"/>
            <w:vAlign w:val="center"/>
          </w:tcPr>
          <w:p w:rsidR="00AE51F5" w:rsidRDefault="009A78F6">
            <w:pPr>
              <w:jc w:val="right"/>
            </w:pPr>
            <w:r>
              <w:rPr>
                <w:color w:val="000000"/>
                <w:sz w:val="24"/>
              </w:rPr>
              <w:t>38,563.84</w:t>
            </w:r>
          </w:p>
        </w:tc>
        <w:tc>
          <w:tcPr>
            <w:tcW w:w="1655" w:type="dxa"/>
            <w:vAlign w:val="center"/>
          </w:tcPr>
          <w:p w:rsidR="00AE51F5" w:rsidRDefault="009A78F6">
            <w:pPr>
              <w:jc w:val="right"/>
            </w:pPr>
            <w:r>
              <w:rPr>
                <w:color w:val="000000"/>
                <w:sz w:val="24"/>
              </w:rPr>
              <w:t>0.00</w:t>
            </w:r>
          </w:p>
        </w:tc>
        <w:tc>
          <w:tcPr>
            <w:tcW w:w="1367" w:type="dxa"/>
            <w:vAlign w:val="center"/>
          </w:tcPr>
          <w:p w:rsidR="00AE51F5" w:rsidRDefault="009A78F6">
            <w:pPr>
              <w:jc w:val="right"/>
            </w:pPr>
            <w:r>
              <w:rPr>
                <w:color w:val="000000"/>
                <w:sz w:val="24"/>
              </w:rPr>
              <w:t>新股未上市</w:t>
            </w:r>
          </w:p>
        </w:tc>
      </w:tr>
      <w:tr w:rsidR="00AE51F5">
        <w:tc>
          <w:tcPr>
            <w:tcW w:w="1083" w:type="dxa"/>
            <w:vAlign w:val="center"/>
          </w:tcPr>
          <w:p w:rsidR="00AE51F5" w:rsidRDefault="009A78F6">
            <w:pPr>
              <w:jc w:val="center"/>
            </w:pPr>
            <w:r>
              <w:rPr>
                <w:color w:val="000000"/>
                <w:sz w:val="24"/>
              </w:rPr>
              <w:t>4</w:t>
            </w:r>
          </w:p>
        </w:tc>
        <w:tc>
          <w:tcPr>
            <w:tcW w:w="1302" w:type="dxa"/>
            <w:vAlign w:val="center"/>
          </w:tcPr>
          <w:p w:rsidR="00AE51F5" w:rsidRDefault="009A78F6">
            <w:pPr>
              <w:jc w:val="center"/>
            </w:pPr>
            <w:r>
              <w:rPr>
                <w:color w:val="000000"/>
                <w:sz w:val="24"/>
              </w:rPr>
              <w:t>300919</w:t>
            </w:r>
          </w:p>
        </w:tc>
        <w:tc>
          <w:tcPr>
            <w:tcW w:w="1301" w:type="dxa"/>
            <w:vAlign w:val="center"/>
          </w:tcPr>
          <w:p w:rsidR="00AE51F5" w:rsidRDefault="009A78F6">
            <w:pPr>
              <w:jc w:val="center"/>
            </w:pPr>
            <w:r>
              <w:rPr>
                <w:color w:val="000000"/>
                <w:sz w:val="24"/>
              </w:rPr>
              <w:t>中伟股份</w:t>
            </w:r>
          </w:p>
        </w:tc>
        <w:tc>
          <w:tcPr>
            <w:tcW w:w="1805" w:type="dxa"/>
            <w:vAlign w:val="center"/>
          </w:tcPr>
          <w:p w:rsidR="00AE51F5" w:rsidRDefault="009A78F6">
            <w:pPr>
              <w:jc w:val="right"/>
            </w:pPr>
            <w:r>
              <w:rPr>
                <w:color w:val="000000"/>
                <w:sz w:val="24"/>
              </w:rPr>
              <w:t>37,521.10</w:t>
            </w:r>
          </w:p>
        </w:tc>
        <w:tc>
          <w:tcPr>
            <w:tcW w:w="1655" w:type="dxa"/>
            <w:vAlign w:val="center"/>
          </w:tcPr>
          <w:p w:rsidR="00AE51F5" w:rsidRDefault="009A78F6">
            <w:pPr>
              <w:jc w:val="right"/>
            </w:pPr>
            <w:r>
              <w:rPr>
                <w:color w:val="000000"/>
                <w:sz w:val="24"/>
              </w:rPr>
              <w:t>0.00</w:t>
            </w:r>
          </w:p>
        </w:tc>
        <w:tc>
          <w:tcPr>
            <w:tcW w:w="1367" w:type="dxa"/>
            <w:vAlign w:val="center"/>
          </w:tcPr>
          <w:p w:rsidR="00AE51F5" w:rsidRDefault="009A78F6">
            <w:pPr>
              <w:jc w:val="right"/>
            </w:pPr>
            <w:r>
              <w:rPr>
                <w:color w:val="000000"/>
                <w:sz w:val="24"/>
              </w:rPr>
              <w:t>限售股</w:t>
            </w:r>
          </w:p>
        </w:tc>
      </w:tr>
      <w:tr w:rsidR="00AE51F5">
        <w:tc>
          <w:tcPr>
            <w:tcW w:w="1083" w:type="dxa"/>
            <w:vAlign w:val="center"/>
          </w:tcPr>
          <w:p w:rsidR="00AE51F5" w:rsidRDefault="009A78F6">
            <w:pPr>
              <w:jc w:val="center"/>
            </w:pPr>
            <w:r>
              <w:rPr>
                <w:color w:val="000000"/>
                <w:sz w:val="24"/>
              </w:rPr>
              <w:t>5</w:t>
            </w:r>
          </w:p>
        </w:tc>
        <w:tc>
          <w:tcPr>
            <w:tcW w:w="1302" w:type="dxa"/>
            <w:vAlign w:val="center"/>
          </w:tcPr>
          <w:p w:rsidR="00AE51F5" w:rsidRDefault="009A78F6">
            <w:pPr>
              <w:jc w:val="center"/>
            </w:pPr>
            <w:r>
              <w:rPr>
                <w:color w:val="000000"/>
                <w:sz w:val="24"/>
              </w:rPr>
              <w:t>300900</w:t>
            </w:r>
          </w:p>
        </w:tc>
        <w:tc>
          <w:tcPr>
            <w:tcW w:w="1301" w:type="dxa"/>
            <w:vAlign w:val="center"/>
          </w:tcPr>
          <w:p w:rsidR="00AE51F5" w:rsidRDefault="009A78F6">
            <w:pPr>
              <w:jc w:val="center"/>
            </w:pPr>
            <w:r>
              <w:rPr>
                <w:color w:val="000000"/>
                <w:sz w:val="24"/>
              </w:rPr>
              <w:t>广联航空</w:t>
            </w:r>
          </w:p>
        </w:tc>
        <w:tc>
          <w:tcPr>
            <w:tcW w:w="1805" w:type="dxa"/>
            <w:vAlign w:val="center"/>
          </w:tcPr>
          <w:p w:rsidR="00AE51F5" w:rsidRDefault="009A78F6">
            <w:pPr>
              <w:jc w:val="right"/>
            </w:pPr>
            <w:r>
              <w:rPr>
                <w:color w:val="000000"/>
                <w:sz w:val="24"/>
              </w:rPr>
              <w:t>29,147.64</w:t>
            </w:r>
          </w:p>
        </w:tc>
        <w:tc>
          <w:tcPr>
            <w:tcW w:w="1655" w:type="dxa"/>
            <w:vAlign w:val="center"/>
          </w:tcPr>
          <w:p w:rsidR="00AE51F5" w:rsidRDefault="009A78F6">
            <w:pPr>
              <w:jc w:val="right"/>
            </w:pPr>
            <w:r>
              <w:rPr>
                <w:color w:val="000000"/>
                <w:sz w:val="24"/>
              </w:rPr>
              <w:t>0.00</w:t>
            </w:r>
          </w:p>
        </w:tc>
        <w:tc>
          <w:tcPr>
            <w:tcW w:w="1367" w:type="dxa"/>
            <w:vAlign w:val="center"/>
          </w:tcPr>
          <w:p w:rsidR="00AE51F5" w:rsidRDefault="009A78F6">
            <w:pPr>
              <w:jc w:val="right"/>
            </w:pPr>
            <w:r>
              <w:rPr>
                <w:color w:val="000000"/>
                <w:sz w:val="24"/>
              </w:rPr>
              <w:t>限售股</w:t>
            </w:r>
          </w:p>
        </w:tc>
      </w:tr>
    </w:tbl>
    <w:p w:rsidR="00A62673" w:rsidRPr="00CE743F" w:rsidRDefault="00A62673" w:rsidP="009A037F">
      <w:pPr>
        <w:spacing w:line="360" w:lineRule="auto"/>
        <w:rPr>
          <w:rFonts w:ascii="宋体" w:cs="STSong-Light"/>
          <w:b/>
          <w:color w:val="000000"/>
          <w:sz w:val="24"/>
        </w:rPr>
      </w:pPr>
      <w:r w:rsidRPr="00CE743F">
        <w:rPr>
          <w:rFonts w:ascii="宋体" w:hAnsi="宋体"/>
          <w:b/>
          <w:color w:val="000000"/>
          <w:sz w:val="24"/>
        </w:rPr>
        <w:t>5.11.</w:t>
      </w:r>
      <w:r w:rsidRPr="00CE743F">
        <w:rPr>
          <w:rFonts w:ascii="宋体" w:hAnsi="宋体"/>
          <w:b/>
          <w:bCs/>
          <w:color w:val="000000"/>
          <w:sz w:val="24"/>
        </w:rPr>
        <w:t>6</w:t>
      </w:r>
      <w:r w:rsidRPr="00CE743F">
        <w:rPr>
          <w:rFonts w:ascii="宋体" w:hAnsi="宋体" w:hint="eastAsia"/>
          <w:b/>
          <w:bCs/>
          <w:color w:val="000000"/>
          <w:kern w:val="0"/>
          <w:sz w:val="24"/>
        </w:rPr>
        <w:t>投资组合报告附注的其他文字描述部分</w:t>
      </w:r>
    </w:p>
    <w:p w:rsidR="00A62673" w:rsidRPr="00DC315B" w:rsidRDefault="00A62673" w:rsidP="005A2769">
      <w:pPr>
        <w:spacing w:line="360" w:lineRule="auto"/>
        <w:ind w:firstLineChars="200" w:firstLine="480"/>
        <w:rPr>
          <w:color w:val="000000"/>
          <w:sz w:val="24"/>
        </w:rPr>
      </w:pPr>
      <w:r w:rsidRPr="00DC315B">
        <w:rPr>
          <w:color w:val="000000"/>
          <w:sz w:val="24"/>
        </w:rPr>
        <w:t>由于四舍五入的原因，分项之和与合计项之间可能存在尾差。</w:t>
      </w:r>
    </w:p>
    <w:p w:rsidR="00A62673" w:rsidRPr="00EC5CE0" w:rsidRDefault="00A62673" w:rsidP="005A2769">
      <w:pPr>
        <w:spacing w:line="360" w:lineRule="auto"/>
        <w:ind w:firstLineChars="200" w:firstLine="480"/>
        <w:rPr>
          <w:rFonts w:ascii="宋体"/>
          <w:color w:val="000000"/>
          <w:sz w:val="24"/>
        </w:rPr>
      </w:pPr>
    </w:p>
    <w:p w:rsidR="00A62673" w:rsidRPr="00EC5CE0" w:rsidRDefault="00A62673" w:rsidP="00F729DC">
      <w:pPr>
        <w:pStyle w:val="1"/>
        <w:spacing w:beforeLines="100" w:before="312" w:afterLines="100" w:after="312" w:line="360" w:lineRule="auto"/>
        <w:jc w:val="center"/>
        <w:rPr>
          <w:rFonts w:ascii="宋体" w:cs="Arial"/>
          <w:color w:val="000000"/>
          <w:kern w:val="0"/>
          <w:sz w:val="24"/>
          <w:szCs w:val="24"/>
        </w:rPr>
      </w:pPr>
      <w:r w:rsidRPr="00EC5CE0">
        <w:rPr>
          <w:rFonts w:ascii="宋体" w:hAnsi="宋体" w:cs="Arial" w:hint="eastAsia"/>
          <w:color w:val="000000"/>
          <w:kern w:val="0"/>
          <w:sz w:val="24"/>
          <w:szCs w:val="24"/>
        </w:rPr>
        <w:t>§</w:t>
      </w:r>
      <w:r w:rsidRPr="00EC5CE0">
        <w:rPr>
          <w:rFonts w:ascii="宋体" w:hAnsi="宋体" w:cs="Arial"/>
          <w:color w:val="000000"/>
          <w:kern w:val="0"/>
          <w:sz w:val="24"/>
          <w:szCs w:val="24"/>
        </w:rPr>
        <w:t xml:space="preserve">6  </w:t>
      </w:r>
      <w:r w:rsidRPr="00EC5CE0">
        <w:rPr>
          <w:rFonts w:ascii="宋体" w:hAnsi="宋体" w:cs="Arial" w:hint="eastAsia"/>
          <w:color w:val="000000"/>
          <w:kern w:val="0"/>
          <w:sz w:val="24"/>
          <w:szCs w:val="24"/>
        </w:rPr>
        <w:t>开放式基金份额变动</w:t>
      </w:r>
    </w:p>
    <w:p w:rsidR="004976EE" w:rsidRPr="00FA472B" w:rsidRDefault="004976EE" w:rsidP="004976EE">
      <w:pPr>
        <w:autoSpaceDE w:val="0"/>
        <w:autoSpaceDN w:val="0"/>
        <w:adjustRightInd w:val="0"/>
        <w:spacing w:before="29" w:line="288" w:lineRule="auto"/>
        <w:ind w:left="15" w:right="480"/>
        <w:jc w:val="right"/>
        <w:rPr>
          <w:rFonts w:ascii="宋体" w:hAnsi="宋体" w:cs="Arial"/>
          <w:color w:val="000000"/>
          <w:kern w:val="0"/>
          <w:sz w:val="24"/>
        </w:rPr>
      </w:pPr>
      <w:r w:rsidRPr="00FA472B">
        <w:rPr>
          <w:rFonts w:ascii="宋体" w:hAnsi="宋体" w:cs="Arial" w:hint="eastAsia"/>
          <w:color w:val="000000"/>
          <w:kern w:val="0"/>
          <w:sz w:val="24"/>
        </w:rPr>
        <w:t>单位：份</w:t>
      </w:r>
    </w:p>
    <w:tbl>
      <w:tblPr>
        <w:tblW w:w="0" w:type="auto"/>
        <w:tblInd w:w="-106" w:type="dxa"/>
        <w:tblLayout w:type="fixed"/>
        <w:tblLook w:val="0000" w:firstRow="0" w:lastRow="0" w:firstColumn="0" w:lastColumn="0" w:noHBand="0" w:noVBand="0"/>
      </w:tblPr>
      <w:tblGrid>
        <w:gridCol w:w="3900"/>
        <w:gridCol w:w="2367"/>
        <w:gridCol w:w="2367"/>
      </w:tblGrid>
      <w:tr w:rsidR="004976EE" w:rsidRPr="0078105B" w:rsidTr="00320C1E">
        <w:tc>
          <w:tcPr>
            <w:tcW w:w="3900"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320C1E">
            <w:pPr>
              <w:autoSpaceDE w:val="0"/>
              <w:autoSpaceDN w:val="0"/>
              <w:adjustRightInd w:val="0"/>
              <w:spacing w:before="29" w:line="360" w:lineRule="auto"/>
              <w:ind w:left="17"/>
              <w:jc w:val="center"/>
              <w:rPr>
                <w:color w:val="000000"/>
                <w:kern w:val="0"/>
                <w:sz w:val="24"/>
              </w:rPr>
            </w:pPr>
            <w:r w:rsidRPr="00FA472B">
              <w:rPr>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320C1E">
            <w:pPr>
              <w:autoSpaceDE w:val="0"/>
              <w:autoSpaceDN w:val="0"/>
              <w:adjustRightInd w:val="0"/>
              <w:spacing w:before="29" w:line="360" w:lineRule="auto"/>
              <w:ind w:left="17"/>
              <w:jc w:val="right"/>
              <w:rPr>
                <w:color w:val="000000"/>
                <w:sz w:val="24"/>
              </w:rPr>
            </w:pPr>
            <w:r w:rsidRPr="00FA472B">
              <w:rPr>
                <w:sz w:val="24"/>
              </w:rPr>
              <w:t>交银创业板</w:t>
            </w:r>
            <w:r w:rsidRPr="00FA472B">
              <w:rPr>
                <w:sz w:val="24"/>
              </w:rPr>
              <w:t>50</w:t>
            </w:r>
            <w:r w:rsidRPr="00FA472B">
              <w:rPr>
                <w:sz w:val="24"/>
              </w:rPr>
              <w:t>指数</w:t>
            </w:r>
            <w:r w:rsidRPr="00FA472B">
              <w:rPr>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320C1E">
            <w:pPr>
              <w:autoSpaceDE w:val="0"/>
              <w:autoSpaceDN w:val="0"/>
              <w:adjustRightInd w:val="0"/>
              <w:spacing w:before="29" w:line="360" w:lineRule="auto"/>
              <w:ind w:left="17"/>
              <w:jc w:val="right"/>
              <w:rPr>
                <w:color w:val="000000"/>
                <w:sz w:val="24"/>
              </w:rPr>
            </w:pPr>
            <w:r w:rsidRPr="00FA472B">
              <w:rPr>
                <w:sz w:val="24"/>
              </w:rPr>
              <w:t>交银创业板</w:t>
            </w:r>
            <w:r w:rsidRPr="00FA472B">
              <w:rPr>
                <w:sz w:val="24"/>
              </w:rPr>
              <w:t>50</w:t>
            </w:r>
            <w:r w:rsidRPr="00FA472B">
              <w:rPr>
                <w:sz w:val="24"/>
              </w:rPr>
              <w:t>指数</w:t>
            </w:r>
            <w:r w:rsidRPr="00FA472B">
              <w:rPr>
                <w:sz w:val="24"/>
              </w:rPr>
              <w:t>C</w:t>
            </w:r>
          </w:p>
        </w:tc>
      </w:tr>
      <w:tr w:rsidR="004976EE" w:rsidRPr="0078105B" w:rsidTr="00320C1E">
        <w:tc>
          <w:tcPr>
            <w:tcW w:w="3900"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320C1E">
            <w:pPr>
              <w:autoSpaceDE w:val="0"/>
              <w:autoSpaceDN w:val="0"/>
              <w:adjustRightInd w:val="0"/>
              <w:spacing w:before="29" w:line="360" w:lineRule="auto"/>
              <w:ind w:left="17"/>
              <w:jc w:val="left"/>
              <w:rPr>
                <w:color w:val="000000"/>
                <w:kern w:val="0"/>
                <w:sz w:val="24"/>
              </w:rPr>
            </w:pPr>
            <w:r w:rsidRPr="00FA472B">
              <w:rPr>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320C1E">
            <w:pPr>
              <w:autoSpaceDE w:val="0"/>
              <w:autoSpaceDN w:val="0"/>
              <w:adjustRightInd w:val="0"/>
              <w:spacing w:before="29" w:line="360" w:lineRule="auto"/>
              <w:ind w:left="17"/>
              <w:jc w:val="right"/>
              <w:rPr>
                <w:color w:val="000000"/>
                <w:sz w:val="24"/>
              </w:rPr>
            </w:pPr>
            <w:r w:rsidRPr="00FA472B">
              <w:rPr>
                <w:color w:val="000000"/>
                <w:sz w:val="24"/>
              </w:rPr>
              <w:t>471,004,227.64</w:t>
            </w:r>
          </w:p>
        </w:tc>
        <w:tc>
          <w:tcPr>
            <w:tcW w:w="2367"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320C1E">
            <w:pPr>
              <w:autoSpaceDE w:val="0"/>
              <w:autoSpaceDN w:val="0"/>
              <w:adjustRightInd w:val="0"/>
              <w:spacing w:before="29" w:line="360" w:lineRule="auto"/>
              <w:ind w:left="17"/>
              <w:jc w:val="right"/>
              <w:rPr>
                <w:color w:val="000000"/>
                <w:sz w:val="24"/>
              </w:rPr>
            </w:pPr>
            <w:r w:rsidRPr="00FA472B">
              <w:rPr>
                <w:color w:val="000000"/>
                <w:sz w:val="24"/>
              </w:rPr>
              <w:t>253,077,124.82</w:t>
            </w:r>
          </w:p>
        </w:tc>
      </w:tr>
      <w:tr w:rsidR="004976EE" w:rsidRPr="0078105B" w:rsidTr="00320C1E">
        <w:tc>
          <w:tcPr>
            <w:tcW w:w="3900"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320C1E">
            <w:pPr>
              <w:autoSpaceDE w:val="0"/>
              <w:autoSpaceDN w:val="0"/>
              <w:adjustRightInd w:val="0"/>
              <w:spacing w:before="29" w:line="360" w:lineRule="auto"/>
              <w:ind w:left="17"/>
              <w:jc w:val="left"/>
              <w:rPr>
                <w:color w:val="000000"/>
                <w:kern w:val="0"/>
                <w:sz w:val="24"/>
              </w:rPr>
            </w:pPr>
            <w:r w:rsidRPr="00FA472B">
              <w:rPr>
                <w:color w:val="000000"/>
                <w:kern w:val="0"/>
                <w:sz w:val="24"/>
              </w:rPr>
              <w:t>报告期基金总申购份额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320C1E">
            <w:pPr>
              <w:autoSpaceDE w:val="0"/>
              <w:autoSpaceDN w:val="0"/>
              <w:adjustRightInd w:val="0"/>
              <w:spacing w:before="29" w:line="360" w:lineRule="auto"/>
              <w:ind w:left="17"/>
              <w:jc w:val="right"/>
              <w:rPr>
                <w:color w:val="000000"/>
                <w:sz w:val="24"/>
              </w:rPr>
            </w:pPr>
            <w:r w:rsidRPr="00FA472B">
              <w:rPr>
                <w:color w:val="000000"/>
                <w:sz w:val="24"/>
              </w:rPr>
              <w:t>151,090,462.25</w:t>
            </w:r>
          </w:p>
        </w:tc>
        <w:tc>
          <w:tcPr>
            <w:tcW w:w="2367"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320C1E">
            <w:pPr>
              <w:autoSpaceDE w:val="0"/>
              <w:autoSpaceDN w:val="0"/>
              <w:adjustRightInd w:val="0"/>
              <w:spacing w:before="29" w:line="360" w:lineRule="auto"/>
              <w:ind w:left="17"/>
              <w:jc w:val="right"/>
              <w:rPr>
                <w:color w:val="000000"/>
                <w:sz w:val="24"/>
              </w:rPr>
            </w:pPr>
            <w:r w:rsidRPr="00FA472B">
              <w:rPr>
                <w:color w:val="000000"/>
                <w:sz w:val="24"/>
              </w:rPr>
              <w:t>190,218,349.79</w:t>
            </w:r>
          </w:p>
        </w:tc>
      </w:tr>
      <w:tr w:rsidR="004976EE" w:rsidRPr="0078105B" w:rsidTr="00320C1E">
        <w:tc>
          <w:tcPr>
            <w:tcW w:w="3900"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320C1E">
            <w:pPr>
              <w:autoSpaceDE w:val="0"/>
              <w:autoSpaceDN w:val="0"/>
              <w:adjustRightInd w:val="0"/>
              <w:spacing w:before="29" w:line="360" w:lineRule="auto"/>
              <w:ind w:left="17"/>
              <w:jc w:val="left"/>
              <w:rPr>
                <w:color w:val="000000"/>
                <w:kern w:val="0"/>
                <w:sz w:val="24"/>
              </w:rPr>
            </w:pPr>
            <w:r w:rsidRPr="00FA472B">
              <w:rPr>
                <w:color w:val="000000"/>
                <w:kern w:val="0"/>
                <w:sz w:val="24"/>
              </w:rPr>
              <w:t>减：报告期基金总赎回份额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320C1E">
            <w:pPr>
              <w:autoSpaceDE w:val="0"/>
              <w:autoSpaceDN w:val="0"/>
              <w:adjustRightInd w:val="0"/>
              <w:spacing w:before="29" w:line="360" w:lineRule="auto"/>
              <w:ind w:left="17"/>
              <w:jc w:val="right"/>
              <w:rPr>
                <w:color w:val="000000"/>
                <w:sz w:val="24"/>
              </w:rPr>
            </w:pPr>
            <w:r w:rsidRPr="00FA472B">
              <w:rPr>
                <w:color w:val="000000"/>
                <w:sz w:val="24"/>
              </w:rPr>
              <w:t>232,012,347.04</w:t>
            </w:r>
          </w:p>
        </w:tc>
        <w:tc>
          <w:tcPr>
            <w:tcW w:w="2367"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320C1E">
            <w:pPr>
              <w:autoSpaceDE w:val="0"/>
              <w:autoSpaceDN w:val="0"/>
              <w:adjustRightInd w:val="0"/>
              <w:spacing w:before="29" w:line="360" w:lineRule="auto"/>
              <w:ind w:left="17"/>
              <w:jc w:val="right"/>
              <w:rPr>
                <w:color w:val="000000"/>
                <w:sz w:val="24"/>
              </w:rPr>
            </w:pPr>
            <w:r w:rsidRPr="00FA472B">
              <w:rPr>
                <w:color w:val="000000"/>
                <w:sz w:val="24"/>
              </w:rPr>
              <w:t>261,984,540.85</w:t>
            </w:r>
          </w:p>
        </w:tc>
      </w:tr>
      <w:tr w:rsidR="004976EE" w:rsidRPr="0078105B" w:rsidTr="00320C1E">
        <w:tc>
          <w:tcPr>
            <w:tcW w:w="3900"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320C1E">
            <w:pPr>
              <w:autoSpaceDE w:val="0"/>
              <w:autoSpaceDN w:val="0"/>
              <w:adjustRightInd w:val="0"/>
              <w:spacing w:before="29" w:line="360" w:lineRule="auto"/>
              <w:ind w:left="17"/>
              <w:jc w:val="left"/>
              <w:rPr>
                <w:color w:val="000000"/>
                <w:kern w:val="0"/>
                <w:sz w:val="24"/>
              </w:rPr>
            </w:pPr>
            <w:r w:rsidRPr="00FA472B">
              <w:rPr>
                <w:color w:val="000000"/>
                <w:kern w:val="0"/>
                <w:sz w:val="24"/>
              </w:rPr>
              <w:t>报告期基金拆分变动份额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320C1E">
            <w:pPr>
              <w:autoSpaceDE w:val="0"/>
              <w:autoSpaceDN w:val="0"/>
              <w:adjustRightInd w:val="0"/>
              <w:spacing w:before="29" w:line="360" w:lineRule="auto"/>
              <w:ind w:left="17"/>
              <w:jc w:val="right"/>
              <w:rPr>
                <w:color w:val="000000"/>
                <w:sz w:val="24"/>
              </w:rPr>
            </w:pPr>
            <w:r w:rsidRPr="00FA472B">
              <w:rPr>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320C1E">
            <w:pPr>
              <w:autoSpaceDE w:val="0"/>
              <w:autoSpaceDN w:val="0"/>
              <w:adjustRightInd w:val="0"/>
              <w:spacing w:before="29" w:line="360" w:lineRule="auto"/>
              <w:ind w:left="17"/>
              <w:jc w:val="right"/>
              <w:rPr>
                <w:color w:val="000000"/>
                <w:sz w:val="24"/>
              </w:rPr>
            </w:pPr>
            <w:r w:rsidRPr="00FA472B">
              <w:rPr>
                <w:color w:val="000000"/>
                <w:sz w:val="24"/>
              </w:rPr>
              <w:t>-</w:t>
            </w:r>
          </w:p>
        </w:tc>
      </w:tr>
      <w:tr w:rsidR="004976EE" w:rsidRPr="0078105B" w:rsidTr="00320C1E">
        <w:tc>
          <w:tcPr>
            <w:tcW w:w="3900"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320C1E">
            <w:pPr>
              <w:autoSpaceDE w:val="0"/>
              <w:autoSpaceDN w:val="0"/>
              <w:adjustRightInd w:val="0"/>
              <w:spacing w:before="29" w:line="360" w:lineRule="auto"/>
              <w:ind w:left="17"/>
              <w:jc w:val="left"/>
              <w:rPr>
                <w:color w:val="000000"/>
                <w:kern w:val="0"/>
                <w:sz w:val="24"/>
              </w:rPr>
            </w:pPr>
            <w:r w:rsidRPr="00FA472B">
              <w:rPr>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320C1E">
            <w:pPr>
              <w:autoSpaceDE w:val="0"/>
              <w:autoSpaceDN w:val="0"/>
              <w:adjustRightInd w:val="0"/>
              <w:spacing w:before="29" w:line="360" w:lineRule="auto"/>
              <w:ind w:left="17"/>
              <w:jc w:val="right"/>
              <w:rPr>
                <w:color w:val="000000"/>
                <w:sz w:val="24"/>
              </w:rPr>
            </w:pPr>
            <w:r w:rsidRPr="00FA472B">
              <w:rPr>
                <w:color w:val="000000"/>
                <w:sz w:val="24"/>
              </w:rPr>
              <w:t>390,082,342.85</w:t>
            </w:r>
          </w:p>
        </w:tc>
        <w:tc>
          <w:tcPr>
            <w:tcW w:w="2367"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320C1E">
            <w:pPr>
              <w:autoSpaceDE w:val="0"/>
              <w:autoSpaceDN w:val="0"/>
              <w:adjustRightInd w:val="0"/>
              <w:spacing w:before="29" w:line="360" w:lineRule="auto"/>
              <w:ind w:left="17"/>
              <w:jc w:val="right"/>
              <w:rPr>
                <w:color w:val="000000"/>
                <w:sz w:val="24"/>
              </w:rPr>
            </w:pPr>
            <w:r w:rsidRPr="00FA472B">
              <w:rPr>
                <w:color w:val="000000"/>
                <w:sz w:val="24"/>
              </w:rPr>
              <w:t>181,310,933.76</w:t>
            </w:r>
          </w:p>
        </w:tc>
      </w:tr>
    </w:tbl>
    <w:p w:rsidR="00AE51F5" w:rsidRDefault="009A78F6">
      <w:pPr>
        <w:spacing w:line="360" w:lineRule="auto"/>
        <w:ind w:firstLineChars="200" w:firstLine="480"/>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p>
    <w:p w:rsidR="00A62673" w:rsidRPr="00DC315B" w:rsidRDefault="004976EE" w:rsidP="00DC315B">
      <w:pPr>
        <w:spacing w:line="360" w:lineRule="auto"/>
        <w:ind w:firstLineChars="200" w:firstLine="480"/>
        <w:rPr>
          <w:color w:val="000000"/>
          <w:sz w:val="24"/>
        </w:rPr>
      </w:pPr>
      <w:r w:rsidRPr="00DF18FE">
        <w:rPr>
          <w:color w:val="000000"/>
          <w:sz w:val="24"/>
        </w:rPr>
        <w:t>2</w:t>
      </w:r>
      <w:r w:rsidRPr="00DF18FE">
        <w:rPr>
          <w:color w:val="000000"/>
          <w:sz w:val="24"/>
        </w:rPr>
        <w:t>、如果本报告期间发生转换出业务，则总赎回份额中包含该业务。</w:t>
      </w:r>
    </w:p>
    <w:p w:rsidR="00A62673" w:rsidRDefault="00A62673" w:rsidP="00F729DC">
      <w:pPr>
        <w:pStyle w:val="1"/>
        <w:tabs>
          <w:tab w:val="center" w:pos="4156"/>
          <w:tab w:val="right" w:pos="8312"/>
        </w:tabs>
        <w:spacing w:beforeLines="100" w:before="312" w:afterLines="100" w:after="312" w:line="360" w:lineRule="auto"/>
        <w:jc w:val="center"/>
        <w:rPr>
          <w:rFonts w:ascii="方正仿宋简体"/>
          <w:sz w:val="24"/>
          <w:szCs w:val="24"/>
        </w:rPr>
      </w:pPr>
      <w:r>
        <w:rPr>
          <w:rFonts w:ascii="宋体" w:hAnsi="宋体" w:cs="Arial" w:hint="eastAsia"/>
          <w:color w:val="000000"/>
          <w:kern w:val="0"/>
          <w:sz w:val="24"/>
          <w:szCs w:val="24"/>
        </w:rPr>
        <w:t>§</w:t>
      </w:r>
      <w:r>
        <w:rPr>
          <w:rFonts w:ascii="宋体" w:hAnsi="宋体" w:cs="Arial"/>
          <w:color w:val="000000"/>
          <w:kern w:val="0"/>
          <w:sz w:val="24"/>
          <w:szCs w:val="24"/>
        </w:rPr>
        <w:t xml:space="preserve">7  </w:t>
      </w:r>
      <w:r>
        <w:rPr>
          <w:rFonts w:ascii="方正仿宋简体" w:hint="eastAsia"/>
          <w:sz w:val="24"/>
          <w:szCs w:val="24"/>
        </w:rPr>
        <w:t>基金管理人运用固有资金投资本基金情况</w:t>
      </w:r>
    </w:p>
    <w:p w:rsidR="00A62673" w:rsidRDefault="00A62673" w:rsidP="00413689">
      <w:pPr>
        <w:spacing w:line="360" w:lineRule="auto"/>
        <w:jc w:val="left"/>
        <w:rPr>
          <w:sz w:val="24"/>
        </w:rPr>
      </w:pPr>
      <w:r>
        <w:rPr>
          <w:b/>
          <w:sz w:val="24"/>
        </w:rPr>
        <w:t xml:space="preserve">7.1 </w:t>
      </w:r>
      <w:r>
        <w:rPr>
          <w:rFonts w:hint="eastAsia"/>
          <w:b/>
          <w:sz w:val="24"/>
        </w:rPr>
        <w:t>基金管理人持有本基金份额变动情况</w:t>
      </w:r>
      <w:bookmarkStart w:id="1" w:name="OLE_LINK1"/>
      <w:bookmarkStart w:id="2" w:name="OLE_LINK2"/>
      <w:bookmarkEnd w:id="1"/>
      <w:bookmarkEnd w:id="2"/>
    </w:p>
    <w:p w:rsidR="00A62673" w:rsidRPr="00C1648E" w:rsidRDefault="004D5C1F" w:rsidP="00C1648E">
      <w:pPr>
        <w:spacing w:line="360" w:lineRule="auto"/>
        <w:ind w:firstLineChars="200" w:firstLine="480"/>
        <w:rPr>
          <w:color w:val="000000"/>
          <w:sz w:val="24"/>
        </w:rPr>
      </w:pPr>
      <w:r w:rsidRPr="00DF18FE">
        <w:rPr>
          <w:color w:val="000000"/>
          <w:sz w:val="24"/>
        </w:rPr>
        <w:t>本报告期内未发生基金管理人运用固有资金投资本基金的情况。</w:t>
      </w:r>
    </w:p>
    <w:p w:rsidR="00A62673" w:rsidRDefault="00A62673" w:rsidP="00413689">
      <w:pPr>
        <w:spacing w:line="360" w:lineRule="auto"/>
        <w:jc w:val="left"/>
        <w:rPr>
          <w:sz w:val="24"/>
        </w:rPr>
      </w:pPr>
      <w:r>
        <w:rPr>
          <w:b/>
          <w:sz w:val="24"/>
        </w:rPr>
        <w:t xml:space="preserve">7.2 </w:t>
      </w:r>
      <w:r>
        <w:rPr>
          <w:rFonts w:hint="eastAsia"/>
          <w:b/>
          <w:sz w:val="24"/>
        </w:rPr>
        <w:t>基金管理人运用固有资金投资本基金交易明细</w:t>
      </w:r>
    </w:p>
    <w:p w:rsidR="00A62673" w:rsidRPr="00DC315B" w:rsidRDefault="004D5C1F" w:rsidP="00DC315B">
      <w:pPr>
        <w:spacing w:line="360" w:lineRule="auto"/>
        <w:ind w:firstLineChars="200" w:firstLine="480"/>
        <w:rPr>
          <w:color w:val="000000"/>
          <w:sz w:val="24"/>
        </w:rPr>
      </w:pPr>
      <w:r w:rsidRPr="00DF18FE">
        <w:rPr>
          <w:color w:val="000000"/>
          <w:sz w:val="24"/>
        </w:rPr>
        <w:t>本基金管理人本报告期内未进行本基金的申购、赎回、红利再投等。</w:t>
      </w:r>
    </w:p>
    <w:p w:rsidR="0082435E" w:rsidRPr="00900A07" w:rsidRDefault="0082435E" w:rsidP="00F729DC">
      <w:pPr>
        <w:pStyle w:val="1"/>
        <w:spacing w:beforeLines="100" w:before="312" w:afterLines="100" w:after="312" w:line="360" w:lineRule="auto"/>
        <w:jc w:val="center"/>
        <w:rPr>
          <w:rFonts w:ascii="宋体" w:hAnsi="宋体" w:cs="Arial"/>
          <w:color w:val="000000"/>
          <w:kern w:val="0"/>
          <w:sz w:val="24"/>
          <w:szCs w:val="24"/>
        </w:rPr>
      </w:pPr>
      <w:r w:rsidRPr="00900A07">
        <w:rPr>
          <w:rFonts w:ascii="宋体" w:hAnsi="宋体" w:cs="Arial"/>
          <w:color w:val="000000"/>
          <w:kern w:val="0"/>
          <w:sz w:val="24"/>
          <w:szCs w:val="24"/>
        </w:rPr>
        <w:t>§8</w:t>
      </w:r>
      <w:r w:rsidR="00900A07" w:rsidRPr="00EC5CE0">
        <w:rPr>
          <w:rFonts w:ascii="宋体" w:hAnsi="宋体" w:cs="Arial"/>
          <w:color w:val="000000"/>
          <w:kern w:val="0"/>
          <w:sz w:val="24"/>
          <w:szCs w:val="24"/>
        </w:rPr>
        <w:t xml:space="preserve">  </w:t>
      </w:r>
      <w:r w:rsidRPr="00900A07">
        <w:rPr>
          <w:rFonts w:ascii="宋体" w:hAnsi="宋体" w:cs="Arial"/>
          <w:color w:val="000000"/>
          <w:kern w:val="0"/>
          <w:sz w:val="24"/>
          <w:szCs w:val="24"/>
        </w:rPr>
        <w:t>影响投资者决策的其他重要信息</w:t>
      </w:r>
    </w:p>
    <w:p w:rsidR="00803F15" w:rsidRPr="00654C5E" w:rsidRDefault="00803F15" w:rsidP="00803F15">
      <w:pPr>
        <w:autoSpaceDE w:val="0"/>
        <w:autoSpaceDN w:val="0"/>
        <w:adjustRightInd w:val="0"/>
        <w:spacing w:line="360" w:lineRule="auto"/>
        <w:jc w:val="left"/>
        <w:rPr>
          <w:rFonts w:ascii="宋体"/>
          <w:b/>
          <w:bCs/>
          <w:color w:val="000000"/>
          <w:kern w:val="0"/>
          <w:sz w:val="24"/>
        </w:rPr>
      </w:pPr>
      <w:r w:rsidRPr="00654C5E">
        <w:rPr>
          <w:rFonts w:ascii="宋体"/>
          <w:b/>
          <w:bCs/>
          <w:color w:val="000000"/>
          <w:kern w:val="0"/>
          <w:sz w:val="24"/>
        </w:rPr>
        <w:t>8.1 影响投资者决策的其他重要信息</w:t>
      </w:r>
    </w:p>
    <w:p w:rsidR="00A62673" w:rsidRPr="009D7F16" w:rsidRDefault="00803F15" w:rsidP="00803F15">
      <w:pPr>
        <w:spacing w:line="360" w:lineRule="auto"/>
        <w:ind w:firstLineChars="200" w:firstLine="480"/>
        <w:rPr>
          <w:color w:val="000000"/>
          <w:sz w:val="24"/>
        </w:rPr>
      </w:pPr>
      <w:r w:rsidRPr="00FC0759">
        <w:rPr>
          <w:rFonts w:eastAsiaTheme="minorEastAsia"/>
          <w:color w:val="000000" w:themeColor="text1"/>
          <w:sz w:val="24"/>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rsidR="00A62673" w:rsidRPr="00EC5CE0" w:rsidRDefault="00A62673" w:rsidP="00F729DC">
      <w:pPr>
        <w:pStyle w:val="1"/>
        <w:spacing w:beforeLines="100" w:before="312" w:afterLines="100" w:after="312" w:line="360" w:lineRule="auto"/>
        <w:jc w:val="center"/>
        <w:rPr>
          <w:rFonts w:ascii="宋体" w:cs="Arial"/>
          <w:color w:val="000000"/>
          <w:kern w:val="0"/>
          <w:sz w:val="24"/>
          <w:szCs w:val="24"/>
        </w:rPr>
      </w:pPr>
      <w:r w:rsidRPr="00EC5CE0">
        <w:rPr>
          <w:rFonts w:ascii="宋体" w:hAnsi="宋体" w:cs="Arial" w:hint="eastAsia"/>
          <w:color w:val="000000"/>
          <w:kern w:val="0"/>
          <w:sz w:val="24"/>
          <w:szCs w:val="24"/>
        </w:rPr>
        <w:t>§</w:t>
      </w:r>
      <w:r w:rsidRPr="00EC5CE0">
        <w:rPr>
          <w:rFonts w:ascii="宋体" w:hAnsi="宋体" w:cs="Arial"/>
          <w:color w:val="000000"/>
          <w:kern w:val="0"/>
          <w:sz w:val="24"/>
          <w:szCs w:val="24"/>
        </w:rPr>
        <w:t>9</w:t>
      </w:r>
      <w:r w:rsidR="00900A07" w:rsidRPr="00EC5CE0">
        <w:rPr>
          <w:rFonts w:ascii="宋体" w:hAnsi="宋体" w:cs="Arial"/>
          <w:color w:val="000000"/>
          <w:kern w:val="0"/>
          <w:sz w:val="24"/>
          <w:szCs w:val="24"/>
        </w:rPr>
        <w:t xml:space="preserve">  </w:t>
      </w:r>
      <w:r w:rsidRPr="00EC5CE0">
        <w:rPr>
          <w:rFonts w:ascii="宋体" w:hAnsi="宋体" w:cs="Arial" w:hint="eastAsia"/>
          <w:color w:val="000000"/>
          <w:kern w:val="0"/>
          <w:sz w:val="24"/>
          <w:szCs w:val="24"/>
        </w:rPr>
        <w:t>备查文件目录</w:t>
      </w:r>
    </w:p>
    <w:p w:rsidR="00A62673" w:rsidRPr="00511B6A" w:rsidRDefault="00A62673" w:rsidP="009A037F">
      <w:pPr>
        <w:spacing w:line="360" w:lineRule="auto"/>
        <w:rPr>
          <w:rFonts w:ascii="宋体"/>
          <w:b/>
          <w:color w:val="000000"/>
          <w:sz w:val="24"/>
        </w:rPr>
      </w:pPr>
      <w:r w:rsidRPr="00511B6A">
        <w:rPr>
          <w:rFonts w:ascii="宋体" w:hAnsi="宋体"/>
          <w:b/>
          <w:color w:val="000000"/>
          <w:sz w:val="24"/>
        </w:rPr>
        <w:t xml:space="preserve">9.1 </w:t>
      </w:r>
      <w:r w:rsidRPr="00511B6A">
        <w:rPr>
          <w:rFonts w:ascii="宋体" w:hAnsi="宋体" w:hint="eastAsia"/>
          <w:b/>
          <w:color w:val="000000"/>
          <w:sz w:val="24"/>
        </w:rPr>
        <w:t>备查文件目录</w:t>
      </w:r>
    </w:p>
    <w:p w:rsidR="00AE51F5" w:rsidRDefault="009A78F6">
      <w:pPr>
        <w:spacing w:line="360" w:lineRule="auto"/>
        <w:ind w:firstLineChars="200" w:firstLine="480"/>
        <w:rPr>
          <w:color w:val="000000"/>
          <w:sz w:val="24"/>
        </w:rPr>
      </w:pPr>
      <w:r>
        <w:rPr>
          <w:color w:val="000000"/>
          <w:sz w:val="24"/>
        </w:rPr>
        <w:t>1</w:t>
      </w:r>
      <w:r>
        <w:rPr>
          <w:color w:val="000000"/>
          <w:sz w:val="24"/>
        </w:rPr>
        <w:t>、中国证监会准予交银施罗德创业板</w:t>
      </w:r>
      <w:r>
        <w:rPr>
          <w:color w:val="000000"/>
          <w:sz w:val="24"/>
        </w:rPr>
        <w:t>50</w:t>
      </w:r>
      <w:r>
        <w:rPr>
          <w:color w:val="000000"/>
          <w:sz w:val="24"/>
        </w:rPr>
        <w:t>指数型证券投资基金募集注册的文件；</w:t>
      </w:r>
      <w:r>
        <w:rPr>
          <w:color w:val="000000"/>
          <w:sz w:val="24"/>
        </w:rPr>
        <w:t xml:space="preserve"> </w:t>
      </w:r>
    </w:p>
    <w:p w:rsidR="00AE51F5" w:rsidRDefault="009A78F6">
      <w:pPr>
        <w:spacing w:line="360" w:lineRule="auto"/>
        <w:ind w:firstLineChars="200" w:firstLine="480"/>
        <w:rPr>
          <w:color w:val="000000"/>
          <w:sz w:val="24"/>
        </w:rPr>
      </w:pPr>
      <w:r>
        <w:rPr>
          <w:color w:val="000000"/>
          <w:sz w:val="24"/>
        </w:rPr>
        <w:t>2</w:t>
      </w:r>
      <w:r>
        <w:rPr>
          <w:color w:val="000000"/>
          <w:sz w:val="24"/>
        </w:rPr>
        <w:t>、《交银施罗德创业板</w:t>
      </w:r>
      <w:r>
        <w:rPr>
          <w:color w:val="000000"/>
          <w:sz w:val="24"/>
        </w:rPr>
        <w:t>50</w:t>
      </w:r>
      <w:r>
        <w:rPr>
          <w:color w:val="000000"/>
          <w:sz w:val="24"/>
        </w:rPr>
        <w:t>指数型证券投资基金基金合同》；</w:t>
      </w:r>
      <w:r>
        <w:rPr>
          <w:color w:val="000000"/>
          <w:sz w:val="24"/>
        </w:rPr>
        <w:t xml:space="preserve"> </w:t>
      </w:r>
    </w:p>
    <w:p w:rsidR="00AE51F5" w:rsidRDefault="009A78F6">
      <w:pPr>
        <w:spacing w:line="360" w:lineRule="auto"/>
        <w:ind w:firstLineChars="200" w:firstLine="480"/>
        <w:rPr>
          <w:color w:val="000000"/>
          <w:sz w:val="24"/>
        </w:rPr>
      </w:pPr>
      <w:r>
        <w:rPr>
          <w:color w:val="000000"/>
          <w:sz w:val="24"/>
        </w:rPr>
        <w:t>3</w:t>
      </w:r>
      <w:r>
        <w:rPr>
          <w:color w:val="000000"/>
          <w:sz w:val="24"/>
        </w:rPr>
        <w:t>、《交银施罗德创业板</w:t>
      </w:r>
      <w:r>
        <w:rPr>
          <w:color w:val="000000"/>
          <w:sz w:val="24"/>
        </w:rPr>
        <w:t>50</w:t>
      </w:r>
      <w:r>
        <w:rPr>
          <w:color w:val="000000"/>
          <w:sz w:val="24"/>
        </w:rPr>
        <w:t>指数</w:t>
      </w:r>
      <w:r>
        <w:rPr>
          <w:color w:val="000000"/>
          <w:sz w:val="24"/>
        </w:rPr>
        <w:t>型证券投资基金招募说明书》；</w:t>
      </w:r>
      <w:r>
        <w:rPr>
          <w:color w:val="000000"/>
          <w:sz w:val="24"/>
        </w:rPr>
        <w:t xml:space="preserve"> </w:t>
      </w:r>
    </w:p>
    <w:p w:rsidR="00AE51F5" w:rsidRDefault="009A78F6">
      <w:pPr>
        <w:spacing w:line="360" w:lineRule="auto"/>
        <w:ind w:firstLineChars="200" w:firstLine="480"/>
        <w:rPr>
          <w:color w:val="000000"/>
          <w:sz w:val="24"/>
        </w:rPr>
      </w:pPr>
      <w:r>
        <w:rPr>
          <w:color w:val="000000"/>
          <w:sz w:val="24"/>
        </w:rPr>
        <w:t>4</w:t>
      </w:r>
      <w:r>
        <w:rPr>
          <w:color w:val="000000"/>
          <w:sz w:val="24"/>
        </w:rPr>
        <w:t>、《交银施罗德创业板</w:t>
      </w:r>
      <w:r>
        <w:rPr>
          <w:color w:val="000000"/>
          <w:sz w:val="24"/>
        </w:rPr>
        <w:t>50</w:t>
      </w:r>
      <w:r>
        <w:rPr>
          <w:color w:val="000000"/>
          <w:sz w:val="24"/>
        </w:rPr>
        <w:t>指数型证券投资基金托管协议》；</w:t>
      </w:r>
      <w:r>
        <w:rPr>
          <w:color w:val="000000"/>
          <w:sz w:val="24"/>
        </w:rPr>
        <w:t xml:space="preserve"> </w:t>
      </w:r>
    </w:p>
    <w:p w:rsidR="00AE51F5" w:rsidRDefault="009A78F6">
      <w:pPr>
        <w:spacing w:line="360" w:lineRule="auto"/>
        <w:ind w:firstLineChars="200" w:firstLine="480"/>
        <w:rPr>
          <w:color w:val="000000"/>
          <w:sz w:val="24"/>
        </w:rPr>
      </w:pPr>
      <w:r>
        <w:rPr>
          <w:color w:val="000000"/>
          <w:sz w:val="24"/>
        </w:rPr>
        <w:t>5</w:t>
      </w:r>
      <w:r>
        <w:rPr>
          <w:color w:val="000000"/>
          <w:sz w:val="24"/>
        </w:rPr>
        <w:t>、关于申请募集注册交银施罗德创业板</w:t>
      </w:r>
      <w:r>
        <w:rPr>
          <w:color w:val="000000"/>
          <w:sz w:val="24"/>
        </w:rPr>
        <w:t>50</w:t>
      </w:r>
      <w:r>
        <w:rPr>
          <w:color w:val="000000"/>
          <w:sz w:val="24"/>
        </w:rPr>
        <w:t>指数型证券投资基金的法律意见书；</w:t>
      </w:r>
      <w:r>
        <w:rPr>
          <w:color w:val="000000"/>
          <w:sz w:val="24"/>
        </w:rPr>
        <w:t xml:space="preserve"> </w:t>
      </w:r>
    </w:p>
    <w:p w:rsidR="00AE51F5" w:rsidRDefault="009A78F6">
      <w:pPr>
        <w:spacing w:line="360"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AE51F5" w:rsidRDefault="009A78F6">
      <w:pPr>
        <w:spacing w:line="360"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62673" w:rsidRPr="00C1648E" w:rsidRDefault="00A62673" w:rsidP="00C1648E">
      <w:pPr>
        <w:spacing w:line="360" w:lineRule="auto"/>
        <w:ind w:firstLineChars="200" w:firstLine="480"/>
        <w:rPr>
          <w:color w:val="000000"/>
          <w:sz w:val="24"/>
        </w:rPr>
      </w:pPr>
      <w:r w:rsidRPr="00DC315B">
        <w:rPr>
          <w:color w:val="000000"/>
          <w:sz w:val="24"/>
        </w:rPr>
        <w:t>8</w:t>
      </w:r>
      <w:r w:rsidRPr="00DC315B">
        <w:rPr>
          <w:color w:val="000000"/>
          <w:sz w:val="24"/>
        </w:rPr>
        <w:t>、报告期内交银施罗德创业板</w:t>
      </w:r>
      <w:r w:rsidRPr="00DC315B">
        <w:rPr>
          <w:color w:val="000000"/>
          <w:sz w:val="24"/>
        </w:rPr>
        <w:t>50</w:t>
      </w:r>
      <w:r w:rsidRPr="00DC315B">
        <w:rPr>
          <w:color w:val="000000"/>
          <w:sz w:val="24"/>
        </w:rPr>
        <w:t>指数型证券投资基金在指定报刊上各项公告的原稿。</w:t>
      </w:r>
    </w:p>
    <w:p w:rsidR="00A62673" w:rsidRPr="00511B6A" w:rsidRDefault="00A62673" w:rsidP="009A037F">
      <w:pPr>
        <w:spacing w:line="360" w:lineRule="auto"/>
        <w:rPr>
          <w:rFonts w:ascii="宋体"/>
          <w:b/>
          <w:color w:val="000000"/>
          <w:sz w:val="24"/>
        </w:rPr>
      </w:pPr>
      <w:r w:rsidRPr="00511B6A">
        <w:rPr>
          <w:rFonts w:ascii="宋体" w:hAnsi="宋体"/>
          <w:b/>
          <w:color w:val="000000"/>
          <w:sz w:val="24"/>
        </w:rPr>
        <w:t xml:space="preserve">9.2 </w:t>
      </w:r>
      <w:r w:rsidRPr="00511B6A">
        <w:rPr>
          <w:rFonts w:ascii="宋体" w:hAnsi="宋体" w:hint="eastAsia"/>
          <w:b/>
          <w:color w:val="000000"/>
          <w:sz w:val="24"/>
        </w:rPr>
        <w:t>存放地点</w:t>
      </w:r>
    </w:p>
    <w:p w:rsidR="00A62673" w:rsidRPr="00C1648E" w:rsidRDefault="00A62673" w:rsidP="00C1648E">
      <w:pPr>
        <w:spacing w:line="360" w:lineRule="auto"/>
        <w:ind w:firstLineChars="200" w:firstLine="480"/>
        <w:rPr>
          <w:color w:val="000000"/>
          <w:sz w:val="24"/>
        </w:rPr>
      </w:pPr>
      <w:r w:rsidRPr="00DC315B">
        <w:rPr>
          <w:color w:val="000000"/>
          <w:sz w:val="24"/>
        </w:rPr>
        <w:t>备查文件存放于基金管理人的办公场所。</w:t>
      </w:r>
    </w:p>
    <w:p w:rsidR="00A62673" w:rsidRPr="00511B6A" w:rsidRDefault="00A62673" w:rsidP="009A037F">
      <w:pPr>
        <w:spacing w:line="360" w:lineRule="auto"/>
        <w:rPr>
          <w:rFonts w:ascii="宋体"/>
          <w:b/>
          <w:color w:val="000000"/>
          <w:sz w:val="24"/>
        </w:rPr>
      </w:pPr>
      <w:r w:rsidRPr="00511B6A">
        <w:rPr>
          <w:rFonts w:ascii="宋体" w:hAnsi="宋体"/>
          <w:b/>
          <w:color w:val="000000"/>
          <w:sz w:val="24"/>
        </w:rPr>
        <w:t xml:space="preserve">9.3 </w:t>
      </w:r>
      <w:r w:rsidRPr="00511B6A">
        <w:rPr>
          <w:rFonts w:ascii="宋体" w:hAnsi="宋体" w:hint="eastAsia"/>
          <w:b/>
          <w:color w:val="000000"/>
          <w:sz w:val="24"/>
        </w:rPr>
        <w:t>查阅方式</w:t>
      </w:r>
    </w:p>
    <w:p w:rsidR="00AE51F5" w:rsidRDefault="009A78F6">
      <w:pPr>
        <w:spacing w:line="360"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A62673" w:rsidRPr="00DC315B" w:rsidRDefault="00A62673" w:rsidP="005A2769">
      <w:pPr>
        <w:spacing w:line="360" w:lineRule="auto"/>
        <w:ind w:firstLineChars="200" w:firstLine="480"/>
        <w:rPr>
          <w:color w:val="000000"/>
          <w:sz w:val="24"/>
        </w:rPr>
      </w:pPr>
      <w:r w:rsidRPr="00DC315B">
        <w:rPr>
          <w:color w:val="000000"/>
          <w:sz w:val="24"/>
        </w:rPr>
        <w:t>投资者对本报告书如有疑问，可咨询本基金管理人交银施罗德基金管理有限公司。本公司客户服务中心电话：</w:t>
      </w:r>
      <w:r w:rsidRPr="00DC315B">
        <w:rPr>
          <w:color w:val="000000"/>
          <w:sz w:val="24"/>
        </w:rPr>
        <w:t>400-700-5000</w:t>
      </w:r>
      <w:r w:rsidRPr="00DC315B">
        <w:rPr>
          <w:color w:val="000000"/>
          <w:sz w:val="24"/>
        </w:rPr>
        <w:t>（免长途话费），</w:t>
      </w:r>
      <w:r w:rsidRPr="00DC315B">
        <w:rPr>
          <w:color w:val="000000"/>
          <w:sz w:val="24"/>
        </w:rPr>
        <w:t>021-61055000</w:t>
      </w:r>
      <w:r w:rsidRPr="00DC315B">
        <w:rPr>
          <w:color w:val="000000"/>
          <w:sz w:val="24"/>
        </w:rPr>
        <w:t>，电子邮件：</w:t>
      </w:r>
      <w:r w:rsidRPr="00DC315B">
        <w:rPr>
          <w:color w:val="000000"/>
          <w:sz w:val="24"/>
        </w:rPr>
        <w:t>services@jysld.com</w:t>
      </w:r>
      <w:r w:rsidRPr="00DC315B">
        <w:rPr>
          <w:color w:val="000000"/>
          <w:sz w:val="24"/>
        </w:rPr>
        <w:t>。</w:t>
      </w:r>
    </w:p>
    <w:p w:rsidR="00A62673" w:rsidRDefault="00A62673" w:rsidP="0019563C">
      <w:pPr>
        <w:spacing w:line="360" w:lineRule="auto"/>
        <w:ind w:left="840"/>
        <w:jc w:val="right"/>
        <w:rPr>
          <w:rFonts w:ascii="宋体"/>
          <w:color w:val="000000"/>
          <w:sz w:val="24"/>
        </w:rPr>
      </w:pPr>
    </w:p>
    <w:p w:rsidR="00A62673" w:rsidRDefault="00A62673" w:rsidP="0019563C">
      <w:pPr>
        <w:spacing w:line="360" w:lineRule="auto"/>
        <w:ind w:left="840"/>
        <w:jc w:val="right"/>
        <w:rPr>
          <w:rFonts w:ascii="宋体"/>
          <w:color w:val="000000"/>
          <w:sz w:val="24"/>
        </w:rPr>
      </w:pPr>
    </w:p>
    <w:p w:rsidR="00A62673" w:rsidRDefault="00A62673" w:rsidP="0019563C">
      <w:pPr>
        <w:spacing w:line="360" w:lineRule="auto"/>
        <w:ind w:left="840"/>
        <w:jc w:val="right"/>
        <w:rPr>
          <w:rFonts w:ascii="宋体"/>
          <w:color w:val="000000"/>
          <w:sz w:val="24"/>
        </w:rPr>
      </w:pPr>
    </w:p>
    <w:p w:rsidR="00A62673" w:rsidRPr="00EC5CE0" w:rsidRDefault="00A62673" w:rsidP="0019563C">
      <w:pPr>
        <w:spacing w:line="360" w:lineRule="auto"/>
        <w:ind w:left="840"/>
        <w:jc w:val="right"/>
        <w:rPr>
          <w:rFonts w:ascii="宋体"/>
          <w:color w:val="000000"/>
          <w:sz w:val="24"/>
        </w:rPr>
      </w:pPr>
    </w:p>
    <w:p w:rsidR="00A62673" w:rsidRPr="00EC5CE0" w:rsidRDefault="00A62673" w:rsidP="00D70274">
      <w:pPr>
        <w:spacing w:line="360" w:lineRule="auto"/>
        <w:ind w:firstLineChars="900" w:firstLine="2168"/>
        <w:jc w:val="right"/>
        <w:rPr>
          <w:rFonts w:ascii="宋体"/>
          <w:b/>
          <w:sz w:val="24"/>
        </w:rPr>
      </w:pPr>
    </w:p>
    <w:sectPr w:rsidR="00A62673" w:rsidRPr="00EC5CE0" w:rsidSect="00DB4450">
      <w:footerReference w:type="even" r:id="rId11"/>
      <w:footerReference w:type="default" r:id="rId12"/>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C74" w:rsidRDefault="002F1C74">
      <w:r>
        <w:separator/>
      </w:r>
    </w:p>
  </w:endnote>
  <w:endnote w:type="continuationSeparator" w:id="0">
    <w:p w:rsidR="002F1C74" w:rsidRDefault="002F1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FangSong">
    <w:altName w:val="黑体"/>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TSong-Light">
    <w:altName w:val="Times New Roman"/>
    <w:panose1 w:val="00000000000000000000"/>
    <w:charset w:val="00"/>
    <w:family w:val="roman"/>
    <w:notTrueType/>
    <w:pitch w:val="default"/>
    <w:sig w:usb0="00000003" w:usb1="00000000" w:usb2="00000000" w:usb3="00000000" w:csb0="00000001" w:csb1="00000000"/>
  </w:font>
  <w:font w:name="方正仿宋简体">
    <w:altName w:val="等线"/>
    <w:charset w:val="86"/>
    <w:family w:val="auto"/>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77A" w:rsidRPr="001D0DB0" w:rsidRDefault="00AB077A" w:rsidP="00230A66">
    <w:pPr>
      <w:pStyle w:val="a6"/>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A78F6">
      <w:rPr>
        <w:noProof/>
        <w:szCs w:val="21"/>
      </w:rPr>
      <w:t>1</w:t>
    </w:r>
    <w:r>
      <w:rPr>
        <w:szCs w:val="21"/>
      </w:rPr>
      <w:fldChar w:fldCharType="end"/>
    </w:r>
    <w:r>
      <w:rPr>
        <w:rFonts w:hint="eastAsia"/>
        <w:szCs w:val="21"/>
      </w:rPr>
      <w:t>页共</w:t>
    </w:r>
    <w:r>
      <w:rPr>
        <w:szCs w:val="21"/>
      </w:rPr>
      <w:fldChar w:fldCharType="begin"/>
    </w:r>
    <w:r>
      <w:rPr>
        <w:szCs w:val="21"/>
      </w:rPr>
      <w:instrText xml:space="preserve"> NUMPAGES </w:instrText>
    </w:r>
    <w:r>
      <w:rPr>
        <w:szCs w:val="21"/>
      </w:rPr>
      <w:fldChar w:fldCharType="separate"/>
    </w:r>
    <w:r w:rsidR="009A78F6">
      <w:rPr>
        <w:noProof/>
        <w:szCs w:val="21"/>
      </w:rPr>
      <w:t>15</w:t>
    </w:r>
    <w:r>
      <w:rPr>
        <w:szCs w:val="21"/>
      </w:rPr>
      <w:fldChar w:fldCharType="end"/>
    </w:r>
    <w:r>
      <w:rPr>
        <w:rFonts w:hint="eastAsia"/>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77A" w:rsidRDefault="00AB077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B077A" w:rsidRDefault="00AB077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77A" w:rsidRDefault="00AB077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A78F6">
      <w:rPr>
        <w:rStyle w:val="a7"/>
        <w:noProof/>
      </w:rPr>
      <w:t>13</w:t>
    </w:r>
    <w:r>
      <w:rPr>
        <w:rStyle w:val="a7"/>
      </w:rPr>
      <w:fldChar w:fldCharType="end"/>
    </w:r>
  </w:p>
  <w:p w:rsidR="00AB077A" w:rsidRDefault="00AB077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C74" w:rsidRDefault="002F1C74">
      <w:r>
        <w:separator/>
      </w:r>
    </w:p>
  </w:footnote>
  <w:footnote w:type="continuationSeparator" w:id="0">
    <w:p w:rsidR="002F1C74" w:rsidRDefault="002F1C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77A" w:rsidRPr="00977154" w:rsidRDefault="00AB077A" w:rsidP="005E491F">
    <w:pPr>
      <w:pStyle w:val="a9"/>
      <w:pBdr>
        <w:bottom w:val="single" w:sz="6" w:space="0" w:color="auto"/>
      </w:pBdr>
      <w:jc w:val="right"/>
    </w:pPr>
    <w:r w:rsidRPr="00977154">
      <w:t>交银施罗德创业板</w:t>
    </w:r>
    <w:r w:rsidRPr="00977154">
      <w:t>50</w:t>
    </w:r>
    <w:r w:rsidRPr="00977154">
      <w:t>指数型证券投资基金</w:t>
    </w:r>
    <w:r w:rsidRPr="00977154">
      <w:t>2020</w:t>
    </w:r>
    <w:r w:rsidRPr="00977154">
      <w:t>年第</w:t>
    </w:r>
    <w:r w:rsidRPr="00977154">
      <w:t>4</w:t>
    </w:r>
    <w:r w:rsidRPr="00977154">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42A56"/>
    <w:rsid w:val="000020BB"/>
    <w:rsid w:val="0000369F"/>
    <w:rsid w:val="0000403B"/>
    <w:rsid w:val="00005911"/>
    <w:rsid w:val="00010A83"/>
    <w:rsid w:val="00010A8E"/>
    <w:rsid w:val="00010AC3"/>
    <w:rsid w:val="000115A7"/>
    <w:rsid w:val="00011EB5"/>
    <w:rsid w:val="0001280C"/>
    <w:rsid w:val="00017581"/>
    <w:rsid w:val="00020583"/>
    <w:rsid w:val="00021DD4"/>
    <w:rsid w:val="00023BE7"/>
    <w:rsid w:val="00024709"/>
    <w:rsid w:val="00037FCF"/>
    <w:rsid w:val="000421B8"/>
    <w:rsid w:val="00043ABF"/>
    <w:rsid w:val="000445E4"/>
    <w:rsid w:val="00045BEC"/>
    <w:rsid w:val="000510AB"/>
    <w:rsid w:val="00055AF1"/>
    <w:rsid w:val="000625A6"/>
    <w:rsid w:val="00064AE3"/>
    <w:rsid w:val="0006511D"/>
    <w:rsid w:val="00066524"/>
    <w:rsid w:val="00070CD1"/>
    <w:rsid w:val="0007171B"/>
    <w:rsid w:val="00072E4F"/>
    <w:rsid w:val="00074E9F"/>
    <w:rsid w:val="000770DE"/>
    <w:rsid w:val="00081D05"/>
    <w:rsid w:val="000820A8"/>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3E43"/>
    <w:rsid w:val="000B5CC0"/>
    <w:rsid w:val="000C1723"/>
    <w:rsid w:val="000C1B20"/>
    <w:rsid w:val="000C4107"/>
    <w:rsid w:val="000C45E7"/>
    <w:rsid w:val="000D01F4"/>
    <w:rsid w:val="000D1519"/>
    <w:rsid w:val="000D1C87"/>
    <w:rsid w:val="000D34E3"/>
    <w:rsid w:val="000E4456"/>
    <w:rsid w:val="000F175F"/>
    <w:rsid w:val="000F17D1"/>
    <w:rsid w:val="000F386F"/>
    <w:rsid w:val="000F60FF"/>
    <w:rsid w:val="000F635F"/>
    <w:rsid w:val="000F6C61"/>
    <w:rsid w:val="000F709D"/>
    <w:rsid w:val="00100C12"/>
    <w:rsid w:val="00101DBA"/>
    <w:rsid w:val="001049B6"/>
    <w:rsid w:val="001051C6"/>
    <w:rsid w:val="00107CB4"/>
    <w:rsid w:val="0011177A"/>
    <w:rsid w:val="00112E9B"/>
    <w:rsid w:val="00116E31"/>
    <w:rsid w:val="00122A26"/>
    <w:rsid w:val="0012304E"/>
    <w:rsid w:val="001248EF"/>
    <w:rsid w:val="001257C7"/>
    <w:rsid w:val="00126DDF"/>
    <w:rsid w:val="001270BF"/>
    <w:rsid w:val="00127BAC"/>
    <w:rsid w:val="0013360F"/>
    <w:rsid w:val="00141121"/>
    <w:rsid w:val="001421A1"/>
    <w:rsid w:val="00142A56"/>
    <w:rsid w:val="00144DF5"/>
    <w:rsid w:val="00145A97"/>
    <w:rsid w:val="00146485"/>
    <w:rsid w:val="00150AD6"/>
    <w:rsid w:val="001526F9"/>
    <w:rsid w:val="00153B40"/>
    <w:rsid w:val="00154ADA"/>
    <w:rsid w:val="0015531A"/>
    <w:rsid w:val="001600E8"/>
    <w:rsid w:val="00163B27"/>
    <w:rsid w:val="00165317"/>
    <w:rsid w:val="00165A09"/>
    <w:rsid w:val="00171BAD"/>
    <w:rsid w:val="0017347D"/>
    <w:rsid w:val="001744B4"/>
    <w:rsid w:val="001756A1"/>
    <w:rsid w:val="001761EE"/>
    <w:rsid w:val="0017659B"/>
    <w:rsid w:val="00176EAA"/>
    <w:rsid w:val="0017725A"/>
    <w:rsid w:val="001779ED"/>
    <w:rsid w:val="00177C4B"/>
    <w:rsid w:val="00182635"/>
    <w:rsid w:val="0018325A"/>
    <w:rsid w:val="00185053"/>
    <w:rsid w:val="00186199"/>
    <w:rsid w:val="001928F7"/>
    <w:rsid w:val="00194537"/>
    <w:rsid w:val="0019563C"/>
    <w:rsid w:val="00195F18"/>
    <w:rsid w:val="001968CE"/>
    <w:rsid w:val="00196E83"/>
    <w:rsid w:val="001A0A1E"/>
    <w:rsid w:val="001A21A9"/>
    <w:rsid w:val="001A59D8"/>
    <w:rsid w:val="001A5FA6"/>
    <w:rsid w:val="001A6A3B"/>
    <w:rsid w:val="001A6F8A"/>
    <w:rsid w:val="001B0A62"/>
    <w:rsid w:val="001B2F0C"/>
    <w:rsid w:val="001C13C9"/>
    <w:rsid w:val="001C37F6"/>
    <w:rsid w:val="001C6288"/>
    <w:rsid w:val="001D0DB0"/>
    <w:rsid w:val="001D0F6A"/>
    <w:rsid w:val="001D21BC"/>
    <w:rsid w:val="001D2FA5"/>
    <w:rsid w:val="001D35E0"/>
    <w:rsid w:val="001D3711"/>
    <w:rsid w:val="001D3CDF"/>
    <w:rsid w:val="001D5045"/>
    <w:rsid w:val="001D5A44"/>
    <w:rsid w:val="001D63BB"/>
    <w:rsid w:val="001D724B"/>
    <w:rsid w:val="001E11D3"/>
    <w:rsid w:val="001E2A6A"/>
    <w:rsid w:val="001E3742"/>
    <w:rsid w:val="001E3DC2"/>
    <w:rsid w:val="001E56FF"/>
    <w:rsid w:val="001E5C6B"/>
    <w:rsid w:val="001F03E1"/>
    <w:rsid w:val="001F3CC6"/>
    <w:rsid w:val="001F4530"/>
    <w:rsid w:val="001F5265"/>
    <w:rsid w:val="002010DE"/>
    <w:rsid w:val="00202885"/>
    <w:rsid w:val="00202968"/>
    <w:rsid w:val="00202C32"/>
    <w:rsid w:val="00203AEF"/>
    <w:rsid w:val="00211A26"/>
    <w:rsid w:val="002125F7"/>
    <w:rsid w:val="00214463"/>
    <w:rsid w:val="00214756"/>
    <w:rsid w:val="00215CF2"/>
    <w:rsid w:val="00217171"/>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BE3"/>
    <w:rsid w:val="0025158D"/>
    <w:rsid w:val="0025170E"/>
    <w:rsid w:val="002517C2"/>
    <w:rsid w:val="0025281A"/>
    <w:rsid w:val="00253D3C"/>
    <w:rsid w:val="00255292"/>
    <w:rsid w:val="00257D8C"/>
    <w:rsid w:val="00257F8D"/>
    <w:rsid w:val="00260200"/>
    <w:rsid w:val="00263563"/>
    <w:rsid w:val="002648D8"/>
    <w:rsid w:val="00264E55"/>
    <w:rsid w:val="00267B74"/>
    <w:rsid w:val="00270548"/>
    <w:rsid w:val="00273F86"/>
    <w:rsid w:val="002774F0"/>
    <w:rsid w:val="00283272"/>
    <w:rsid w:val="0028459B"/>
    <w:rsid w:val="00284C5F"/>
    <w:rsid w:val="002873F0"/>
    <w:rsid w:val="00287AC3"/>
    <w:rsid w:val="0029046D"/>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4578"/>
    <w:rsid w:val="002C5777"/>
    <w:rsid w:val="002D32E3"/>
    <w:rsid w:val="002D7B86"/>
    <w:rsid w:val="002E0FEB"/>
    <w:rsid w:val="002E300D"/>
    <w:rsid w:val="002F0F79"/>
    <w:rsid w:val="002F1C74"/>
    <w:rsid w:val="002F1CC8"/>
    <w:rsid w:val="002F280E"/>
    <w:rsid w:val="002F3709"/>
    <w:rsid w:val="002F3A6C"/>
    <w:rsid w:val="002F4296"/>
    <w:rsid w:val="00300951"/>
    <w:rsid w:val="003023C9"/>
    <w:rsid w:val="00302CA8"/>
    <w:rsid w:val="00302DE9"/>
    <w:rsid w:val="00305084"/>
    <w:rsid w:val="00310086"/>
    <w:rsid w:val="00312FE8"/>
    <w:rsid w:val="0031358C"/>
    <w:rsid w:val="00313AE2"/>
    <w:rsid w:val="0031630D"/>
    <w:rsid w:val="003204E9"/>
    <w:rsid w:val="00320C1E"/>
    <w:rsid w:val="00321E8C"/>
    <w:rsid w:val="00322A86"/>
    <w:rsid w:val="00323AE8"/>
    <w:rsid w:val="00324548"/>
    <w:rsid w:val="003251F4"/>
    <w:rsid w:val="003303E3"/>
    <w:rsid w:val="00331FA4"/>
    <w:rsid w:val="003329EA"/>
    <w:rsid w:val="003347EF"/>
    <w:rsid w:val="00337293"/>
    <w:rsid w:val="003407A5"/>
    <w:rsid w:val="00341188"/>
    <w:rsid w:val="0034147B"/>
    <w:rsid w:val="00345AA8"/>
    <w:rsid w:val="00350238"/>
    <w:rsid w:val="0035109C"/>
    <w:rsid w:val="00351F0A"/>
    <w:rsid w:val="0035432B"/>
    <w:rsid w:val="00357172"/>
    <w:rsid w:val="0035753B"/>
    <w:rsid w:val="003613A8"/>
    <w:rsid w:val="00361E7E"/>
    <w:rsid w:val="0036360E"/>
    <w:rsid w:val="00364504"/>
    <w:rsid w:val="00364559"/>
    <w:rsid w:val="00370AA4"/>
    <w:rsid w:val="00371FF4"/>
    <w:rsid w:val="00375F3B"/>
    <w:rsid w:val="00376C39"/>
    <w:rsid w:val="00377520"/>
    <w:rsid w:val="003802CC"/>
    <w:rsid w:val="00380D36"/>
    <w:rsid w:val="003822D3"/>
    <w:rsid w:val="0038237A"/>
    <w:rsid w:val="003834E0"/>
    <w:rsid w:val="00384C43"/>
    <w:rsid w:val="00386630"/>
    <w:rsid w:val="00390B25"/>
    <w:rsid w:val="00397156"/>
    <w:rsid w:val="00397960"/>
    <w:rsid w:val="003A0A94"/>
    <w:rsid w:val="003A3BC4"/>
    <w:rsid w:val="003A458A"/>
    <w:rsid w:val="003B2DA8"/>
    <w:rsid w:val="003B2F13"/>
    <w:rsid w:val="003B405E"/>
    <w:rsid w:val="003B57D3"/>
    <w:rsid w:val="003C1A49"/>
    <w:rsid w:val="003C1F58"/>
    <w:rsid w:val="003C6C58"/>
    <w:rsid w:val="003C792F"/>
    <w:rsid w:val="003D124B"/>
    <w:rsid w:val="003D18F3"/>
    <w:rsid w:val="003D23CB"/>
    <w:rsid w:val="003D6F64"/>
    <w:rsid w:val="003D78B5"/>
    <w:rsid w:val="003E244F"/>
    <w:rsid w:val="003E62A6"/>
    <w:rsid w:val="003E688B"/>
    <w:rsid w:val="003E68A0"/>
    <w:rsid w:val="003E695F"/>
    <w:rsid w:val="003E6C9B"/>
    <w:rsid w:val="003E709C"/>
    <w:rsid w:val="003E7B89"/>
    <w:rsid w:val="003F4241"/>
    <w:rsid w:val="003F7040"/>
    <w:rsid w:val="003F7C45"/>
    <w:rsid w:val="0040132C"/>
    <w:rsid w:val="00405085"/>
    <w:rsid w:val="00405481"/>
    <w:rsid w:val="004066FC"/>
    <w:rsid w:val="00407C10"/>
    <w:rsid w:val="004103DF"/>
    <w:rsid w:val="00410E6E"/>
    <w:rsid w:val="004113B4"/>
    <w:rsid w:val="00413689"/>
    <w:rsid w:val="004143D6"/>
    <w:rsid w:val="00414827"/>
    <w:rsid w:val="00416C10"/>
    <w:rsid w:val="00420355"/>
    <w:rsid w:val="00421E6B"/>
    <w:rsid w:val="00424EF3"/>
    <w:rsid w:val="004268BB"/>
    <w:rsid w:val="00431047"/>
    <w:rsid w:val="004318F0"/>
    <w:rsid w:val="00431B86"/>
    <w:rsid w:val="00435368"/>
    <w:rsid w:val="004408EC"/>
    <w:rsid w:val="004419E2"/>
    <w:rsid w:val="00441E6A"/>
    <w:rsid w:val="0044398D"/>
    <w:rsid w:val="00443C8F"/>
    <w:rsid w:val="00447C82"/>
    <w:rsid w:val="00450215"/>
    <w:rsid w:val="00452481"/>
    <w:rsid w:val="00457251"/>
    <w:rsid w:val="004575E9"/>
    <w:rsid w:val="004576F2"/>
    <w:rsid w:val="00457804"/>
    <w:rsid w:val="004646BF"/>
    <w:rsid w:val="00464744"/>
    <w:rsid w:val="004665E3"/>
    <w:rsid w:val="00467683"/>
    <w:rsid w:val="004731F1"/>
    <w:rsid w:val="00480BC8"/>
    <w:rsid w:val="00481265"/>
    <w:rsid w:val="004814BF"/>
    <w:rsid w:val="0048587E"/>
    <w:rsid w:val="00487C2B"/>
    <w:rsid w:val="00490626"/>
    <w:rsid w:val="00491631"/>
    <w:rsid w:val="0049297D"/>
    <w:rsid w:val="004929F2"/>
    <w:rsid w:val="00494E27"/>
    <w:rsid w:val="00495A03"/>
    <w:rsid w:val="004967FC"/>
    <w:rsid w:val="00497079"/>
    <w:rsid w:val="004976EE"/>
    <w:rsid w:val="004A00BD"/>
    <w:rsid w:val="004A1A57"/>
    <w:rsid w:val="004A1BBA"/>
    <w:rsid w:val="004A29E5"/>
    <w:rsid w:val="004A3E3C"/>
    <w:rsid w:val="004B0E4B"/>
    <w:rsid w:val="004B0E6D"/>
    <w:rsid w:val="004B16E8"/>
    <w:rsid w:val="004B2DB9"/>
    <w:rsid w:val="004B5E54"/>
    <w:rsid w:val="004B6250"/>
    <w:rsid w:val="004B76B1"/>
    <w:rsid w:val="004C0057"/>
    <w:rsid w:val="004C03A7"/>
    <w:rsid w:val="004C0541"/>
    <w:rsid w:val="004C2C46"/>
    <w:rsid w:val="004C5189"/>
    <w:rsid w:val="004C7235"/>
    <w:rsid w:val="004C7955"/>
    <w:rsid w:val="004D047F"/>
    <w:rsid w:val="004D1930"/>
    <w:rsid w:val="004D1A45"/>
    <w:rsid w:val="004D3D96"/>
    <w:rsid w:val="004D5C1F"/>
    <w:rsid w:val="004D650F"/>
    <w:rsid w:val="004E2133"/>
    <w:rsid w:val="004E5AB9"/>
    <w:rsid w:val="004E60FB"/>
    <w:rsid w:val="004F4EA9"/>
    <w:rsid w:val="004F779C"/>
    <w:rsid w:val="004F7846"/>
    <w:rsid w:val="005000D4"/>
    <w:rsid w:val="0050069E"/>
    <w:rsid w:val="005009C0"/>
    <w:rsid w:val="00500F1D"/>
    <w:rsid w:val="0050148E"/>
    <w:rsid w:val="00504285"/>
    <w:rsid w:val="00504432"/>
    <w:rsid w:val="00505EE0"/>
    <w:rsid w:val="0050638D"/>
    <w:rsid w:val="00510CAF"/>
    <w:rsid w:val="00511B6A"/>
    <w:rsid w:val="005128C5"/>
    <w:rsid w:val="00514754"/>
    <w:rsid w:val="0051478B"/>
    <w:rsid w:val="0051566A"/>
    <w:rsid w:val="00515D7B"/>
    <w:rsid w:val="005166E9"/>
    <w:rsid w:val="0052009E"/>
    <w:rsid w:val="00521065"/>
    <w:rsid w:val="00524EC3"/>
    <w:rsid w:val="00525E59"/>
    <w:rsid w:val="005318CC"/>
    <w:rsid w:val="00531D1B"/>
    <w:rsid w:val="005349B1"/>
    <w:rsid w:val="005374BC"/>
    <w:rsid w:val="00543188"/>
    <w:rsid w:val="00543367"/>
    <w:rsid w:val="00543BFA"/>
    <w:rsid w:val="00547D9C"/>
    <w:rsid w:val="00547DA1"/>
    <w:rsid w:val="00551CED"/>
    <w:rsid w:val="00554EAB"/>
    <w:rsid w:val="0055513C"/>
    <w:rsid w:val="00560C94"/>
    <w:rsid w:val="00560F37"/>
    <w:rsid w:val="0056291C"/>
    <w:rsid w:val="00565A63"/>
    <w:rsid w:val="00566588"/>
    <w:rsid w:val="00570B1A"/>
    <w:rsid w:val="00572736"/>
    <w:rsid w:val="0057275D"/>
    <w:rsid w:val="005800A9"/>
    <w:rsid w:val="00580488"/>
    <w:rsid w:val="0058074D"/>
    <w:rsid w:val="00580FD1"/>
    <w:rsid w:val="0058111B"/>
    <w:rsid w:val="00582FAD"/>
    <w:rsid w:val="00583489"/>
    <w:rsid w:val="00583A98"/>
    <w:rsid w:val="00584D71"/>
    <w:rsid w:val="005858C4"/>
    <w:rsid w:val="00590FE4"/>
    <w:rsid w:val="00591D9C"/>
    <w:rsid w:val="00597057"/>
    <w:rsid w:val="00597D8B"/>
    <w:rsid w:val="005A1C30"/>
    <w:rsid w:val="005A2769"/>
    <w:rsid w:val="005A2DCB"/>
    <w:rsid w:val="005A3295"/>
    <w:rsid w:val="005A46FF"/>
    <w:rsid w:val="005A6166"/>
    <w:rsid w:val="005B011E"/>
    <w:rsid w:val="005B1C7D"/>
    <w:rsid w:val="005B1DEC"/>
    <w:rsid w:val="005B2E84"/>
    <w:rsid w:val="005B53CA"/>
    <w:rsid w:val="005B5A04"/>
    <w:rsid w:val="005B7B0E"/>
    <w:rsid w:val="005C0A04"/>
    <w:rsid w:val="005C5409"/>
    <w:rsid w:val="005C69AC"/>
    <w:rsid w:val="005C722E"/>
    <w:rsid w:val="005C7380"/>
    <w:rsid w:val="005D01A4"/>
    <w:rsid w:val="005D14DE"/>
    <w:rsid w:val="005D3F12"/>
    <w:rsid w:val="005D44E4"/>
    <w:rsid w:val="005D45B3"/>
    <w:rsid w:val="005D4CEB"/>
    <w:rsid w:val="005E491F"/>
    <w:rsid w:val="005E58CE"/>
    <w:rsid w:val="005E59E9"/>
    <w:rsid w:val="005F04E6"/>
    <w:rsid w:val="005F23CA"/>
    <w:rsid w:val="005F43B9"/>
    <w:rsid w:val="005F68CB"/>
    <w:rsid w:val="005F6A4A"/>
    <w:rsid w:val="005F7D6F"/>
    <w:rsid w:val="00602154"/>
    <w:rsid w:val="006033E3"/>
    <w:rsid w:val="00604FE3"/>
    <w:rsid w:val="0061321C"/>
    <w:rsid w:val="00620DB0"/>
    <w:rsid w:val="0062386E"/>
    <w:rsid w:val="00623D9A"/>
    <w:rsid w:val="00623F01"/>
    <w:rsid w:val="006242FB"/>
    <w:rsid w:val="00626E2D"/>
    <w:rsid w:val="00627D94"/>
    <w:rsid w:val="00630B42"/>
    <w:rsid w:val="00636CDE"/>
    <w:rsid w:val="00637BA7"/>
    <w:rsid w:val="00640ACD"/>
    <w:rsid w:val="00642072"/>
    <w:rsid w:val="00643330"/>
    <w:rsid w:val="006440ED"/>
    <w:rsid w:val="00645293"/>
    <w:rsid w:val="00647C64"/>
    <w:rsid w:val="00651B78"/>
    <w:rsid w:val="00652263"/>
    <w:rsid w:val="00652881"/>
    <w:rsid w:val="00661974"/>
    <w:rsid w:val="00664551"/>
    <w:rsid w:val="00664E44"/>
    <w:rsid w:val="00665677"/>
    <w:rsid w:val="0066704D"/>
    <w:rsid w:val="006676A0"/>
    <w:rsid w:val="00670857"/>
    <w:rsid w:val="00671124"/>
    <w:rsid w:val="006727B0"/>
    <w:rsid w:val="0067307E"/>
    <w:rsid w:val="00677AC6"/>
    <w:rsid w:val="00687AD5"/>
    <w:rsid w:val="006908F6"/>
    <w:rsid w:val="00691AFA"/>
    <w:rsid w:val="0069335C"/>
    <w:rsid w:val="00695251"/>
    <w:rsid w:val="00695ADE"/>
    <w:rsid w:val="00695C0D"/>
    <w:rsid w:val="00696356"/>
    <w:rsid w:val="006A72C6"/>
    <w:rsid w:val="006B02DA"/>
    <w:rsid w:val="006B2065"/>
    <w:rsid w:val="006B315F"/>
    <w:rsid w:val="006B3940"/>
    <w:rsid w:val="006C168D"/>
    <w:rsid w:val="006C1D5C"/>
    <w:rsid w:val="006C3C80"/>
    <w:rsid w:val="006C3F43"/>
    <w:rsid w:val="006C642C"/>
    <w:rsid w:val="006C6FC6"/>
    <w:rsid w:val="006D1831"/>
    <w:rsid w:val="006D442E"/>
    <w:rsid w:val="006D6A40"/>
    <w:rsid w:val="006D6F20"/>
    <w:rsid w:val="006D7693"/>
    <w:rsid w:val="006E231B"/>
    <w:rsid w:val="006E346E"/>
    <w:rsid w:val="006E34B7"/>
    <w:rsid w:val="006F0F87"/>
    <w:rsid w:val="006F2F3E"/>
    <w:rsid w:val="006F4CD8"/>
    <w:rsid w:val="006F53D9"/>
    <w:rsid w:val="006F6A94"/>
    <w:rsid w:val="007004DC"/>
    <w:rsid w:val="00701575"/>
    <w:rsid w:val="00701A03"/>
    <w:rsid w:val="00703E8A"/>
    <w:rsid w:val="00711522"/>
    <w:rsid w:val="007124FE"/>
    <w:rsid w:val="00712EE5"/>
    <w:rsid w:val="00713186"/>
    <w:rsid w:val="00713757"/>
    <w:rsid w:val="0071379B"/>
    <w:rsid w:val="0071497D"/>
    <w:rsid w:val="00717772"/>
    <w:rsid w:val="0072122C"/>
    <w:rsid w:val="00721AF1"/>
    <w:rsid w:val="0072280F"/>
    <w:rsid w:val="00722B5E"/>
    <w:rsid w:val="00723309"/>
    <w:rsid w:val="00723845"/>
    <w:rsid w:val="0072708F"/>
    <w:rsid w:val="007323FB"/>
    <w:rsid w:val="00732D1D"/>
    <w:rsid w:val="00736034"/>
    <w:rsid w:val="0073681C"/>
    <w:rsid w:val="00741EBE"/>
    <w:rsid w:val="00746130"/>
    <w:rsid w:val="007467A8"/>
    <w:rsid w:val="00746A40"/>
    <w:rsid w:val="007479DC"/>
    <w:rsid w:val="00750358"/>
    <w:rsid w:val="00755CDF"/>
    <w:rsid w:val="00757A4C"/>
    <w:rsid w:val="0076110A"/>
    <w:rsid w:val="00764A94"/>
    <w:rsid w:val="00764DC3"/>
    <w:rsid w:val="007651E5"/>
    <w:rsid w:val="007670DC"/>
    <w:rsid w:val="00767239"/>
    <w:rsid w:val="0077111A"/>
    <w:rsid w:val="00772272"/>
    <w:rsid w:val="00774C7D"/>
    <w:rsid w:val="007756ED"/>
    <w:rsid w:val="007869A0"/>
    <w:rsid w:val="00786A23"/>
    <w:rsid w:val="007870FC"/>
    <w:rsid w:val="00787CD0"/>
    <w:rsid w:val="00791053"/>
    <w:rsid w:val="00791A3A"/>
    <w:rsid w:val="00794196"/>
    <w:rsid w:val="00797637"/>
    <w:rsid w:val="007A2E54"/>
    <w:rsid w:val="007A3680"/>
    <w:rsid w:val="007A59B8"/>
    <w:rsid w:val="007B2862"/>
    <w:rsid w:val="007B662A"/>
    <w:rsid w:val="007B6FEC"/>
    <w:rsid w:val="007C1A93"/>
    <w:rsid w:val="007C751E"/>
    <w:rsid w:val="007D021A"/>
    <w:rsid w:val="007D28C9"/>
    <w:rsid w:val="007D3CC8"/>
    <w:rsid w:val="007D62F9"/>
    <w:rsid w:val="007D63A4"/>
    <w:rsid w:val="007E1AA2"/>
    <w:rsid w:val="007E4C1F"/>
    <w:rsid w:val="007F0746"/>
    <w:rsid w:val="007F0759"/>
    <w:rsid w:val="007F25C0"/>
    <w:rsid w:val="007F456A"/>
    <w:rsid w:val="007F4C9B"/>
    <w:rsid w:val="007F5F52"/>
    <w:rsid w:val="007F77C6"/>
    <w:rsid w:val="007F77D8"/>
    <w:rsid w:val="008003A1"/>
    <w:rsid w:val="008006B7"/>
    <w:rsid w:val="00800FDB"/>
    <w:rsid w:val="00802081"/>
    <w:rsid w:val="008020B5"/>
    <w:rsid w:val="008021E8"/>
    <w:rsid w:val="008034CF"/>
    <w:rsid w:val="00803F15"/>
    <w:rsid w:val="008063D8"/>
    <w:rsid w:val="00806461"/>
    <w:rsid w:val="00806722"/>
    <w:rsid w:val="0081096D"/>
    <w:rsid w:val="00810EAD"/>
    <w:rsid w:val="00811833"/>
    <w:rsid w:val="008174D4"/>
    <w:rsid w:val="00820FE6"/>
    <w:rsid w:val="00821A66"/>
    <w:rsid w:val="00822476"/>
    <w:rsid w:val="00822882"/>
    <w:rsid w:val="0082435E"/>
    <w:rsid w:val="00824CB2"/>
    <w:rsid w:val="00825F68"/>
    <w:rsid w:val="008273D3"/>
    <w:rsid w:val="00835408"/>
    <w:rsid w:val="008359DA"/>
    <w:rsid w:val="00837CEF"/>
    <w:rsid w:val="00840035"/>
    <w:rsid w:val="00840220"/>
    <w:rsid w:val="008419D5"/>
    <w:rsid w:val="00841B65"/>
    <w:rsid w:val="008428A9"/>
    <w:rsid w:val="00844112"/>
    <w:rsid w:val="008444F2"/>
    <w:rsid w:val="008456C9"/>
    <w:rsid w:val="0084611D"/>
    <w:rsid w:val="00847BEF"/>
    <w:rsid w:val="00847D9E"/>
    <w:rsid w:val="00850C62"/>
    <w:rsid w:val="008624F9"/>
    <w:rsid w:val="00863011"/>
    <w:rsid w:val="00865075"/>
    <w:rsid w:val="00866F96"/>
    <w:rsid w:val="0086748F"/>
    <w:rsid w:val="00872CE4"/>
    <w:rsid w:val="00874F4B"/>
    <w:rsid w:val="0087539B"/>
    <w:rsid w:val="00877B62"/>
    <w:rsid w:val="00880199"/>
    <w:rsid w:val="00881015"/>
    <w:rsid w:val="008810B0"/>
    <w:rsid w:val="008813D6"/>
    <w:rsid w:val="008819B6"/>
    <w:rsid w:val="00881AAC"/>
    <w:rsid w:val="008836B7"/>
    <w:rsid w:val="008841D3"/>
    <w:rsid w:val="0088709F"/>
    <w:rsid w:val="00887DE6"/>
    <w:rsid w:val="00894C2A"/>
    <w:rsid w:val="00897708"/>
    <w:rsid w:val="00897D88"/>
    <w:rsid w:val="008A2F16"/>
    <w:rsid w:val="008B1823"/>
    <w:rsid w:val="008B203C"/>
    <w:rsid w:val="008B6E16"/>
    <w:rsid w:val="008B7110"/>
    <w:rsid w:val="008C2029"/>
    <w:rsid w:val="008C61D6"/>
    <w:rsid w:val="008C64F1"/>
    <w:rsid w:val="008D1531"/>
    <w:rsid w:val="008D1BB0"/>
    <w:rsid w:val="008D20FF"/>
    <w:rsid w:val="008D2265"/>
    <w:rsid w:val="008D3DE6"/>
    <w:rsid w:val="008D4223"/>
    <w:rsid w:val="008D44CC"/>
    <w:rsid w:val="008D46E3"/>
    <w:rsid w:val="008D6709"/>
    <w:rsid w:val="008D7EF7"/>
    <w:rsid w:val="008E083A"/>
    <w:rsid w:val="008E1338"/>
    <w:rsid w:val="008E2450"/>
    <w:rsid w:val="008E2983"/>
    <w:rsid w:val="008E6038"/>
    <w:rsid w:val="008E7896"/>
    <w:rsid w:val="008F2477"/>
    <w:rsid w:val="008F2F2B"/>
    <w:rsid w:val="008F385C"/>
    <w:rsid w:val="008F3EF6"/>
    <w:rsid w:val="008F4AAB"/>
    <w:rsid w:val="008F60C5"/>
    <w:rsid w:val="00900A07"/>
    <w:rsid w:val="009010F0"/>
    <w:rsid w:val="00901162"/>
    <w:rsid w:val="0090223A"/>
    <w:rsid w:val="009028E2"/>
    <w:rsid w:val="009135C1"/>
    <w:rsid w:val="00914EAB"/>
    <w:rsid w:val="00916597"/>
    <w:rsid w:val="00922D49"/>
    <w:rsid w:val="009259CF"/>
    <w:rsid w:val="00925E37"/>
    <w:rsid w:val="00925EDD"/>
    <w:rsid w:val="00927D0E"/>
    <w:rsid w:val="009309DA"/>
    <w:rsid w:val="00936688"/>
    <w:rsid w:val="00937CFA"/>
    <w:rsid w:val="009406B3"/>
    <w:rsid w:val="00942DF0"/>
    <w:rsid w:val="00945CF5"/>
    <w:rsid w:val="009500A1"/>
    <w:rsid w:val="0095037E"/>
    <w:rsid w:val="00950845"/>
    <w:rsid w:val="00952AAD"/>
    <w:rsid w:val="00954567"/>
    <w:rsid w:val="009547A9"/>
    <w:rsid w:val="009548FE"/>
    <w:rsid w:val="00956F0B"/>
    <w:rsid w:val="00957466"/>
    <w:rsid w:val="0096260B"/>
    <w:rsid w:val="009664D5"/>
    <w:rsid w:val="00970C69"/>
    <w:rsid w:val="00971DF7"/>
    <w:rsid w:val="00971F1C"/>
    <w:rsid w:val="0097211D"/>
    <w:rsid w:val="00972E10"/>
    <w:rsid w:val="009746CA"/>
    <w:rsid w:val="00974975"/>
    <w:rsid w:val="00974EA8"/>
    <w:rsid w:val="00975555"/>
    <w:rsid w:val="00977154"/>
    <w:rsid w:val="00981963"/>
    <w:rsid w:val="00983C82"/>
    <w:rsid w:val="00984520"/>
    <w:rsid w:val="0098545C"/>
    <w:rsid w:val="00992BA2"/>
    <w:rsid w:val="00992F83"/>
    <w:rsid w:val="0099508A"/>
    <w:rsid w:val="009974EB"/>
    <w:rsid w:val="009A037F"/>
    <w:rsid w:val="009A1126"/>
    <w:rsid w:val="009A552C"/>
    <w:rsid w:val="009A63AC"/>
    <w:rsid w:val="009A78F6"/>
    <w:rsid w:val="009B1584"/>
    <w:rsid w:val="009B1B32"/>
    <w:rsid w:val="009B21CA"/>
    <w:rsid w:val="009B2648"/>
    <w:rsid w:val="009B2EE9"/>
    <w:rsid w:val="009C03E5"/>
    <w:rsid w:val="009C0C11"/>
    <w:rsid w:val="009C3730"/>
    <w:rsid w:val="009C37BD"/>
    <w:rsid w:val="009C3AAC"/>
    <w:rsid w:val="009C4D19"/>
    <w:rsid w:val="009C5FDB"/>
    <w:rsid w:val="009C6493"/>
    <w:rsid w:val="009C693E"/>
    <w:rsid w:val="009C70CB"/>
    <w:rsid w:val="009D021F"/>
    <w:rsid w:val="009D1EA4"/>
    <w:rsid w:val="009D27AA"/>
    <w:rsid w:val="009D38BA"/>
    <w:rsid w:val="009D4991"/>
    <w:rsid w:val="009D5BB5"/>
    <w:rsid w:val="009D696D"/>
    <w:rsid w:val="009D6ED2"/>
    <w:rsid w:val="009D7F16"/>
    <w:rsid w:val="009E0F1A"/>
    <w:rsid w:val="009E140D"/>
    <w:rsid w:val="009E348F"/>
    <w:rsid w:val="009E4465"/>
    <w:rsid w:val="009E4DF2"/>
    <w:rsid w:val="009E6401"/>
    <w:rsid w:val="009E6C54"/>
    <w:rsid w:val="009F2261"/>
    <w:rsid w:val="009F2A25"/>
    <w:rsid w:val="009F5235"/>
    <w:rsid w:val="009F531A"/>
    <w:rsid w:val="009F6550"/>
    <w:rsid w:val="009F786E"/>
    <w:rsid w:val="00A00902"/>
    <w:rsid w:val="00A039FF"/>
    <w:rsid w:val="00A0522C"/>
    <w:rsid w:val="00A05ACE"/>
    <w:rsid w:val="00A078CB"/>
    <w:rsid w:val="00A125F9"/>
    <w:rsid w:val="00A14AE3"/>
    <w:rsid w:val="00A16675"/>
    <w:rsid w:val="00A22CD6"/>
    <w:rsid w:val="00A234EC"/>
    <w:rsid w:val="00A2417A"/>
    <w:rsid w:val="00A26668"/>
    <w:rsid w:val="00A27804"/>
    <w:rsid w:val="00A3489D"/>
    <w:rsid w:val="00A348F0"/>
    <w:rsid w:val="00A36822"/>
    <w:rsid w:val="00A36AB5"/>
    <w:rsid w:val="00A411D1"/>
    <w:rsid w:val="00A428A4"/>
    <w:rsid w:val="00A42CE1"/>
    <w:rsid w:val="00A43389"/>
    <w:rsid w:val="00A43E71"/>
    <w:rsid w:val="00A45753"/>
    <w:rsid w:val="00A47B15"/>
    <w:rsid w:val="00A52F84"/>
    <w:rsid w:val="00A56B05"/>
    <w:rsid w:val="00A57678"/>
    <w:rsid w:val="00A60E2F"/>
    <w:rsid w:val="00A618F3"/>
    <w:rsid w:val="00A62673"/>
    <w:rsid w:val="00A63284"/>
    <w:rsid w:val="00A64CB8"/>
    <w:rsid w:val="00A67018"/>
    <w:rsid w:val="00A672F3"/>
    <w:rsid w:val="00A673DC"/>
    <w:rsid w:val="00A677FA"/>
    <w:rsid w:val="00A7076E"/>
    <w:rsid w:val="00A709BE"/>
    <w:rsid w:val="00A7162E"/>
    <w:rsid w:val="00A7195A"/>
    <w:rsid w:val="00A72D71"/>
    <w:rsid w:val="00A75705"/>
    <w:rsid w:val="00A77C69"/>
    <w:rsid w:val="00A829DE"/>
    <w:rsid w:val="00A83953"/>
    <w:rsid w:val="00A84113"/>
    <w:rsid w:val="00A85AF5"/>
    <w:rsid w:val="00A869F6"/>
    <w:rsid w:val="00A903B6"/>
    <w:rsid w:val="00A90F4F"/>
    <w:rsid w:val="00A92C40"/>
    <w:rsid w:val="00A947AA"/>
    <w:rsid w:val="00AA0AC5"/>
    <w:rsid w:val="00AA19FE"/>
    <w:rsid w:val="00AA1B53"/>
    <w:rsid w:val="00AA3556"/>
    <w:rsid w:val="00AA35FD"/>
    <w:rsid w:val="00AA38A5"/>
    <w:rsid w:val="00AA3ADC"/>
    <w:rsid w:val="00AA3DB7"/>
    <w:rsid w:val="00AA6B2E"/>
    <w:rsid w:val="00AB077A"/>
    <w:rsid w:val="00AB3012"/>
    <w:rsid w:val="00AB321C"/>
    <w:rsid w:val="00AB5B99"/>
    <w:rsid w:val="00AB688F"/>
    <w:rsid w:val="00AB75EA"/>
    <w:rsid w:val="00AB7AA2"/>
    <w:rsid w:val="00AC44D9"/>
    <w:rsid w:val="00AC4BC1"/>
    <w:rsid w:val="00AC6FFD"/>
    <w:rsid w:val="00AD04BD"/>
    <w:rsid w:val="00AD25F6"/>
    <w:rsid w:val="00AD67CB"/>
    <w:rsid w:val="00AD7214"/>
    <w:rsid w:val="00AE1066"/>
    <w:rsid w:val="00AE4518"/>
    <w:rsid w:val="00AE51F5"/>
    <w:rsid w:val="00AE5D7F"/>
    <w:rsid w:val="00AE79F0"/>
    <w:rsid w:val="00AE7FCD"/>
    <w:rsid w:val="00AF0030"/>
    <w:rsid w:val="00AF2DAE"/>
    <w:rsid w:val="00AF5585"/>
    <w:rsid w:val="00AF6EC1"/>
    <w:rsid w:val="00B00331"/>
    <w:rsid w:val="00B01A80"/>
    <w:rsid w:val="00B03EF2"/>
    <w:rsid w:val="00B07C27"/>
    <w:rsid w:val="00B10017"/>
    <w:rsid w:val="00B10DE1"/>
    <w:rsid w:val="00B10FF8"/>
    <w:rsid w:val="00B203C4"/>
    <w:rsid w:val="00B22E81"/>
    <w:rsid w:val="00B23996"/>
    <w:rsid w:val="00B23CB2"/>
    <w:rsid w:val="00B2561A"/>
    <w:rsid w:val="00B25A64"/>
    <w:rsid w:val="00B329F8"/>
    <w:rsid w:val="00B32AB3"/>
    <w:rsid w:val="00B34E7C"/>
    <w:rsid w:val="00B368EA"/>
    <w:rsid w:val="00B37EEF"/>
    <w:rsid w:val="00B51D20"/>
    <w:rsid w:val="00B5298E"/>
    <w:rsid w:val="00B54370"/>
    <w:rsid w:val="00B54B5F"/>
    <w:rsid w:val="00B55185"/>
    <w:rsid w:val="00B60BF3"/>
    <w:rsid w:val="00B60D38"/>
    <w:rsid w:val="00B61923"/>
    <w:rsid w:val="00B621D6"/>
    <w:rsid w:val="00B63EF5"/>
    <w:rsid w:val="00B65D6F"/>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40D"/>
    <w:rsid w:val="00BA22A8"/>
    <w:rsid w:val="00BA285B"/>
    <w:rsid w:val="00BA3E48"/>
    <w:rsid w:val="00BA4BD3"/>
    <w:rsid w:val="00BA7473"/>
    <w:rsid w:val="00BB0187"/>
    <w:rsid w:val="00BB07B5"/>
    <w:rsid w:val="00BB1EB3"/>
    <w:rsid w:val="00BB22CA"/>
    <w:rsid w:val="00BB2678"/>
    <w:rsid w:val="00BB3E96"/>
    <w:rsid w:val="00BC013A"/>
    <w:rsid w:val="00BC2343"/>
    <w:rsid w:val="00BC23F8"/>
    <w:rsid w:val="00BD30C8"/>
    <w:rsid w:val="00BD3EB4"/>
    <w:rsid w:val="00BD5C65"/>
    <w:rsid w:val="00BD7DB4"/>
    <w:rsid w:val="00BE1A80"/>
    <w:rsid w:val="00BE2F07"/>
    <w:rsid w:val="00BE6018"/>
    <w:rsid w:val="00BF0F8F"/>
    <w:rsid w:val="00BF18E8"/>
    <w:rsid w:val="00BF1F57"/>
    <w:rsid w:val="00BF4086"/>
    <w:rsid w:val="00BF426C"/>
    <w:rsid w:val="00BF47C9"/>
    <w:rsid w:val="00BF4E32"/>
    <w:rsid w:val="00BF58D0"/>
    <w:rsid w:val="00BF7D6A"/>
    <w:rsid w:val="00C013E1"/>
    <w:rsid w:val="00C01611"/>
    <w:rsid w:val="00C02D59"/>
    <w:rsid w:val="00C030B6"/>
    <w:rsid w:val="00C03284"/>
    <w:rsid w:val="00C050D7"/>
    <w:rsid w:val="00C05B5F"/>
    <w:rsid w:val="00C104CC"/>
    <w:rsid w:val="00C152FE"/>
    <w:rsid w:val="00C1648E"/>
    <w:rsid w:val="00C16739"/>
    <w:rsid w:val="00C21C43"/>
    <w:rsid w:val="00C22C7D"/>
    <w:rsid w:val="00C22CCE"/>
    <w:rsid w:val="00C231D6"/>
    <w:rsid w:val="00C23BA2"/>
    <w:rsid w:val="00C32AF2"/>
    <w:rsid w:val="00C33204"/>
    <w:rsid w:val="00C338EB"/>
    <w:rsid w:val="00C3465D"/>
    <w:rsid w:val="00C36ACD"/>
    <w:rsid w:val="00C379E9"/>
    <w:rsid w:val="00C439FB"/>
    <w:rsid w:val="00C43F23"/>
    <w:rsid w:val="00C47790"/>
    <w:rsid w:val="00C50011"/>
    <w:rsid w:val="00C5274B"/>
    <w:rsid w:val="00C55A77"/>
    <w:rsid w:val="00C55B19"/>
    <w:rsid w:val="00C645E6"/>
    <w:rsid w:val="00C64D82"/>
    <w:rsid w:val="00C64FBC"/>
    <w:rsid w:val="00C65A83"/>
    <w:rsid w:val="00C72C6F"/>
    <w:rsid w:val="00C76CF1"/>
    <w:rsid w:val="00C80F23"/>
    <w:rsid w:val="00C81151"/>
    <w:rsid w:val="00C82CC6"/>
    <w:rsid w:val="00C850A3"/>
    <w:rsid w:val="00C85C32"/>
    <w:rsid w:val="00C85F94"/>
    <w:rsid w:val="00C87568"/>
    <w:rsid w:val="00C90DA7"/>
    <w:rsid w:val="00C90DB6"/>
    <w:rsid w:val="00C9394F"/>
    <w:rsid w:val="00C93B1A"/>
    <w:rsid w:val="00C96A14"/>
    <w:rsid w:val="00C96F5F"/>
    <w:rsid w:val="00CA21B5"/>
    <w:rsid w:val="00CA5927"/>
    <w:rsid w:val="00CA79EC"/>
    <w:rsid w:val="00CB26A5"/>
    <w:rsid w:val="00CB39C2"/>
    <w:rsid w:val="00CB4664"/>
    <w:rsid w:val="00CB4C8C"/>
    <w:rsid w:val="00CB5BFD"/>
    <w:rsid w:val="00CB6782"/>
    <w:rsid w:val="00CC080A"/>
    <w:rsid w:val="00CC52E1"/>
    <w:rsid w:val="00CD319D"/>
    <w:rsid w:val="00CD6BC3"/>
    <w:rsid w:val="00CD72D0"/>
    <w:rsid w:val="00CE3519"/>
    <w:rsid w:val="00CE5277"/>
    <w:rsid w:val="00CE6358"/>
    <w:rsid w:val="00CE743F"/>
    <w:rsid w:val="00CF2D54"/>
    <w:rsid w:val="00CF3CDE"/>
    <w:rsid w:val="00CF6570"/>
    <w:rsid w:val="00D03538"/>
    <w:rsid w:val="00D049B8"/>
    <w:rsid w:val="00D0516C"/>
    <w:rsid w:val="00D05EE7"/>
    <w:rsid w:val="00D068D0"/>
    <w:rsid w:val="00D078D1"/>
    <w:rsid w:val="00D129A8"/>
    <w:rsid w:val="00D12FB9"/>
    <w:rsid w:val="00D200BD"/>
    <w:rsid w:val="00D22399"/>
    <w:rsid w:val="00D26460"/>
    <w:rsid w:val="00D3268B"/>
    <w:rsid w:val="00D33751"/>
    <w:rsid w:val="00D33924"/>
    <w:rsid w:val="00D36F6E"/>
    <w:rsid w:val="00D37343"/>
    <w:rsid w:val="00D4205E"/>
    <w:rsid w:val="00D42507"/>
    <w:rsid w:val="00D50E63"/>
    <w:rsid w:val="00D5574C"/>
    <w:rsid w:val="00D61982"/>
    <w:rsid w:val="00D6267A"/>
    <w:rsid w:val="00D67D12"/>
    <w:rsid w:val="00D70274"/>
    <w:rsid w:val="00D7585A"/>
    <w:rsid w:val="00D80618"/>
    <w:rsid w:val="00D81A17"/>
    <w:rsid w:val="00D82494"/>
    <w:rsid w:val="00D84A4B"/>
    <w:rsid w:val="00D8681D"/>
    <w:rsid w:val="00D92168"/>
    <w:rsid w:val="00D940A9"/>
    <w:rsid w:val="00D940B5"/>
    <w:rsid w:val="00D95CB0"/>
    <w:rsid w:val="00D977C0"/>
    <w:rsid w:val="00DA00A3"/>
    <w:rsid w:val="00DA13F3"/>
    <w:rsid w:val="00DA2DE3"/>
    <w:rsid w:val="00DA7146"/>
    <w:rsid w:val="00DA716A"/>
    <w:rsid w:val="00DB1F4F"/>
    <w:rsid w:val="00DB37EE"/>
    <w:rsid w:val="00DB4450"/>
    <w:rsid w:val="00DB4A22"/>
    <w:rsid w:val="00DB7B69"/>
    <w:rsid w:val="00DC02EC"/>
    <w:rsid w:val="00DC234A"/>
    <w:rsid w:val="00DC315B"/>
    <w:rsid w:val="00DC41E4"/>
    <w:rsid w:val="00DC5116"/>
    <w:rsid w:val="00DC77DD"/>
    <w:rsid w:val="00DC7C77"/>
    <w:rsid w:val="00DD2417"/>
    <w:rsid w:val="00DD51D8"/>
    <w:rsid w:val="00DD7EA2"/>
    <w:rsid w:val="00DE00F2"/>
    <w:rsid w:val="00DE117F"/>
    <w:rsid w:val="00DE401C"/>
    <w:rsid w:val="00DE4CDE"/>
    <w:rsid w:val="00DF1ED6"/>
    <w:rsid w:val="00DF63FA"/>
    <w:rsid w:val="00E00A1C"/>
    <w:rsid w:val="00E012CC"/>
    <w:rsid w:val="00E02B71"/>
    <w:rsid w:val="00E02DEB"/>
    <w:rsid w:val="00E042A1"/>
    <w:rsid w:val="00E04CE6"/>
    <w:rsid w:val="00E062A5"/>
    <w:rsid w:val="00E07355"/>
    <w:rsid w:val="00E104FA"/>
    <w:rsid w:val="00E1082A"/>
    <w:rsid w:val="00E11166"/>
    <w:rsid w:val="00E13182"/>
    <w:rsid w:val="00E15383"/>
    <w:rsid w:val="00E1738C"/>
    <w:rsid w:val="00E22D28"/>
    <w:rsid w:val="00E230E3"/>
    <w:rsid w:val="00E23611"/>
    <w:rsid w:val="00E24B4A"/>
    <w:rsid w:val="00E25852"/>
    <w:rsid w:val="00E30EDF"/>
    <w:rsid w:val="00E31FBA"/>
    <w:rsid w:val="00E36AAE"/>
    <w:rsid w:val="00E41773"/>
    <w:rsid w:val="00E427F2"/>
    <w:rsid w:val="00E513F6"/>
    <w:rsid w:val="00E52F3B"/>
    <w:rsid w:val="00E53D94"/>
    <w:rsid w:val="00E53DEA"/>
    <w:rsid w:val="00E55094"/>
    <w:rsid w:val="00E55A61"/>
    <w:rsid w:val="00E57F92"/>
    <w:rsid w:val="00E616DB"/>
    <w:rsid w:val="00E627A4"/>
    <w:rsid w:val="00E630ED"/>
    <w:rsid w:val="00E70C95"/>
    <w:rsid w:val="00E72A13"/>
    <w:rsid w:val="00E74E84"/>
    <w:rsid w:val="00E74EC5"/>
    <w:rsid w:val="00E75FDC"/>
    <w:rsid w:val="00E76B86"/>
    <w:rsid w:val="00E8342F"/>
    <w:rsid w:val="00E847A7"/>
    <w:rsid w:val="00E85F25"/>
    <w:rsid w:val="00E86E79"/>
    <w:rsid w:val="00E906B4"/>
    <w:rsid w:val="00E9095B"/>
    <w:rsid w:val="00E926B8"/>
    <w:rsid w:val="00E92E98"/>
    <w:rsid w:val="00E9399B"/>
    <w:rsid w:val="00E94008"/>
    <w:rsid w:val="00E94762"/>
    <w:rsid w:val="00E96B52"/>
    <w:rsid w:val="00EA2244"/>
    <w:rsid w:val="00EA4C93"/>
    <w:rsid w:val="00EA6FA7"/>
    <w:rsid w:val="00EB067F"/>
    <w:rsid w:val="00EB0BF5"/>
    <w:rsid w:val="00EB1576"/>
    <w:rsid w:val="00EB1F02"/>
    <w:rsid w:val="00EB5BC5"/>
    <w:rsid w:val="00EB74C2"/>
    <w:rsid w:val="00EC086C"/>
    <w:rsid w:val="00EC42D0"/>
    <w:rsid w:val="00EC5CE0"/>
    <w:rsid w:val="00EC638F"/>
    <w:rsid w:val="00ED48AC"/>
    <w:rsid w:val="00EE224C"/>
    <w:rsid w:val="00EE4874"/>
    <w:rsid w:val="00EE4A8C"/>
    <w:rsid w:val="00EE674E"/>
    <w:rsid w:val="00EE79A6"/>
    <w:rsid w:val="00EF2689"/>
    <w:rsid w:val="00EF454D"/>
    <w:rsid w:val="00EF4FFA"/>
    <w:rsid w:val="00EF6111"/>
    <w:rsid w:val="00F005A0"/>
    <w:rsid w:val="00F06616"/>
    <w:rsid w:val="00F11352"/>
    <w:rsid w:val="00F1498D"/>
    <w:rsid w:val="00F14DDF"/>
    <w:rsid w:val="00F152AD"/>
    <w:rsid w:val="00F20DFE"/>
    <w:rsid w:val="00F2285F"/>
    <w:rsid w:val="00F23155"/>
    <w:rsid w:val="00F24236"/>
    <w:rsid w:val="00F24E0E"/>
    <w:rsid w:val="00F26693"/>
    <w:rsid w:val="00F3366A"/>
    <w:rsid w:val="00F36130"/>
    <w:rsid w:val="00F40444"/>
    <w:rsid w:val="00F40868"/>
    <w:rsid w:val="00F423BD"/>
    <w:rsid w:val="00F432FF"/>
    <w:rsid w:val="00F4715C"/>
    <w:rsid w:val="00F54869"/>
    <w:rsid w:val="00F556B2"/>
    <w:rsid w:val="00F5754B"/>
    <w:rsid w:val="00F576DE"/>
    <w:rsid w:val="00F63BF7"/>
    <w:rsid w:val="00F65617"/>
    <w:rsid w:val="00F710BE"/>
    <w:rsid w:val="00F729DC"/>
    <w:rsid w:val="00F736D2"/>
    <w:rsid w:val="00F7564C"/>
    <w:rsid w:val="00F76220"/>
    <w:rsid w:val="00F769BE"/>
    <w:rsid w:val="00F76A67"/>
    <w:rsid w:val="00F82E6B"/>
    <w:rsid w:val="00F97B71"/>
    <w:rsid w:val="00FA0209"/>
    <w:rsid w:val="00FA1EC5"/>
    <w:rsid w:val="00FA2DDA"/>
    <w:rsid w:val="00FA34CA"/>
    <w:rsid w:val="00FA4A55"/>
    <w:rsid w:val="00FA4D4F"/>
    <w:rsid w:val="00FA54E8"/>
    <w:rsid w:val="00FA7193"/>
    <w:rsid w:val="00FA7EC0"/>
    <w:rsid w:val="00FB2D17"/>
    <w:rsid w:val="00FB2F69"/>
    <w:rsid w:val="00FB368B"/>
    <w:rsid w:val="00FB45FF"/>
    <w:rsid w:val="00FB5D97"/>
    <w:rsid w:val="00FC1BE5"/>
    <w:rsid w:val="00FC1CA5"/>
    <w:rsid w:val="00FC2979"/>
    <w:rsid w:val="00FD1C3C"/>
    <w:rsid w:val="00FD38A8"/>
    <w:rsid w:val="00FD4622"/>
    <w:rsid w:val="00FD5477"/>
    <w:rsid w:val="00FD6AC8"/>
    <w:rsid w:val="00FD7C9C"/>
    <w:rsid w:val="00FE2D29"/>
    <w:rsid w:val="00FE3EA1"/>
    <w:rsid w:val="00FE4818"/>
    <w:rsid w:val="00FE5D80"/>
    <w:rsid w:val="00FF157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15:docId w15:val="{812D561D-5794-471E-A3B0-0176AE53E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4F4EA9"/>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337293"/>
    <w:pPr>
      <w:keepNext/>
      <w:keepLines/>
      <w:spacing w:before="260" w:after="260" w:line="360" w:lineRule="auto"/>
      <w:outlineLvl w:val="1"/>
    </w:pPr>
    <w:rPr>
      <w:rFonts w:ascii="Cambria" w:hAnsi="Cambria"/>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4F4EA9"/>
    <w:rPr>
      <w:rFonts w:cs="Times New Roman"/>
      <w:b/>
      <w:bCs/>
      <w:kern w:val="44"/>
      <w:sz w:val="44"/>
      <w:szCs w:val="44"/>
    </w:rPr>
  </w:style>
  <w:style w:type="character" w:customStyle="1" w:styleId="2Char">
    <w:name w:val="标题 2 Char"/>
    <w:link w:val="2"/>
    <w:uiPriority w:val="99"/>
    <w:semiHidden/>
    <w:locked/>
    <w:rsid w:val="00F76A67"/>
    <w:rPr>
      <w:rFonts w:ascii="Cambria" w:eastAsia="宋体" w:hAnsi="Cambria" w:cs="Times New Roman"/>
      <w:b/>
      <w:bCs/>
      <w:sz w:val="32"/>
      <w:szCs w:val="32"/>
    </w:rPr>
  </w:style>
  <w:style w:type="paragraph" w:styleId="a0">
    <w:name w:val="Normal Indent"/>
    <w:basedOn w:val="a"/>
    <w:uiPriority w:val="99"/>
    <w:rsid w:val="00337293"/>
    <w:pPr>
      <w:ind w:firstLineChars="200" w:firstLine="420"/>
    </w:pPr>
  </w:style>
  <w:style w:type="paragraph" w:styleId="a4">
    <w:name w:val="Body Text Indent"/>
    <w:basedOn w:val="a"/>
    <w:link w:val="Char"/>
    <w:uiPriority w:val="99"/>
    <w:rsid w:val="00337293"/>
    <w:pPr>
      <w:widowControl/>
      <w:spacing w:before="100" w:beforeAutospacing="1" w:after="100" w:afterAutospacing="1"/>
      <w:jc w:val="left"/>
    </w:pPr>
    <w:rPr>
      <w:kern w:val="0"/>
      <w:sz w:val="24"/>
    </w:rPr>
  </w:style>
  <w:style w:type="character" w:customStyle="1" w:styleId="Char">
    <w:name w:val="正文文本缩进 Char"/>
    <w:link w:val="a4"/>
    <w:uiPriority w:val="99"/>
    <w:semiHidden/>
    <w:locked/>
    <w:rsid w:val="00F76A67"/>
    <w:rPr>
      <w:rFonts w:cs="Times New Roman"/>
      <w:sz w:val="24"/>
      <w:szCs w:val="24"/>
    </w:rPr>
  </w:style>
  <w:style w:type="paragraph" w:styleId="a5">
    <w:name w:val="Plain Text"/>
    <w:basedOn w:val="a"/>
    <w:link w:val="Char0"/>
    <w:uiPriority w:val="99"/>
    <w:rsid w:val="00337293"/>
    <w:rPr>
      <w:rFonts w:ascii="宋体" w:hAnsi="Courier New"/>
      <w:szCs w:val="20"/>
    </w:rPr>
  </w:style>
  <w:style w:type="character" w:customStyle="1" w:styleId="Char0">
    <w:name w:val="纯文本 Char"/>
    <w:link w:val="a5"/>
    <w:uiPriority w:val="99"/>
    <w:locked/>
    <w:rsid w:val="00CE3519"/>
    <w:rPr>
      <w:rFonts w:ascii="宋体" w:hAnsi="Courier New" w:cs="Times New Roman"/>
      <w:kern w:val="2"/>
      <w:sz w:val="21"/>
    </w:rPr>
  </w:style>
  <w:style w:type="paragraph" w:styleId="20">
    <w:name w:val="Body Text Indent 2"/>
    <w:basedOn w:val="a"/>
    <w:link w:val="2Char0"/>
    <w:uiPriority w:val="99"/>
    <w:rsid w:val="00337293"/>
    <w:pPr>
      <w:spacing w:line="560" w:lineRule="exact"/>
      <w:ind w:firstLineChars="200" w:firstLine="480"/>
    </w:pPr>
    <w:rPr>
      <w:kern w:val="0"/>
      <w:sz w:val="24"/>
    </w:rPr>
  </w:style>
  <w:style w:type="character" w:customStyle="1" w:styleId="2Char0">
    <w:name w:val="正文文本缩进 2 Char"/>
    <w:link w:val="20"/>
    <w:uiPriority w:val="99"/>
    <w:semiHidden/>
    <w:locked/>
    <w:rsid w:val="00F76A67"/>
    <w:rPr>
      <w:rFonts w:cs="Times New Roman"/>
      <w:sz w:val="24"/>
      <w:szCs w:val="24"/>
    </w:rPr>
  </w:style>
  <w:style w:type="paragraph" w:styleId="a6">
    <w:name w:val="footer"/>
    <w:basedOn w:val="a"/>
    <w:link w:val="Char1"/>
    <w:uiPriority w:val="99"/>
    <w:rsid w:val="00337293"/>
    <w:pPr>
      <w:tabs>
        <w:tab w:val="center" w:pos="4153"/>
        <w:tab w:val="right" w:pos="8306"/>
      </w:tabs>
      <w:snapToGrid w:val="0"/>
      <w:jc w:val="left"/>
    </w:pPr>
    <w:rPr>
      <w:kern w:val="0"/>
      <w:sz w:val="18"/>
      <w:szCs w:val="18"/>
    </w:rPr>
  </w:style>
  <w:style w:type="character" w:customStyle="1" w:styleId="Char1">
    <w:name w:val="页脚 Char"/>
    <w:link w:val="a6"/>
    <w:uiPriority w:val="99"/>
    <w:semiHidden/>
    <w:locked/>
    <w:rsid w:val="00F76A67"/>
    <w:rPr>
      <w:rFonts w:cs="Times New Roman"/>
      <w:sz w:val="18"/>
      <w:szCs w:val="18"/>
    </w:rPr>
  </w:style>
  <w:style w:type="character" w:styleId="a7">
    <w:name w:val="page number"/>
    <w:uiPriority w:val="99"/>
    <w:rsid w:val="00337293"/>
    <w:rPr>
      <w:rFonts w:cs="Times New Roman"/>
    </w:rPr>
  </w:style>
  <w:style w:type="character" w:styleId="a8">
    <w:name w:val="Hyperlink"/>
    <w:uiPriority w:val="99"/>
    <w:rsid w:val="00337293"/>
    <w:rPr>
      <w:rFonts w:cs="Times New Roman"/>
      <w:color w:val="0000FF"/>
      <w:u w:val="single"/>
    </w:rPr>
  </w:style>
  <w:style w:type="paragraph" w:styleId="3">
    <w:name w:val="Body Text Indent 3"/>
    <w:basedOn w:val="a"/>
    <w:link w:val="3Char"/>
    <w:uiPriority w:val="99"/>
    <w:rsid w:val="00337293"/>
    <w:pPr>
      <w:spacing w:line="560" w:lineRule="exact"/>
      <w:ind w:firstLineChars="200" w:firstLine="420"/>
    </w:pPr>
    <w:rPr>
      <w:kern w:val="0"/>
      <w:sz w:val="16"/>
      <w:szCs w:val="16"/>
    </w:rPr>
  </w:style>
  <w:style w:type="character" w:customStyle="1" w:styleId="3Char">
    <w:name w:val="正文文本缩进 3 Char"/>
    <w:link w:val="3"/>
    <w:uiPriority w:val="99"/>
    <w:semiHidden/>
    <w:locked/>
    <w:rsid w:val="00F76A67"/>
    <w:rPr>
      <w:rFonts w:cs="Times New Roman"/>
      <w:sz w:val="16"/>
      <w:szCs w:val="16"/>
    </w:rPr>
  </w:style>
  <w:style w:type="paragraph" w:styleId="a9">
    <w:name w:val="header"/>
    <w:basedOn w:val="a"/>
    <w:link w:val="Char2"/>
    <w:uiPriority w:val="99"/>
    <w:rsid w:val="00337293"/>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5E491F"/>
    <w:rPr>
      <w:rFonts w:cs="Times New Roman"/>
      <w:kern w:val="2"/>
      <w:sz w:val="18"/>
      <w:szCs w:val="18"/>
    </w:rPr>
  </w:style>
  <w:style w:type="character" w:styleId="aa">
    <w:name w:val="FollowedHyperlink"/>
    <w:uiPriority w:val="99"/>
    <w:rsid w:val="00337293"/>
    <w:rPr>
      <w:rFonts w:cs="Times New Roman"/>
      <w:color w:val="800080"/>
      <w:u w:val="single"/>
    </w:rPr>
  </w:style>
  <w:style w:type="paragraph" w:styleId="ab">
    <w:name w:val="List"/>
    <w:basedOn w:val="ac"/>
    <w:uiPriority w:val="99"/>
    <w:rsid w:val="00337293"/>
    <w:pPr>
      <w:spacing w:after="220" w:line="220" w:lineRule="atLeast"/>
      <w:ind w:left="1440" w:hanging="360"/>
    </w:pPr>
    <w:rPr>
      <w:szCs w:val="20"/>
    </w:rPr>
  </w:style>
  <w:style w:type="paragraph" w:styleId="ac">
    <w:name w:val="Body Text"/>
    <w:basedOn w:val="a"/>
    <w:link w:val="Char3"/>
    <w:uiPriority w:val="99"/>
    <w:rsid w:val="00337293"/>
    <w:pPr>
      <w:spacing w:after="120"/>
    </w:pPr>
    <w:rPr>
      <w:kern w:val="0"/>
      <w:sz w:val="24"/>
    </w:rPr>
  </w:style>
  <w:style w:type="character" w:customStyle="1" w:styleId="Char3">
    <w:name w:val="正文文本 Char"/>
    <w:link w:val="ac"/>
    <w:uiPriority w:val="99"/>
    <w:semiHidden/>
    <w:locked/>
    <w:rsid w:val="00F76A67"/>
    <w:rPr>
      <w:rFonts w:cs="Times New Roman"/>
      <w:sz w:val="24"/>
      <w:szCs w:val="24"/>
    </w:rPr>
  </w:style>
  <w:style w:type="paragraph" w:styleId="ad">
    <w:name w:val="Date"/>
    <w:basedOn w:val="a"/>
    <w:next w:val="a"/>
    <w:link w:val="Char4"/>
    <w:uiPriority w:val="99"/>
    <w:rsid w:val="00337293"/>
    <w:rPr>
      <w:sz w:val="24"/>
      <w:szCs w:val="20"/>
    </w:rPr>
  </w:style>
  <w:style w:type="character" w:customStyle="1" w:styleId="Char4">
    <w:name w:val="日期 Char"/>
    <w:link w:val="ad"/>
    <w:uiPriority w:val="99"/>
    <w:locked/>
    <w:rsid w:val="005B1DEC"/>
    <w:rPr>
      <w:rFonts w:cs="Times New Roman"/>
      <w:kern w:val="2"/>
      <w:sz w:val="24"/>
    </w:rPr>
  </w:style>
  <w:style w:type="character" w:customStyle="1" w:styleId="c1">
    <w:name w:val="c1"/>
    <w:uiPriority w:val="99"/>
    <w:rsid w:val="00337293"/>
    <w:rPr>
      <w:rFonts w:cs="Times New Roman"/>
      <w:color w:val="000000"/>
      <w:sz w:val="18"/>
      <w:szCs w:val="18"/>
    </w:rPr>
  </w:style>
  <w:style w:type="paragraph" w:styleId="10">
    <w:name w:val="index 1"/>
    <w:basedOn w:val="a"/>
    <w:next w:val="a"/>
    <w:autoRedefine/>
    <w:uiPriority w:val="99"/>
    <w:semiHidden/>
    <w:rsid w:val="00337293"/>
    <w:pPr>
      <w:jc w:val="right"/>
    </w:pPr>
    <w:rPr>
      <w:color w:val="008000"/>
    </w:rPr>
  </w:style>
  <w:style w:type="paragraph" w:customStyle="1" w:styleId="font5">
    <w:name w:val="font5"/>
    <w:basedOn w:val="a"/>
    <w:uiPriority w:val="99"/>
    <w:rsid w:val="00337293"/>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uiPriority w:val="99"/>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uiPriority w:val="99"/>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uiPriority w:val="99"/>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uiPriority w:val="99"/>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uiPriority w:val="99"/>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337293"/>
    <w:rPr>
      <w:kern w:val="0"/>
      <w:sz w:val="2"/>
      <w:szCs w:val="20"/>
    </w:rPr>
  </w:style>
  <w:style w:type="character" w:customStyle="1" w:styleId="Char5">
    <w:name w:val="批注框文本 Char"/>
    <w:link w:val="ae"/>
    <w:uiPriority w:val="99"/>
    <w:semiHidden/>
    <w:locked/>
    <w:rsid w:val="00F76A67"/>
    <w:rPr>
      <w:rFonts w:cs="Times New Roman"/>
      <w:sz w:val="2"/>
    </w:rPr>
  </w:style>
  <w:style w:type="character" w:styleId="af">
    <w:name w:val="annotation reference"/>
    <w:uiPriority w:val="99"/>
    <w:semiHidden/>
    <w:rsid w:val="00337293"/>
    <w:rPr>
      <w:rFonts w:cs="Times New Roman"/>
      <w:sz w:val="21"/>
      <w:szCs w:val="21"/>
    </w:rPr>
  </w:style>
  <w:style w:type="paragraph" w:styleId="af0">
    <w:name w:val="annotation text"/>
    <w:basedOn w:val="a"/>
    <w:link w:val="Char6"/>
    <w:uiPriority w:val="99"/>
    <w:semiHidden/>
    <w:rsid w:val="00337293"/>
    <w:pPr>
      <w:jc w:val="left"/>
    </w:pPr>
    <w:rPr>
      <w:kern w:val="0"/>
      <w:sz w:val="24"/>
    </w:rPr>
  </w:style>
  <w:style w:type="character" w:customStyle="1" w:styleId="Char6">
    <w:name w:val="批注文字 Char"/>
    <w:link w:val="af0"/>
    <w:uiPriority w:val="99"/>
    <w:semiHidden/>
    <w:locked/>
    <w:rsid w:val="00F76A67"/>
    <w:rPr>
      <w:rFonts w:cs="Times New Roman"/>
      <w:sz w:val="24"/>
      <w:szCs w:val="24"/>
    </w:rPr>
  </w:style>
  <w:style w:type="paragraph" w:styleId="af1">
    <w:name w:val="annotation subject"/>
    <w:basedOn w:val="af0"/>
    <w:next w:val="af0"/>
    <w:link w:val="Char7"/>
    <w:uiPriority w:val="99"/>
    <w:semiHidden/>
    <w:rsid w:val="00337293"/>
    <w:rPr>
      <w:b/>
      <w:bCs/>
    </w:rPr>
  </w:style>
  <w:style w:type="character" w:customStyle="1" w:styleId="Char7">
    <w:name w:val="批注主题 Char"/>
    <w:link w:val="af1"/>
    <w:uiPriority w:val="99"/>
    <w:semiHidden/>
    <w:locked/>
    <w:rsid w:val="00F76A67"/>
    <w:rPr>
      <w:rFonts w:cs="Times New Roman"/>
      <w:b/>
      <w:bCs/>
      <w:sz w:val="24"/>
      <w:szCs w:val="24"/>
    </w:rPr>
  </w:style>
  <w:style w:type="paragraph" w:customStyle="1" w:styleId="Char8">
    <w:name w:val="Char"/>
    <w:basedOn w:val="a"/>
    <w:uiPriority w:val="99"/>
    <w:rsid w:val="00337293"/>
  </w:style>
  <w:style w:type="paragraph" w:styleId="af2">
    <w:name w:val="Document Map"/>
    <w:basedOn w:val="a"/>
    <w:link w:val="Char9"/>
    <w:uiPriority w:val="99"/>
    <w:semiHidden/>
    <w:rsid w:val="000A549A"/>
    <w:pPr>
      <w:shd w:val="clear" w:color="auto" w:fill="000080"/>
    </w:pPr>
    <w:rPr>
      <w:kern w:val="0"/>
      <w:sz w:val="2"/>
      <w:szCs w:val="20"/>
    </w:rPr>
  </w:style>
  <w:style w:type="character" w:customStyle="1" w:styleId="Char9">
    <w:name w:val="文档结构图 Char"/>
    <w:link w:val="af2"/>
    <w:uiPriority w:val="99"/>
    <w:semiHidden/>
    <w:locked/>
    <w:rsid w:val="00F76A67"/>
    <w:rPr>
      <w:rFonts w:cs="Times New Roman"/>
      <w:sz w:val="2"/>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kern w:val="0"/>
      <w:sz w:val="18"/>
      <w:szCs w:val="18"/>
    </w:rPr>
  </w:style>
  <w:style w:type="character" w:customStyle="1" w:styleId="Chara">
    <w:name w:val="脚注文本 Char"/>
    <w:link w:val="af4"/>
    <w:uiPriority w:val="99"/>
    <w:semiHidden/>
    <w:locked/>
    <w:rsid w:val="00F76A67"/>
    <w:rPr>
      <w:rFonts w:cs="Times New Roman"/>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295C5D"/>
    <w:pPr>
      <w:widowControl w:val="0"/>
      <w:autoSpaceDE w:val="0"/>
      <w:autoSpaceDN w:val="0"/>
      <w:adjustRightInd w:val="0"/>
    </w:pPr>
    <w:rPr>
      <w:rFonts w:ascii="FangSong" w:hAnsi="FangSong" w:cs="FangSong"/>
      <w:color w:val="000000"/>
      <w:sz w:val="24"/>
      <w:szCs w:val="24"/>
    </w:rPr>
  </w:style>
  <w:style w:type="character" w:styleId="af8">
    <w:name w:val="Strong"/>
    <w:uiPriority w:val="22"/>
    <w:qFormat/>
    <w:locked/>
    <w:rsid w:val="004572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275524">
      <w:marLeft w:val="0"/>
      <w:marRight w:val="0"/>
      <w:marTop w:val="0"/>
      <w:marBottom w:val="0"/>
      <w:divBdr>
        <w:top w:val="none" w:sz="0" w:space="0" w:color="auto"/>
        <w:left w:val="none" w:sz="0" w:space="0" w:color="auto"/>
        <w:bottom w:val="none" w:sz="0" w:space="0" w:color="auto"/>
        <w:right w:val="none" w:sz="0" w:space="0" w:color="auto"/>
      </w:divBdr>
    </w:div>
    <w:div w:id="1863275525">
      <w:marLeft w:val="0"/>
      <w:marRight w:val="0"/>
      <w:marTop w:val="0"/>
      <w:marBottom w:val="0"/>
      <w:divBdr>
        <w:top w:val="none" w:sz="0" w:space="0" w:color="auto"/>
        <w:left w:val="none" w:sz="0" w:space="0" w:color="auto"/>
        <w:bottom w:val="none" w:sz="0" w:space="0" w:color="auto"/>
        <w:right w:val="none" w:sz="0" w:space="0" w:color="auto"/>
      </w:divBdr>
    </w:div>
    <w:div w:id="1863275526">
      <w:marLeft w:val="0"/>
      <w:marRight w:val="0"/>
      <w:marTop w:val="0"/>
      <w:marBottom w:val="0"/>
      <w:divBdr>
        <w:top w:val="none" w:sz="0" w:space="0" w:color="auto"/>
        <w:left w:val="none" w:sz="0" w:space="0" w:color="auto"/>
        <w:bottom w:val="none" w:sz="0" w:space="0" w:color="auto"/>
        <w:right w:val="none" w:sz="0" w:space="0" w:color="auto"/>
      </w:divBdr>
    </w:div>
    <w:div w:id="1863275527">
      <w:marLeft w:val="0"/>
      <w:marRight w:val="0"/>
      <w:marTop w:val="0"/>
      <w:marBottom w:val="0"/>
      <w:divBdr>
        <w:top w:val="none" w:sz="0" w:space="0" w:color="auto"/>
        <w:left w:val="none" w:sz="0" w:space="0" w:color="auto"/>
        <w:bottom w:val="none" w:sz="0" w:space="0" w:color="auto"/>
        <w:right w:val="none" w:sz="0" w:space="0" w:color="auto"/>
      </w:divBdr>
    </w:div>
    <w:div w:id="1863275528">
      <w:marLeft w:val="0"/>
      <w:marRight w:val="0"/>
      <w:marTop w:val="0"/>
      <w:marBottom w:val="0"/>
      <w:divBdr>
        <w:top w:val="none" w:sz="0" w:space="0" w:color="auto"/>
        <w:left w:val="none" w:sz="0" w:space="0" w:color="auto"/>
        <w:bottom w:val="none" w:sz="0" w:space="0" w:color="auto"/>
        <w:right w:val="none" w:sz="0" w:space="0" w:color="auto"/>
      </w:divBdr>
    </w:div>
    <w:div w:id="1863275529">
      <w:marLeft w:val="0"/>
      <w:marRight w:val="0"/>
      <w:marTop w:val="0"/>
      <w:marBottom w:val="0"/>
      <w:divBdr>
        <w:top w:val="none" w:sz="0" w:space="0" w:color="auto"/>
        <w:left w:val="none" w:sz="0" w:space="0" w:color="auto"/>
        <w:bottom w:val="none" w:sz="0" w:space="0" w:color="auto"/>
        <w:right w:val="none" w:sz="0" w:space="0" w:color="auto"/>
      </w:divBdr>
    </w:div>
    <w:div w:id="1863275530">
      <w:marLeft w:val="0"/>
      <w:marRight w:val="0"/>
      <w:marTop w:val="0"/>
      <w:marBottom w:val="0"/>
      <w:divBdr>
        <w:top w:val="none" w:sz="0" w:space="0" w:color="auto"/>
        <w:left w:val="none" w:sz="0" w:space="0" w:color="auto"/>
        <w:bottom w:val="none" w:sz="0" w:space="0" w:color="auto"/>
        <w:right w:val="none" w:sz="0" w:space="0" w:color="auto"/>
      </w:divBdr>
    </w:div>
    <w:div w:id="1863275531">
      <w:marLeft w:val="0"/>
      <w:marRight w:val="0"/>
      <w:marTop w:val="0"/>
      <w:marBottom w:val="0"/>
      <w:divBdr>
        <w:top w:val="none" w:sz="0" w:space="0" w:color="auto"/>
        <w:left w:val="none" w:sz="0" w:space="0" w:color="auto"/>
        <w:bottom w:val="none" w:sz="0" w:space="0" w:color="auto"/>
        <w:right w:val="none" w:sz="0" w:space="0" w:color="auto"/>
      </w:divBdr>
    </w:div>
    <w:div w:id="1863275532">
      <w:marLeft w:val="0"/>
      <w:marRight w:val="0"/>
      <w:marTop w:val="0"/>
      <w:marBottom w:val="0"/>
      <w:divBdr>
        <w:top w:val="none" w:sz="0" w:space="0" w:color="auto"/>
        <w:left w:val="none" w:sz="0" w:space="0" w:color="auto"/>
        <w:bottom w:val="none" w:sz="0" w:space="0" w:color="auto"/>
        <w:right w:val="none" w:sz="0" w:space="0" w:color="auto"/>
      </w:divBdr>
    </w:div>
    <w:div w:id="18632755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406</TotalTime>
  <Pages>15</Pages>
  <Words>1307</Words>
  <Characters>7451</Characters>
  <Application>Microsoft Office Word</Application>
  <DocSecurity>0</DocSecurity>
  <Lines>62</Lines>
  <Paragraphs>17</Paragraphs>
  <ScaleCrop>false</ScaleCrop>
  <Company>TRT. Ltd. Co.</Company>
  <LinksUpToDate>false</LinksUpToDate>
  <CharactersWithSpaces>8741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biz-sunbinglei</cp:lastModifiedBy>
  <cp:revision>205</cp:revision>
  <cp:lastPrinted>2007-07-19T00:46:00Z</cp:lastPrinted>
  <dcterms:created xsi:type="dcterms:W3CDTF">2012-11-21T04:46:00Z</dcterms:created>
  <dcterms:modified xsi:type="dcterms:W3CDTF">2021-01-11T06:52:00Z</dcterms:modified>
</cp:coreProperties>
</file>