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交银施罗德稳健配置混合型证券投资基金</w:t>
      </w:r>
    </w:p>
    <w:p w:rsidR="002279D3" w:rsidRPr="0081286B" w:rsidRDefault="002279D3" w:rsidP="00C15CAC">
      <w:pPr>
        <w:spacing w:before="29" w:line="288" w:lineRule="auto"/>
        <w:jc w:val="center"/>
        <w:rPr>
          <w:b/>
          <w:sz w:val="36"/>
          <w:szCs w:val="36"/>
        </w:rPr>
      </w:pPr>
      <w:r w:rsidRPr="0081286B">
        <w:rPr>
          <w:b/>
          <w:sz w:val="36"/>
          <w:szCs w:val="36"/>
        </w:rPr>
        <w:t>2020</w:t>
      </w:r>
      <w:r w:rsidRPr="0081286B">
        <w:rPr>
          <w:b/>
          <w:sz w:val="36"/>
          <w:szCs w:val="36"/>
        </w:rPr>
        <w:t>年第</w:t>
      </w:r>
      <w:r w:rsidRPr="0081286B">
        <w:rPr>
          <w:b/>
          <w:sz w:val="36"/>
          <w:szCs w:val="36"/>
        </w:rPr>
        <w:t>4</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2020</w:t>
      </w:r>
      <w:r w:rsidRPr="0081286B">
        <w:rPr>
          <w:b/>
          <w:sz w:val="36"/>
          <w:szCs w:val="36"/>
        </w:rPr>
        <w:t>年</w:t>
      </w:r>
      <w:r w:rsidRPr="0081286B">
        <w:rPr>
          <w:b/>
          <w:sz w:val="36"/>
          <w:szCs w:val="36"/>
        </w:rPr>
        <w:t>12</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二〇二一年一月二十一日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C81A11" w:rsidRDefault="00681960">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C81A11" w:rsidRDefault="00681960">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2021</w:t>
      </w:r>
      <w:r>
        <w:rPr>
          <w:color w:val="000000"/>
          <w:sz w:val="24"/>
          <w:szCs w:val="24"/>
        </w:rPr>
        <w:t>年</w:t>
      </w:r>
      <w:r>
        <w:rPr>
          <w:color w:val="000000"/>
          <w:sz w:val="24"/>
          <w:szCs w:val="24"/>
        </w:rPr>
        <w:t>1</w:t>
      </w:r>
      <w:r>
        <w:rPr>
          <w:color w:val="000000"/>
          <w:sz w:val="24"/>
          <w:szCs w:val="24"/>
        </w:rPr>
        <w:t>月</w:t>
      </w:r>
      <w:r>
        <w:rPr>
          <w:color w:val="000000"/>
          <w:sz w:val="24"/>
          <w:szCs w:val="24"/>
        </w:rPr>
        <w:t>20</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C81A11" w:rsidRDefault="00681960">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C81A11" w:rsidRDefault="00681960">
      <w:pPr>
        <w:spacing w:before="29" w:line="288" w:lineRule="auto"/>
        <w:ind w:firstLineChars="200" w:firstLine="480"/>
        <w:rPr>
          <w:color w:val="000000"/>
          <w:sz w:val="24"/>
          <w:szCs w:val="24"/>
        </w:rPr>
      </w:pPr>
      <w:r>
        <w:rPr>
          <w:color w:val="000000"/>
          <w:sz w:val="24"/>
          <w:szCs w:val="24"/>
        </w:rPr>
        <w:t>基金的过往业绩并不代表其未来表现。投资有风险，投资者在</w:t>
      </w:r>
      <w:proofErr w:type="gramStart"/>
      <w:r>
        <w:rPr>
          <w:color w:val="000000"/>
          <w:sz w:val="24"/>
          <w:szCs w:val="24"/>
        </w:rPr>
        <w:t>作出</w:t>
      </w:r>
      <w:proofErr w:type="gramEnd"/>
      <w:r>
        <w:rPr>
          <w:color w:val="000000"/>
          <w:sz w:val="24"/>
          <w:szCs w:val="24"/>
        </w:rPr>
        <w:t>投资决策前应仔细阅读本基金的招募说明书。</w:t>
      </w:r>
      <w:r>
        <w:rPr>
          <w:color w:val="000000"/>
          <w:sz w:val="24"/>
          <w:szCs w:val="24"/>
        </w:rPr>
        <w:t xml:space="preserve"> </w:t>
      </w:r>
    </w:p>
    <w:p w:rsidR="00C81A11" w:rsidRDefault="00681960">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2020</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交银稳健配置混合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519690</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519690</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519691</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2006</w:t>
            </w:r>
            <w:r w:rsidRPr="00414345">
              <w:rPr>
                <w:color w:val="000000"/>
                <w:kern w:val="0"/>
                <w:sz w:val="24"/>
                <w:szCs w:val="24"/>
              </w:rPr>
              <w:t>年</w:t>
            </w:r>
            <w:r w:rsidRPr="00414345">
              <w:rPr>
                <w:color w:val="000000"/>
                <w:kern w:val="0"/>
                <w:sz w:val="24"/>
                <w:szCs w:val="24"/>
              </w:rPr>
              <w:t>6</w:t>
            </w:r>
            <w:r w:rsidRPr="00414345">
              <w:rPr>
                <w:color w:val="000000"/>
                <w:kern w:val="0"/>
                <w:sz w:val="24"/>
                <w:szCs w:val="24"/>
              </w:rPr>
              <w:t>月</w:t>
            </w:r>
            <w:r w:rsidRPr="00414345">
              <w:rPr>
                <w:color w:val="000000"/>
                <w:kern w:val="0"/>
                <w:sz w:val="24"/>
                <w:szCs w:val="24"/>
              </w:rPr>
              <w:t>14</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2,506,892,629.23</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将坚持并不断深化价值投资的基本理念，充分发挥专业研究与管理能力，根据宏观经济周期和市场环境的变化，自上而下灵活配置资产，自下而上精选证券，有效分散风险，谋求实现基金财产的长期稳定增长。</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把握宏观经济和投资市场的变化趋势，根据经济周期理论动态调整投资组合比例，自上而下配置资产，自下而上精选证券，有效分散风险。</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65%×MSCI</w:t>
            </w:r>
            <w:r w:rsidRPr="00414345">
              <w:rPr>
                <w:color w:val="000000"/>
                <w:kern w:val="0"/>
                <w:sz w:val="24"/>
                <w:szCs w:val="24"/>
              </w:rPr>
              <w:t>中国</w:t>
            </w:r>
            <w:r w:rsidRPr="00414345">
              <w:rPr>
                <w:color w:val="000000"/>
                <w:kern w:val="0"/>
                <w:sz w:val="24"/>
                <w:szCs w:val="24"/>
              </w:rPr>
              <w:t>A</w:t>
            </w:r>
            <w:r w:rsidRPr="00414345">
              <w:rPr>
                <w:color w:val="000000"/>
                <w:kern w:val="0"/>
                <w:sz w:val="24"/>
                <w:szCs w:val="24"/>
              </w:rPr>
              <w:t>股指数</w:t>
            </w:r>
            <w:r w:rsidRPr="00414345">
              <w:rPr>
                <w:color w:val="000000"/>
                <w:kern w:val="0"/>
                <w:sz w:val="24"/>
                <w:szCs w:val="24"/>
              </w:rPr>
              <w:t>+35%×</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本基金是一只混合型基金，属于证券投资基金产品中的中等风险品种，本基金的风险与预期收益处于股票型基金和债券型基金之间。</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531456" w:rsidRPr="00414345" w:rsidTr="00531456">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(2020</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-2020</w:t>
            </w:r>
            <w:r w:rsidRPr="00414345">
              <w:rPr>
                <w:color w:val="000000"/>
                <w:sz w:val="24"/>
                <w:szCs w:val="24"/>
              </w:rPr>
              <w:t>年</w:t>
            </w:r>
            <w:r w:rsidRPr="00414345">
              <w:rPr>
                <w:color w:val="000000"/>
                <w:sz w:val="24"/>
                <w:szCs w:val="24"/>
              </w:rPr>
              <w:t>12</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531456" w:rsidRPr="00414345" w:rsidTr="00531456">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121,463,968.49</w:t>
            </w:r>
          </w:p>
        </w:tc>
      </w:tr>
      <w:tr w:rsidR="00531456" w:rsidRPr="00414345" w:rsidTr="00531456">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172,686,805.15</w:t>
            </w:r>
          </w:p>
        </w:tc>
      </w:tr>
      <w:tr w:rsidR="00531456" w:rsidRPr="00414345" w:rsidTr="00531456">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0.0827</w:t>
            </w:r>
          </w:p>
        </w:tc>
      </w:tr>
      <w:tr w:rsidR="00531456" w:rsidRPr="00414345" w:rsidTr="00531456">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3,343,919,801.23</w:t>
            </w:r>
          </w:p>
        </w:tc>
      </w:tr>
      <w:tr w:rsidR="00531456" w:rsidRPr="00414345" w:rsidTr="00531456">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1.3339</w:t>
            </w:r>
          </w:p>
        </w:tc>
      </w:tr>
    </w:tbl>
    <w:p w:rsidR="00C81A11" w:rsidRDefault="00681960">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w:t>
      </w:r>
      <w:proofErr w:type="gramStart"/>
      <w:r w:rsidRPr="00414345">
        <w:rPr>
          <w:b/>
          <w:bCs/>
          <w:color w:val="000000"/>
          <w:kern w:val="0"/>
          <w:sz w:val="24"/>
          <w:szCs w:val="24"/>
        </w:rPr>
        <w:t>期基金</w:t>
      </w:r>
      <w:proofErr w:type="gramEnd"/>
      <w:r w:rsidRPr="00414345">
        <w:rPr>
          <w:b/>
          <w:bCs/>
          <w:color w:val="000000"/>
          <w:kern w:val="0"/>
          <w:sz w:val="24"/>
          <w:szCs w:val="24"/>
        </w:rPr>
        <w:t>份额净值增长率及其与同期业绩比较基准收益率的比较</w:t>
      </w:r>
    </w:p>
    <w:tbl>
      <w:tblPr>
        <w:tblStyle w:val="aff2"/>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C81A11">
        <w:trPr>
          <w:jc w:val="center"/>
        </w:trPr>
        <w:tc>
          <w:tcPr>
            <w:tcW w:w="1701" w:type="dxa"/>
            <w:vAlign w:val="center"/>
          </w:tcPr>
          <w:p w:rsidR="00C81A11" w:rsidRDefault="00681960">
            <w:pPr>
              <w:jc w:val="left"/>
            </w:pPr>
            <w:r>
              <w:rPr>
                <w:color w:val="000000"/>
                <w:sz w:val="24"/>
                <w:szCs w:val="24"/>
              </w:rPr>
              <w:t>过去三个月</w:t>
            </w:r>
          </w:p>
        </w:tc>
        <w:tc>
          <w:tcPr>
            <w:tcW w:w="1045" w:type="dxa"/>
            <w:vAlign w:val="center"/>
          </w:tcPr>
          <w:p w:rsidR="00C81A11" w:rsidRDefault="00681960">
            <w:pPr>
              <w:jc w:val="center"/>
            </w:pPr>
            <w:r>
              <w:rPr>
                <w:color w:val="000000"/>
                <w:sz w:val="24"/>
                <w:szCs w:val="24"/>
              </w:rPr>
              <w:t>6.11%</w:t>
            </w:r>
          </w:p>
        </w:tc>
        <w:tc>
          <w:tcPr>
            <w:tcW w:w="1344" w:type="dxa"/>
            <w:vAlign w:val="center"/>
          </w:tcPr>
          <w:p w:rsidR="00C81A11" w:rsidRDefault="00681960">
            <w:pPr>
              <w:jc w:val="center"/>
            </w:pPr>
            <w:r>
              <w:rPr>
                <w:color w:val="000000"/>
                <w:sz w:val="24"/>
                <w:szCs w:val="24"/>
              </w:rPr>
              <w:t>0.69%</w:t>
            </w:r>
          </w:p>
        </w:tc>
        <w:tc>
          <w:tcPr>
            <w:tcW w:w="1194" w:type="dxa"/>
            <w:vAlign w:val="center"/>
          </w:tcPr>
          <w:p w:rsidR="00C81A11" w:rsidRDefault="00681960">
            <w:pPr>
              <w:jc w:val="center"/>
            </w:pPr>
            <w:r>
              <w:rPr>
                <w:color w:val="000000"/>
                <w:sz w:val="24"/>
                <w:szCs w:val="24"/>
              </w:rPr>
              <w:t>8.68%</w:t>
            </w:r>
          </w:p>
        </w:tc>
        <w:tc>
          <w:tcPr>
            <w:tcW w:w="1492" w:type="dxa"/>
            <w:vAlign w:val="center"/>
          </w:tcPr>
          <w:p w:rsidR="00C81A11" w:rsidRDefault="00681960">
            <w:pPr>
              <w:jc w:val="center"/>
            </w:pPr>
            <w:r>
              <w:rPr>
                <w:color w:val="000000"/>
                <w:sz w:val="24"/>
                <w:szCs w:val="24"/>
              </w:rPr>
              <w:t>0.67%</w:t>
            </w:r>
          </w:p>
        </w:tc>
        <w:tc>
          <w:tcPr>
            <w:tcW w:w="1194" w:type="dxa"/>
            <w:vAlign w:val="center"/>
          </w:tcPr>
          <w:p w:rsidR="00C81A11" w:rsidRDefault="00681960">
            <w:pPr>
              <w:jc w:val="center"/>
            </w:pPr>
            <w:r>
              <w:rPr>
                <w:color w:val="000000"/>
                <w:sz w:val="24"/>
                <w:szCs w:val="24"/>
              </w:rPr>
              <w:t>-2.57%</w:t>
            </w:r>
          </w:p>
        </w:tc>
        <w:tc>
          <w:tcPr>
            <w:tcW w:w="898" w:type="dxa"/>
            <w:vAlign w:val="center"/>
          </w:tcPr>
          <w:p w:rsidR="00C81A11" w:rsidRDefault="00681960">
            <w:pPr>
              <w:jc w:val="center"/>
            </w:pPr>
            <w:r>
              <w:rPr>
                <w:color w:val="000000"/>
                <w:sz w:val="24"/>
                <w:szCs w:val="24"/>
              </w:rPr>
              <w:t>0.02%</w:t>
            </w:r>
          </w:p>
        </w:tc>
      </w:tr>
      <w:tr w:rsidR="00C81A11">
        <w:trPr>
          <w:jc w:val="center"/>
        </w:trPr>
        <w:tc>
          <w:tcPr>
            <w:tcW w:w="1701" w:type="dxa"/>
            <w:vAlign w:val="center"/>
          </w:tcPr>
          <w:p w:rsidR="00C81A11" w:rsidRDefault="00681960">
            <w:pPr>
              <w:jc w:val="left"/>
            </w:pPr>
            <w:r>
              <w:rPr>
                <w:color w:val="000000"/>
                <w:sz w:val="24"/>
                <w:szCs w:val="24"/>
              </w:rPr>
              <w:t>过去六个月</w:t>
            </w:r>
          </w:p>
        </w:tc>
        <w:tc>
          <w:tcPr>
            <w:tcW w:w="1045" w:type="dxa"/>
            <w:vAlign w:val="center"/>
          </w:tcPr>
          <w:p w:rsidR="00C81A11" w:rsidRDefault="00681960">
            <w:pPr>
              <w:jc w:val="center"/>
            </w:pPr>
            <w:r>
              <w:rPr>
                <w:color w:val="000000"/>
                <w:sz w:val="24"/>
                <w:szCs w:val="24"/>
              </w:rPr>
              <w:t>12.19%</w:t>
            </w:r>
          </w:p>
        </w:tc>
        <w:tc>
          <w:tcPr>
            <w:tcW w:w="1344" w:type="dxa"/>
            <w:vAlign w:val="center"/>
          </w:tcPr>
          <w:p w:rsidR="00C81A11" w:rsidRDefault="00681960">
            <w:pPr>
              <w:jc w:val="center"/>
            </w:pPr>
            <w:r>
              <w:rPr>
                <w:color w:val="000000"/>
                <w:sz w:val="24"/>
                <w:szCs w:val="24"/>
              </w:rPr>
              <w:t>0.98%</w:t>
            </w:r>
          </w:p>
        </w:tc>
        <w:tc>
          <w:tcPr>
            <w:tcW w:w="1194" w:type="dxa"/>
            <w:vAlign w:val="center"/>
          </w:tcPr>
          <w:p w:rsidR="00C81A11" w:rsidRDefault="00681960">
            <w:pPr>
              <w:jc w:val="center"/>
            </w:pPr>
            <w:r>
              <w:rPr>
                <w:color w:val="000000"/>
                <w:sz w:val="24"/>
                <w:szCs w:val="24"/>
              </w:rPr>
              <w:t>14.81%</w:t>
            </w:r>
          </w:p>
        </w:tc>
        <w:tc>
          <w:tcPr>
            <w:tcW w:w="1492" w:type="dxa"/>
            <w:vAlign w:val="center"/>
          </w:tcPr>
          <w:p w:rsidR="00C81A11" w:rsidRDefault="00681960">
            <w:pPr>
              <w:jc w:val="center"/>
            </w:pPr>
            <w:r>
              <w:rPr>
                <w:color w:val="000000"/>
                <w:sz w:val="24"/>
                <w:szCs w:val="24"/>
              </w:rPr>
              <w:t>0.88%</w:t>
            </w:r>
          </w:p>
        </w:tc>
        <w:tc>
          <w:tcPr>
            <w:tcW w:w="1194" w:type="dxa"/>
            <w:vAlign w:val="center"/>
          </w:tcPr>
          <w:p w:rsidR="00C81A11" w:rsidRDefault="00681960">
            <w:pPr>
              <w:jc w:val="center"/>
            </w:pPr>
            <w:r>
              <w:rPr>
                <w:color w:val="000000"/>
                <w:sz w:val="24"/>
                <w:szCs w:val="24"/>
              </w:rPr>
              <w:t>-2.62%</w:t>
            </w:r>
          </w:p>
        </w:tc>
        <w:tc>
          <w:tcPr>
            <w:tcW w:w="898" w:type="dxa"/>
            <w:vAlign w:val="center"/>
          </w:tcPr>
          <w:p w:rsidR="00C81A11" w:rsidRDefault="00681960">
            <w:pPr>
              <w:jc w:val="center"/>
            </w:pPr>
            <w:r>
              <w:rPr>
                <w:color w:val="000000"/>
                <w:sz w:val="24"/>
                <w:szCs w:val="24"/>
              </w:rPr>
              <w:t>0.10%</w:t>
            </w:r>
          </w:p>
        </w:tc>
      </w:tr>
      <w:tr w:rsidR="00C81A11">
        <w:trPr>
          <w:jc w:val="center"/>
        </w:trPr>
        <w:tc>
          <w:tcPr>
            <w:tcW w:w="1701" w:type="dxa"/>
            <w:vAlign w:val="center"/>
          </w:tcPr>
          <w:p w:rsidR="00C81A11" w:rsidRDefault="00681960">
            <w:pPr>
              <w:jc w:val="left"/>
            </w:pPr>
            <w:r>
              <w:rPr>
                <w:color w:val="000000"/>
                <w:sz w:val="24"/>
                <w:szCs w:val="24"/>
              </w:rPr>
              <w:t>过去一年</w:t>
            </w:r>
          </w:p>
        </w:tc>
        <w:tc>
          <w:tcPr>
            <w:tcW w:w="1045" w:type="dxa"/>
            <w:vAlign w:val="center"/>
          </w:tcPr>
          <w:p w:rsidR="00C81A11" w:rsidRDefault="00681960">
            <w:pPr>
              <w:jc w:val="center"/>
            </w:pPr>
            <w:r>
              <w:rPr>
                <w:color w:val="000000"/>
                <w:sz w:val="24"/>
                <w:szCs w:val="24"/>
              </w:rPr>
              <w:t>25.24%</w:t>
            </w:r>
          </w:p>
        </w:tc>
        <w:tc>
          <w:tcPr>
            <w:tcW w:w="1344" w:type="dxa"/>
            <w:vAlign w:val="center"/>
          </w:tcPr>
          <w:p w:rsidR="00C81A11" w:rsidRDefault="00681960">
            <w:pPr>
              <w:jc w:val="center"/>
            </w:pPr>
            <w:r>
              <w:rPr>
                <w:color w:val="000000"/>
                <w:sz w:val="24"/>
                <w:szCs w:val="24"/>
              </w:rPr>
              <w:t>1.27%</w:t>
            </w:r>
          </w:p>
        </w:tc>
        <w:tc>
          <w:tcPr>
            <w:tcW w:w="1194" w:type="dxa"/>
            <w:vAlign w:val="center"/>
          </w:tcPr>
          <w:p w:rsidR="00C81A11" w:rsidRDefault="00681960">
            <w:pPr>
              <w:jc w:val="center"/>
            </w:pPr>
            <w:r>
              <w:rPr>
                <w:color w:val="000000"/>
                <w:sz w:val="24"/>
                <w:szCs w:val="24"/>
              </w:rPr>
              <w:t>20.22%</w:t>
            </w:r>
          </w:p>
        </w:tc>
        <w:tc>
          <w:tcPr>
            <w:tcW w:w="1492" w:type="dxa"/>
            <w:vAlign w:val="center"/>
          </w:tcPr>
          <w:p w:rsidR="00C81A11" w:rsidRDefault="00681960">
            <w:pPr>
              <w:jc w:val="center"/>
            </w:pPr>
            <w:r>
              <w:rPr>
                <w:color w:val="000000"/>
                <w:sz w:val="24"/>
                <w:szCs w:val="24"/>
              </w:rPr>
              <w:t>0.95%</w:t>
            </w:r>
          </w:p>
        </w:tc>
        <w:tc>
          <w:tcPr>
            <w:tcW w:w="1194" w:type="dxa"/>
            <w:vAlign w:val="center"/>
          </w:tcPr>
          <w:p w:rsidR="00C81A11" w:rsidRDefault="00681960">
            <w:pPr>
              <w:jc w:val="center"/>
            </w:pPr>
            <w:r>
              <w:rPr>
                <w:color w:val="000000"/>
                <w:sz w:val="24"/>
                <w:szCs w:val="24"/>
              </w:rPr>
              <w:t>5.02%</w:t>
            </w:r>
          </w:p>
        </w:tc>
        <w:tc>
          <w:tcPr>
            <w:tcW w:w="898" w:type="dxa"/>
            <w:vAlign w:val="center"/>
          </w:tcPr>
          <w:p w:rsidR="00C81A11" w:rsidRDefault="00681960">
            <w:pPr>
              <w:jc w:val="center"/>
            </w:pPr>
            <w:r>
              <w:rPr>
                <w:color w:val="000000"/>
                <w:sz w:val="24"/>
                <w:szCs w:val="24"/>
              </w:rPr>
              <w:t>0.32%</w:t>
            </w:r>
          </w:p>
        </w:tc>
      </w:tr>
      <w:tr w:rsidR="00C81A11">
        <w:trPr>
          <w:jc w:val="center"/>
        </w:trPr>
        <w:tc>
          <w:tcPr>
            <w:tcW w:w="1701" w:type="dxa"/>
            <w:vAlign w:val="center"/>
          </w:tcPr>
          <w:p w:rsidR="00C81A11" w:rsidRDefault="00681960">
            <w:pPr>
              <w:jc w:val="left"/>
            </w:pPr>
            <w:r>
              <w:rPr>
                <w:color w:val="000000"/>
                <w:sz w:val="24"/>
                <w:szCs w:val="24"/>
              </w:rPr>
              <w:t>过去三年</w:t>
            </w:r>
          </w:p>
        </w:tc>
        <w:tc>
          <w:tcPr>
            <w:tcW w:w="1045" w:type="dxa"/>
            <w:vAlign w:val="center"/>
          </w:tcPr>
          <w:p w:rsidR="00C81A11" w:rsidRDefault="00681960">
            <w:pPr>
              <w:jc w:val="center"/>
            </w:pPr>
            <w:r>
              <w:rPr>
                <w:color w:val="000000"/>
                <w:sz w:val="24"/>
                <w:szCs w:val="24"/>
              </w:rPr>
              <w:t>28.73%</w:t>
            </w:r>
          </w:p>
        </w:tc>
        <w:tc>
          <w:tcPr>
            <w:tcW w:w="1344" w:type="dxa"/>
            <w:vAlign w:val="center"/>
          </w:tcPr>
          <w:p w:rsidR="00C81A11" w:rsidRDefault="00681960">
            <w:pPr>
              <w:jc w:val="center"/>
            </w:pPr>
            <w:r>
              <w:rPr>
                <w:color w:val="000000"/>
                <w:sz w:val="24"/>
                <w:szCs w:val="24"/>
              </w:rPr>
              <w:t>1.24%</w:t>
            </w:r>
          </w:p>
        </w:tc>
        <w:tc>
          <w:tcPr>
            <w:tcW w:w="1194" w:type="dxa"/>
            <w:vAlign w:val="center"/>
          </w:tcPr>
          <w:p w:rsidR="00C81A11" w:rsidRDefault="00681960">
            <w:pPr>
              <w:jc w:val="center"/>
            </w:pPr>
            <w:r>
              <w:rPr>
                <w:color w:val="000000"/>
                <w:sz w:val="24"/>
                <w:szCs w:val="24"/>
              </w:rPr>
              <w:t>22.64%</w:t>
            </w:r>
          </w:p>
        </w:tc>
        <w:tc>
          <w:tcPr>
            <w:tcW w:w="1492" w:type="dxa"/>
            <w:vAlign w:val="center"/>
          </w:tcPr>
          <w:p w:rsidR="00C81A11" w:rsidRDefault="00681960">
            <w:pPr>
              <w:jc w:val="center"/>
            </w:pPr>
            <w:r>
              <w:rPr>
                <w:color w:val="000000"/>
                <w:sz w:val="24"/>
                <w:szCs w:val="24"/>
              </w:rPr>
              <w:t>0.89%</w:t>
            </w:r>
          </w:p>
        </w:tc>
        <w:tc>
          <w:tcPr>
            <w:tcW w:w="1194" w:type="dxa"/>
            <w:vAlign w:val="center"/>
          </w:tcPr>
          <w:p w:rsidR="00C81A11" w:rsidRDefault="00681960">
            <w:pPr>
              <w:jc w:val="center"/>
            </w:pPr>
            <w:r>
              <w:rPr>
                <w:color w:val="000000"/>
                <w:sz w:val="24"/>
                <w:szCs w:val="24"/>
              </w:rPr>
              <w:t>6.09%</w:t>
            </w:r>
          </w:p>
        </w:tc>
        <w:tc>
          <w:tcPr>
            <w:tcW w:w="898" w:type="dxa"/>
            <w:vAlign w:val="center"/>
          </w:tcPr>
          <w:p w:rsidR="00C81A11" w:rsidRDefault="00681960">
            <w:pPr>
              <w:jc w:val="center"/>
            </w:pPr>
            <w:r>
              <w:rPr>
                <w:color w:val="000000"/>
                <w:sz w:val="24"/>
                <w:szCs w:val="24"/>
              </w:rPr>
              <w:t>0.35%</w:t>
            </w:r>
          </w:p>
        </w:tc>
      </w:tr>
      <w:tr w:rsidR="00C81A11">
        <w:trPr>
          <w:jc w:val="center"/>
        </w:trPr>
        <w:tc>
          <w:tcPr>
            <w:tcW w:w="1701" w:type="dxa"/>
            <w:vAlign w:val="center"/>
          </w:tcPr>
          <w:p w:rsidR="00C81A11" w:rsidRDefault="00681960">
            <w:pPr>
              <w:jc w:val="left"/>
            </w:pPr>
            <w:r>
              <w:rPr>
                <w:color w:val="000000"/>
                <w:sz w:val="24"/>
                <w:szCs w:val="24"/>
              </w:rPr>
              <w:t>过去五年</w:t>
            </w:r>
          </w:p>
        </w:tc>
        <w:tc>
          <w:tcPr>
            <w:tcW w:w="1045" w:type="dxa"/>
            <w:vAlign w:val="center"/>
          </w:tcPr>
          <w:p w:rsidR="00C81A11" w:rsidRDefault="00681960">
            <w:pPr>
              <w:jc w:val="center"/>
            </w:pPr>
            <w:r>
              <w:rPr>
                <w:color w:val="000000"/>
                <w:sz w:val="24"/>
                <w:szCs w:val="24"/>
              </w:rPr>
              <w:t>64.04%</w:t>
            </w:r>
          </w:p>
        </w:tc>
        <w:tc>
          <w:tcPr>
            <w:tcW w:w="1344" w:type="dxa"/>
            <w:vAlign w:val="center"/>
          </w:tcPr>
          <w:p w:rsidR="00C81A11" w:rsidRDefault="00681960">
            <w:pPr>
              <w:jc w:val="center"/>
            </w:pPr>
            <w:r>
              <w:rPr>
                <w:color w:val="000000"/>
                <w:sz w:val="24"/>
                <w:szCs w:val="24"/>
              </w:rPr>
              <w:t>1.20%</w:t>
            </w:r>
          </w:p>
        </w:tc>
        <w:tc>
          <w:tcPr>
            <w:tcW w:w="1194" w:type="dxa"/>
            <w:vAlign w:val="center"/>
          </w:tcPr>
          <w:p w:rsidR="00C81A11" w:rsidRDefault="00681960">
            <w:pPr>
              <w:jc w:val="center"/>
            </w:pPr>
            <w:r>
              <w:rPr>
                <w:color w:val="000000"/>
                <w:sz w:val="24"/>
                <w:szCs w:val="24"/>
              </w:rPr>
              <w:t>20.35%</w:t>
            </w:r>
          </w:p>
        </w:tc>
        <w:tc>
          <w:tcPr>
            <w:tcW w:w="1492" w:type="dxa"/>
            <w:vAlign w:val="center"/>
          </w:tcPr>
          <w:p w:rsidR="00C81A11" w:rsidRDefault="00681960">
            <w:pPr>
              <w:jc w:val="center"/>
            </w:pPr>
            <w:r>
              <w:rPr>
                <w:color w:val="000000"/>
                <w:sz w:val="24"/>
                <w:szCs w:val="24"/>
              </w:rPr>
              <w:t>0.84%</w:t>
            </w:r>
          </w:p>
        </w:tc>
        <w:tc>
          <w:tcPr>
            <w:tcW w:w="1194" w:type="dxa"/>
            <w:vAlign w:val="center"/>
          </w:tcPr>
          <w:p w:rsidR="00C81A11" w:rsidRDefault="00681960">
            <w:pPr>
              <w:jc w:val="center"/>
            </w:pPr>
            <w:r>
              <w:rPr>
                <w:color w:val="000000"/>
                <w:sz w:val="24"/>
                <w:szCs w:val="24"/>
              </w:rPr>
              <w:t>43.69%</w:t>
            </w:r>
          </w:p>
        </w:tc>
        <w:tc>
          <w:tcPr>
            <w:tcW w:w="898" w:type="dxa"/>
            <w:vAlign w:val="center"/>
          </w:tcPr>
          <w:p w:rsidR="00C81A11" w:rsidRDefault="00681960">
            <w:pPr>
              <w:jc w:val="center"/>
            </w:pPr>
            <w:r>
              <w:rPr>
                <w:color w:val="000000"/>
                <w:sz w:val="24"/>
                <w:szCs w:val="24"/>
              </w:rPr>
              <w:t>0.36%</w:t>
            </w:r>
          </w:p>
        </w:tc>
      </w:tr>
      <w:tr w:rsidR="00C81A11">
        <w:trPr>
          <w:jc w:val="center"/>
        </w:trPr>
        <w:tc>
          <w:tcPr>
            <w:tcW w:w="1701" w:type="dxa"/>
            <w:vAlign w:val="center"/>
          </w:tcPr>
          <w:p w:rsidR="00C81A11" w:rsidRDefault="00681960">
            <w:pPr>
              <w:jc w:val="left"/>
            </w:pPr>
            <w:r>
              <w:rPr>
                <w:color w:val="000000"/>
                <w:sz w:val="24"/>
                <w:szCs w:val="24"/>
              </w:rPr>
              <w:t>自基金合同生效至今</w:t>
            </w:r>
          </w:p>
        </w:tc>
        <w:tc>
          <w:tcPr>
            <w:tcW w:w="1045" w:type="dxa"/>
            <w:vAlign w:val="center"/>
          </w:tcPr>
          <w:p w:rsidR="00C81A11" w:rsidRDefault="00681960">
            <w:pPr>
              <w:jc w:val="center"/>
            </w:pPr>
            <w:r>
              <w:rPr>
                <w:color w:val="000000"/>
                <w:sz w:val="24"/>
                <w:szCs w:val="24"/>
              </w:rPr>
              <w:t>727.63%</w:t>
            </w:r>
          </w:p>
        </w:tc>
        <w:tc>
          <w:tcPr>
            <w:tcW w:w="1344" w:type="dxa"/>
            <w:vAlign w:val="center"/>
          </w:tcPr>
          <w:p w:rsidR="00C81A11" w:rsidRDefault="00681960">
            <w:pPr>
              <w:jc w:val="center"/>
            </w:pPr>
            <w:r>
              <w:rPr>
                <w:color w:val="000000"/>
                <w:sz w:val="24"/>
                <w:szCs w:val="24"/>
              </w:rPr>
              <w:t>1.53%</w:t>
            </w:r>
          </w:p>
        </w:tc>
        <w:tc>
          <w:tcPr>
            <w:tcW w:w="1194" w:type="dxa"/>
            <w:vAlign w:val="center"/>
          </w:tcPr>
          <w:p w:rsidR="00C81A11" w:rsidRDefault="00681960">
            <w:pPr>
              <w:jc w:val="center"/>
            </w:pPr>
            <w:r>
              <w:rPr>
                <w:color w:val="000000"/>
                <w:sz w:val="24"/>
                <w:szCs w:val="24"/>
              </w:rPr>
              <w:t>215.59%</w:t>
            </w:r>
          </w:p>
        </w:tc>
        <w:tc>
          <w:tcPr>
            <w:tcW w:w="1492" w:type="dxa"/>
            <w:vAlign w:val="center"/>
          </w:tcPr>
          <w:p w:rsidR="00C81A11" w:rsidRDefault="00681960">
            <w:pPr>
              <w:jc w:val="center"/>
            </w:pPr>
            <w:r>
              <w:rPr>
                <w:color w:val="000000"/>
                <w:sz w:val="24"/>
                <w:szCs w:val="24"/>
              </w:rPr>
              <w:t>1.12%</w:t>
            </w:r>
          </w:p>
        </w:tc>
        <w:tc>
          <w:tcPr>
            <w:tcW w:w="1194" w:type="dxa"/>
            <w:vAlign w:val="center"/>
          </w:tcPr>
          <w:p w:rsidR="00C81A11" w:rsidRDefault="00681960">
            <w:pPr>
              <w:jc w:val="center"/>
            </w:pPr>
            <w:r>
              <w:rPr>
                <w:color w:val="000000"/>
                <w:sz w:val="24"/>
                <w:szCs w:val="24"/>
              </w:rPr>
              <w:t>512.04%</w:t>
            </w:r>
          </w:p>
        </w:tc>
        <w:tc>
          <w:tcPr>
            <w:tcW w:w="898" w:type="dxa"/>
            <w:vAlign w:val="center"/>
          </w:tcPr>
          <w:p w:rsidR="00C81A11" w:rsidRDefault="00681960">
            <w:pPr>
              <w:jc w:val="center"/>
            </w:pPr>
            <w:r>
              <w:rPr>
                <w:color w:val="000000"/>
                <w:sz w:val="24"/>
                <w:szCs w:val="24"/>
              </w:rPr>
              <w:t>0.41%</w:t>
            </w:r>
          </w:p>
        </w:tc>
      </w:tr>
    </w:tbl>
    <w:p w:rsidR="00C81A11" w:rsidRDefault="00681960">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、本基金业绩比较基准自</w:t>
      </w:r>
      <w:r>
        <w:rPr>
          <w:color w:val="000000"/>
          <w:sz w:val="24"/>
          <w:szCs w:val="24"/>
        </w:rPr>
        <w:t>2013</w:t>
      </w:r>
      <w:r>
        <w:rPr>
          <w:color w:val="000000"/>
          <w:sz w:val="24"/>
          <w:szCs w:val="24"/>
        </w:rPr>
        <w:t>年</w:t>
      </w:r>
      <w:r>
        <w:rPr>
          <w:color w:val="000000"/>
          <w:sz w:val="24"/>
          <w:szCs w:val="24"/>
        </w:rPr>
        <w:t>7</w:t>
      </w:r>
      <w:r>
        <w:rPr>
          <w:color w:val="000000"/>
          <w:sz w:val="24"/>
          <w:szCs w:val="24"/>
        </w:rPr>
        <w:t>月</w:t>
      </w:r>
      <w:r>
        <w:rPr>
          <w:color w:val="000000"/>
          <w:sz w:val="24"/>
          <w:szCs w:val="24"/>
        </w:rPr>
        <w:t>1</w:t>
      </w:r>
      <w:r>
        <w:rPr>
          <w:color w:val="000000"/>
          <w:sz w:val="24"/>
          <w:szCs w:val="24"/>
        </w:rPr>
        <w:t>日起，由</w:t>
      </w:r>
      <w:r>
        <w:rPr>
          <w:color w:val="000000"/>
          <w:sz w:val="24"/>
          <w:szCs w:val="24"/>
        </w:rPr>
        <w:t>“65%×MSCI</w:t>
      </w:r>
      <w:r>
        <w:rPr>
          <w:color w:val="000000"/>
          <w:sz w:val="24"/>
          <w:szCs w:val="24"/>
        </w:rPr>
        <w:t>中国</w:t>
      </w:r>
      <w:r>
        <w:rPr>
          <w:color w:val="000000"/>
          <w:sz w:val="24"/>
          <w:szCs w:val="24"/>
        </w:rPr>
        <w:t>A</w:t>
      </w:r>
      <w:r>
        <w:rPr>
          <w:color w:val="000000"/>
          <w:sz w:val="24"/>
          <w:szCs w:val="24"/>
        </w:rPr>
        <w:t>股指数</w:t>
      </w:r>
      <w:r>
        <w:rPr>
          <w:color w:val="000000"/>
          <w:sz w:val="24"/>
          <w:szCs w:val="24"/>
        </w:rPr>
        <w:t>+35%×</w:t>
      </w:r>
      <w:r>
        <w:rPr>
          <w:color w:val="000000"/>
          <w:sz w:val="24"/>
          <w:szCs w:val="24"/>
        </w:rPr>
        <w:t>新华巴克莱资本中国全债指数</w:t>
      </w:r>
      <w:r>
        <w:rPr>
          <w:color w:val="000000"/>
          <w:sz w:val="24"/>
          <w:szCs w:val="24"/>
        </w:rPr>
        <w:t>”</w:t>
      </w:r>
      <w:r>
        <w:rPr>
          <w:color w:val="000000"/>
          <w:sz w:val="24"/>
          <w:szCs w:val="24"/>
        </w:rPr>
        <w:t>变更为</w:t>
      </w:r>
      <w:r>
        <w:rPr>
          <w:color w:val="000000"/>
          <w:sz w:val="24"/>
          <w:szCs w:val="24"/>
        </w:rPr>
        <w:t>“65%×MSCI</w:t>
      </w:r>
      <w:r>
        <w:rPr>
          <w:color w:val="000000"/>
          <w:sz w:val="24"/>
          <w:szCs w:val="24"/>
        </w:rPr>
        <w:t>中国</w:t>
      </w:r>
      <w:r>
        <w:rPr>
          <w:color w:val="000000"/>
          <w:sz w:val="24"/>
          <w:szCs w:val="24"/>
        </w:rPr>
        <w:t>A</w:t>
      </w:r>
      <w:r>
        <w:rPr>
          <w:color w:val="000000"/>
          <w:sz w:val="24"/>
          <w:szCs w:val="24"/>
        </w:rPr>
        <w:t>股指数</w:t>
      </w:r>
      <w:r>
        <w:rPr>
          <w:color w:val="000000"/>
          <w:sz w:val="24"/>
          <w:szCs w:val="24"/>
        </w:rPr>
        <w:t>+35%×</w:t>
      </w:r>
      <w:r>
        <w:rPr>
          <w:color w:val="000000"/>
          <w:sz w:val="24"/>
          <w:szCs w:val="24"/>
        </w:rPr>
        <w:t>中信标普全债指</w:t>
      </w:r>
      <w:r>
        <w:rPr>
          <w:color w:val="000000"/>
          <w:sz w:val="24"/>
          <w:szCs w:val="24"/>
        </w:rPr>
        <w:lastRenderedPageBreak/>
        <w:t>数</w:t>
      </w:r>
      <w:r>
        <w:rPr>
          <w:color w:val="000000"/>
          <w:sz w:val="24"/>
          <w:szCs w:val="24"/>
        </w:rPr>
        <w:t>”</w:t>
      </w:r>
      <w:r>
        <w:rPr>
          <w:color w:val="000000"/>
          <w:sz w:val="24"/>
          <w:szCs w:val="24"/>
        </w:rPr>
        <w:t>，</w:t>
      </w:r>
      <w:r>
        <w:rPr>
          <w:color w:val="000000"/>
          <w:sz w:val="24"/>
          <w:szCs w:val="24"/>
        </w:rPr>
        <w:t>3.2.2</w:t>
      </w:r>
      <w:r>
        <w:rPr>
          <w:color w:val="000000"/>
          <w:sz w:val="24"/>
          <w:szCs w:val="24"/>
        </w:rPr>
        <w:t>同。详情见本基金管理人于</w:t>
      </w:r>
      <w:r>
        <w:rPr>
          <w:color w:val="000000"/>
          <w:sz w:val="24"/>
          <w:szCs w:val="24"/>
        </w:rPr>
        <w:t>2013</w:t>
      </w:r>
      <w:r>
        <w:rPr>
          <w:color w:val="000000"/>
          <w:sz w:val="24"/>
          <w:szCs w:val="24"/>
        </w:rPr>
        <w:t>年</w:t>
      </w:r>
      <w:r>
        <w:rPr>
          <w:color w:val="000000"/>
          <w:sz w:val="24"/>
          <w:szCs w:val="24"/>
        </w:rPr>
        <w:t>6</w:t>
      </w:r>
      <w:r>
        <w:rPr>
          <w:color w:val="000000"/>
          <w:sz w:val="24"/>
          <w:szCs w:val="24"/>
        </w:rPr>
        <w:t>月</w:t>
      </w:r>
      <w:r>
        <w:rPr>
          <w:color w:val="000000"/>
          <w:sz w:val="24"/>
          <w:szCs w:val="24"/>
        </w:rPr>
        <w:t>26</w:t>
      </w:r>
      <w:r>
        <w:rPr>
          <w:color w:val="000000"/>
          <w:sz w:val="24"/>
          <w:szCs w:val="24"/>
        </w:rPr>
        <w:t>日发布的《交银施罗德基金管理有限公司关于变更交银施罗德稳健配置混合型证券投资基金业绩比较基准并修改基金合同相关内容的公告》。</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“65%×MSCI</w:t>
      </w:r>
      <w:r w:rsidRPr="00414345">
        <w:rPr>
          <w:color w:val="000000"/>
          <w:sz w:val="24"/>
          <w:szCs w:val="24"/>
        </w:rPr>
        <w:t>中国</w:t>
      </w:r>
      <w:r w:rsidRPr="00414345">
        <w:rPr>
          <w:color w:val="000000"/>
          <w:sz w:val="24"/>
          <w:szCs w:val="24"/>
        </w:rPr>
        <w:t>A</w:t>
      </w:r>
      <w:r w:rsidRPr="00414345">
        <w:rPr>
          <w:color w:val="000000"/>
          <w:sz w:val="24"/>
          <w:szCs w:val="24"/>
        </w:rPr>
        <w:t>股指数</w:t>
      </w:r>
      <w:r w:rsidRPr="00414345">
        <w:rPr>
          <w:color w:val="000000"/>
          <w:sz w:val="24"/>
          <w:szCs w:val="24"/>
        </w:rPr>
        <w:t>+35%×</w:t>
      </w:r>
      <w:r w:rsidRPr="00414345">
        <w:rPr>
          <w:color w:val="000000"/>
          <w:sz w:val="24"/>
          <w:szCs w:val="24"/>
        </w:rPr>
        <w:t>中信标普全债指数</w:t>
      </w:r>
      <w:r w:rsidRPr="00414345">
        <w:rPr>
          <w:color w:val="000000"/>
          <w:sz w:val="24"/>
          <w:szCs w:val="24"/>
        </w:rPr>
        <w:t>”</w:t>
      </w:r>
      <w:r w:rsidRPr="00414345">
        <w:rPr>
          <w:color w:val="000000"/>
          <w:sz w:val="24"/>
          <w:szCs w:val="24"/>
        </w:rPr>
        <w:t>变更为</w:t>
      </w:r>
      <w:r w:rsidRPr="00414345">
        <w:rPr>
          <w:color w:val="000000"/>
          <w:sz w:val="24"/>
          <w:szCs w:val="24"/>
        </w:rPr>
        <w:t>“65%×MSCI</w:t>
      </w:r>
      <w:r w:rsidRPr="00414345">
        <w:rPr>
          <w:color w:val="000000"/>
          <w:sz w:val="24"/>
          <w:szCs w:val="24"/>
        </w:rPr>
        <w:t>中国</w:t>
      </w:r>
      <w:r w:rsidRPr="00414345">
        <w:rPr>
          <w:color w:val="000000"/>
          <w:sz w:val="24"/>
          <w:szCs w:val="24"/>
        </w:rPr>
        <w:t>A</w:t>
      </w:r>
      <w:r w:rsidRPr="00414345">
        <w:rPr>
          <w:color w:val="000000"/>
          <w:sz w:val="24"/>
          <w:szCs w:val="24"/>
        </w:rPr>
        <w:t>股指数</w:t>
      </w:r>
      <w:r w:rsidRPr="00414345">
        <w:rPr>
          <w:color w:val="000000"/>
          <w:sz w:val="24"/>
          <w:szCs w:val="24"/>
        </w:rPr>
        <w:t>+35%×</w:t>
      </w:r>
      <w:r w:rsidRPr="00414345">
        <w:rPr>
          <w:color w:val="000000"/>
          <w:sz w:val="24"/>
          <w:szCs w:val="24"/>
        </w:rPr>
        <w:t>中证综合债券指数</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交银施罗德稳健配置混合型证券投资基金</w:t>
      </w:r>
    </w:p>
    <w:p w:rsidR="004061AC" w:rsidRPr="00414345" w:rsidRDefault="00B56F53" w:rsidP="00C15CAC">
      <w:pPr>
        <w:pStyle w:val="a6"/>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6"/>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2006</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6</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14</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2020</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12</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6"/>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proofErr w:type="gramStart"/>
            <w:r w:rsidRPr="00414345">
              <w:rPr>
                <w:color w:val="000000"/>
                <w:kern w:val="0"/>
                <w:sz w:val="24"/>
                <w:szCs w:val="24"/>
              </w:rPr>
              <w:t>任本基金</w:t>
            </w:r>
            <w:proofErr w:type="gramEnd"/>
            <w:r w:rsidRPr="00414345">
              <w:rPr>
                <w:color w:val="000000"/>
                <w:kern w:val="0"/>
                <w:sz w:val="24"/>
                <w:szCs w:val="24"/>
              </w:rPr>
              <w:t>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C81A11">
        <w:trPr>
          <w:jc w:val="center"/>
        </w:trPr>
        <w:tc>
          <w:tcPr>
            <w:tcW w:w="846" w:type="dxa"/>
            <w:vAlign w:val="center"/>
          </w:tcPr>
          <w:p w:rsidR="00C81A11" w:rsidRDefault="00681960">
            <w:pPr>
              <w:jc w:val="center"/>
            </w:pPr>
            <w:r>
              <w:rPr>
                <w:color w:val="000000"/>
                <w:sz w:val="24"/>
                <w:szCs w:val="24"/>
              </w:rPr>
              <w:t>陈孜铎</w:t>
            </w:r>
          </w:p>
        </w:tc>
        <w:tc>
          <w:tcPr>
            <w:tcW w:w="845" w:type="dxa"/>
            <w:vAlign w:val="center"/>
          </w:tcPr>
          <w:p w:rsidR="00C81A11" w:rsidRDefault="00681960">
            <w:pPr>
              <w:jc w:val="center"/>
            </w:pPr>
            <w:r>
              <w:rPr>
                <w:color w:val="000000"/>
                <w:sz w:val="24"/>
                <w:szCs w:val="24"/>
              </w:rPr>
              <w:t>交银稳健配置混合的基金经理，公司研究部助理总经理</w:t>
            </w:r>
          </w:p>
        </w:tc>
        <w:tc>
          <w:tcPr>
            <w:tcW w:w="1549" w:type="dxa"/>
            <w:vAlign w:val="center"/>
          </w:tcPr>
          <w:p w:rsidR="00C81A11" w:rsidRDefault="00681960">
            <w:pPr>
              <w:jc w:val="center"/>
            </w:pPr>
            <w:r>
              <w:rPr>
                <w:color w:val="000000"/>
                <w:sz w:val="24"/>
                <w:szCs w:val="24"/>
              </w:rPr>
              <w:t>2018-07-04</w:t>
            </w:r>
          </w:p>
        </w:tc>
        <w:tc>
          <w:tcPr>
            <w:tcW w:w="1548" w:type="dxa"/>
            <w:vAlign w:val="center"/>
          </w:tcPr>
          <w:p w:rsidR="00C81A11" w:rsidRDefault="00681960">
            <w:pPr>
              <w:jc w:val="center"/>
            </w:pPr>
            <w:r>
              <w:rPr>
                <w:color w:val="000000"/>
                <w:sz w:val="24"/>
                <w:szCs w:val="24"/>
              </w:rPr>
              <w:t>-</w:t>
            </w:r>
          </w:p>
        </w:tc>
        <w:tc>
          <w:tcPr>
            <w:tcW w:w="1407" w:type="dxa"/>
            <w:vAlign w:val="center"/>
          </w:tcPr>
          <w:p w:rsidR="00C81A11" w:rsidRDefault="00681960">
            <w:pPr>
              <w:jc w:val="center"/>
            </w:pPr>
            <w:r>
              <w:rPr>
                <w:color w:val="000000"/>
                <w:sz w:val="24"/>
                <w:szCs w:val="24"/>
              </w:rPr>
              <w:t>12</w:t>
            </w:r>
            <w:r>
              <w:rPr>
                <w:color w:val="000000"/>
                <w:sz w:val="24"/>
                <w:szCs w:val="24"/>
              </w:rPr>
              <w:t>年</w:t>
            </w:r>
          </w:p>
        </w:tc>
        <w:tc>
          <w:tcPr>
            <w:tcW w:w="2673" w:type="dxa"/>
            <w:vAlign w:val="center"/>
          </w:tcPr>
          <w:p w:rsidR="00C81A11" w:rsidRDefault="00681960">
            <w:r>
              <w:rPr>
                <w:color w:val="000000"/>
                <w:sz w:val="24"/>
                <w:szCs w:val="24"/>
              </w:rPr>
              <w:t>陈孜铎先生，清华大学材料科学与工程硕士。</w:t>
            </w:r>
            <w:r>
              <w:rPr>
                <w:color w:val="000000"/>
                <w:sz w:val="24"/>
                <w:szCs w:val="24"/>
              </w:rPr>
              <w:t>2008</w:t>
            </w:r>
            <w:r>
              <w:rPr>
                <w:color w:val="000000"/>
                <w:sz w:val="24"/>
                <w:szCs w:val="24"/>
              </w:rPr>
              <w:t>年加入交银施罗德基金管理有限公司，历任行业分析师、高级研究员。</w:t>
            </w:r>
            <w:r>
              <w:rPr>
                <w:color w:val="000000"/>
                <w:sz w:val="24"/>
                <w:szCs w:val="24"/>
              </w:rPr>
              <w:t>2014</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日至</w:t>
            </w:r>
            <w:r>
              <w:rPr>
                <w:color w:val="000000"/>
                <w:sz w:val="24"/>
                <w:szCs w:val="24"/>
              </w:rPr>
              <w:t>2019</w:t>
            </w:r>
            <w:r>
              <w:rPr>
                <w:color w:val="000000"/>
                <w:sz w:val="24"/>
                <w:szCs w:val="24"/>
              </w:rPr>
              <w:t>年</w:t>
            </w:r>
            <w:r>
              <w:rPr>
                <w:color w:val="000000"/>
                <w:sz w:val="24"/>
                <w:szCs w:val="24"/>
              </w:rPr>
              <w:t>1</w:t>
            </w:r>
            <w:r>
              <w:rPr>
                <w:color w:val="000000"/>
                <w:sz w:val="24"/>
                <w:szCs w:val="24"/>
              </w:rPr>
              <w:t>月</w:t>
            </w:r>
            <w:r>
              <w:rPr>
                <w:color w:val="000000"/>
                <w:sz w:val="24"/>
                <w:szCs w:val="24"/>
              </w:rPr>
              <w:t>28</w:t>
            </w:r>
            <w:r>
              <w:rPr>
                <w:color w:val="000000"/>
                <w:sz w:val="24"/>
                <w:szCs w:val="24"/>
              </w:rPr>
              <w:t>日担任交银施罗德蓝筹混合型证券投资基金的基金经理。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C81A11" w:rsidRDefault="00681960">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本公司制定了严格的投资控制制度和公平交易监控制度来保证旗下基金运作的公平，旗下所管理的所有资产组合，包括证券投资基金和私募资产管理计划均严格遵循制度进行公平交易。</w:t>
      </w:r>
    </w:p>
    <w:p w:rsidR="00C81A11" w:rsidRDefault="00681960">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价格优先、时间优先</w:t>
      </w:r>
      <w:r>
        <w:rPr>
          <w:color w:val="000000"/>
          <w:sz w:val="24"/>
          <w:szCs w:val="24"/>
        </w:rPr>
        <w:t>”</w:t>
      </w:r>
      <w:r>
        <w:rPr>
          <w:color w:val="000000"/>
          <w:sz w:val="24"/>
          <w:szCs w:val="24"/>
        </w:rPr>
        <w:t>的原则，全部通过交易系统进行比例分配；对于非集中竞价交易、以公司名义进行的场外交易，遵循公平交易分配原则对交易结果进行分配。</w:t>
      </w:r>
    </w:p>
    <w:p w:rsidR="00C81A11" w:rsidRDefault="00681960">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w:t>
      </w:r>
      <w:r>
        <w:rPr>
          <w:color w:val="000000"/>
          <w:sz w:val="24"/>
          <w:szCs w:val="24"/>
        </w:rPr>
        <w:t>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lastRenderedPageBreak/>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C81A11" w:rsidRDefault="00681960">
      <w:pPr>
        <w:spacing w:before="29" w:line="288" w:lineRule="auto"/>
        <w:ind w:firstLineChars="200" w:firstLine="480"/>
        <w:rPr>
          <w:color w:val="000000"/>
          <w:sz w:val="24"/>
          <w:szCs w:val="24"/>
        </w:rPr>
      </w:pPr>
      <w:r>
        <w:rPr>
          <w:color w:val="000000"/>
          <w:sz w:val="24"/>
          <w:szCs w:val="24"/>
        </w:rPr>
        <w:t>2020</w:t>
      </w:r>
      <w:r>
        <w:rPr>
          <w:color w:val="000000"/>
          <w:sz w:val="24"/>
          <w:szCs w:val="24"/>
        </w:rPr>
        <w:t>年四季度，整个</w:t>
      </w:r>
      <w:r>
        <w:rPr>
          <w:color w:val="000000"/>
          <w:sz w:val="24"/>
          <w:szCs w:val="24"/>
        </w:rPr>
        <w:t>A</w:t>
      </w:r>
      <w:r>
        <w:rPr>
          <w:color w:val="000000"/>
          <w:sz w:val="24"/>
          <w:szCs w:val="24"/>
        </w:rPr>
        <w:t>股市场整体呈继续上行走势。随着中国疫情影响逐步减弱，市场对中国经济增速回到潜在水平得以确认，同时在海外经济有所企稳的情况下，出口拉动部分相关行业基本面有所回升，整体</w:t>
      </w:r>
      <w:r>
        <w:rPr>
          <w:color w:val="000000"/>
          <w:sz w:val="24"/>
          <w:szCs w:val="24"/>
        </w:rPr>
        <w:t>A</w:t>
      </w:r>
      <w:r>
        <w:rPr>
          <w:color w:val="000000"/>
          <w:sz w:val="24"/>
          <w:szCs w:val="24"/>
        </w:rPr>
        <w:t>股估值继续回升，消费类表现尤为明显，新经济估值</w:t>
      </w:r>
      <w:proofErr w:type="gramStart"/>
      <w:r>
        <w:rPr>
          <w:color w:val="000000"/>
          <w:sz w:val="24"/>
          <w:szCs w:val="24"/>
        </w:rPr>
        <w:t>沿历史</w:t>
      </w:r>
      <w:proofErr w:type="gramEnd"/>
      <w:r>
        <w:rPr>
          <w:color w:val="000000"/>
          <w:sz w:val="24"/>
          <w:szCs w:val="24"/>
        </w:rPr>
        <w:t>最高水平继续扩张，与宏观相关联的传统白马蓝筹估值修复，但整体相对水平仍接近历史下缘。</w:t>
      </w:r>
    </w:p>
    <w:p w:rsidR="00C81A11" w:rsidRDefault="00681960">
      <w:pPr>
        <w:spacing w:before="29" w:line="288" w:lineRule="auto"/>
        <w:ind w:firstLineChars="200" w:firstLine="480"/>
        <w:rPr>
          <w:color w:val="000000"/>
          <w:sz w:val="24"/>
          <w:szCs w:val="24"/>
        </w:rPr>
      </w:pPr>
      <w:r>
        <w:rPr>
          <w:color w:val="000000"/>
          <w:sz w:val="24"/>
          <w:szCs w:val="24"/>
        </w:rPr>
        <w:t>在市场回暖的过程中，考虑到整体市场的估值水平分裂到历史极值，组合收缩了风险偏好较高类资产</w:t>
      </w:r>
      <w:proofErr w:type="gramStart"/>
      <w:r>
        <w:rPr>
          <w:color w:val="000000"/>
          <w:sz w:val="24"/>
          <w:szCs w:val="24"/>
        </w:rPr>
        <w:t>仓位</w:t>
      </w:r>
      <w:proofErr w:type="gramEnd"/>
      <w:r>
        <w:rPr>
          <w:color w:val="000000"/>
          <w:sz w:val="24"/>
          <w:szCs w:val="24"/>
        </w:rPr>
        <w:t>的配置，整体</w:t>
      </w:r>
      <w:proofErr w:type="gramStart"/>
      <w:r>
        <w:rPr>
          <w:color w:val="000000"/>
          <w:sz w:val="24"/>
          <w:szCs w:val="24"/>
        </w:rPr>
        <w:t>仓位</w:t>
      </w:r>
      <w:proofErr w:type="gramEnd"/>
      <w:r>
        <w:rPr>
          <w:color w:val="000000"/>
          <w:sz w:val="24"/>
          <w:szCs w:val="24"/>
        </w:rPr>
        <w:t>有所下降，实现了绝对收益，但相对</w:t>
      </w:r>
      <w:r>
        <w:rPr>
          <w:color w:val="000000"/>
          <w:sz w:val="24"/>
          <w:szCs w:val="24"/>
        </w:rPr>
        <w:t>收益水平不佳。</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从疫情在全球持续蔓延，全球市场在局部景气领域表现出持续性的资金推动性的估值扩张，整个市场的估值体系分化依然保持在历史比较大的区域，严重偏离了基本面的中期背景。在中国经济增长基本恢复到了接近潜在增速的位置后，市场流动性的宽松趋势拐点得以确认。在这种情况下，未来一年估值对股票价格的影响预计将小于基本面对股票价格的影响。在这种情况下，我们更需要思考疫情爆发对整个中国和全球经济格局的中期影响，而对风险偏好在局部区域的持续放大继续持谨慎态度，同时对各个行业板块公司的基本面趋势更为关注。</w:t>
      </w:r>
      <w:r w:rsidRPr="00414345">
        <w:rPr>
          <w:color w:val="000000"/>
          <w:sz w:val="24"/>
          <w:szCs w:val="24"/>
        </w:rPr>
        <w:t>2020</w:t>
      </w:r>
      <w:r w:rsidRPr="00414345">
        <w:rPr>
          <w:color w:val="000000"/>
          <w:sz w:val="24"/>
          <w:szCs w:val="24"/>
        </w:rPr>
        <w:t>年整体高估值风格从年初延续到年尾，而低估值行业持续受到市场压制。从资产配置的角度，股票价格与价值能否形成互为因果的推动逻辑值得思考。在上述基本判断下，我们将更为关心估值的中期合理性以及行业、公司实质性的基本面变化，本基金将努力寻找在底部的价值品种，受益于政策导向的品种以及产业潜力及竞争力具备优势的品种进行布局，努力为投资者持续创造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“3.1</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 xml:space="preserve">“3.2.1 </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lastRenderedPageBreak/>
        <w:t>金额单位：人民币元</w:t>
      </w:r>
    </w:p>
    <w:tbl>
      <w:tblPr>
        <w:tblStyle w:val="aff2"/>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18138B">
              <w:rPr>
                <w:rFonts w:eastAsiaTheme="minorEastAsia" w:hint="eastAsia"/>
                <w:color w:val="000000" w:themeColor="text1"/>
                <w:sz w:val="24"/>
                <w:szCs w:val="24"/>
              </w:rPr>
              <w:t>(</w:t>
            </w:r>
            <w:r w:rsidR="0018138B">
              <w:rPr>
                <w:rFonts w:eastAsiaTheme="minorEastAsia"/>
                <w:color w:val="000000" w:themeColor="text1"/>
                <w:sz w:val="24"/>
                <w:szCs w:val="24"/>
              </w:rPr>
              <w:t>%</w:t>
            </w:r>
            <w:r w:rsidR="0018138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2,227,376,142.58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65.71</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2,227,376,142.58</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65.71</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193,411,097.34</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5.71</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193,411,097.34</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5.71</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w:t>
            </w:r>
            <w:proofErr w:type="gramStart"/>
            <w:r w:rsidRPr="007B5F21">
              <w:rPr>
                <w:rFonts w:eastAsiaTheme="minorEastAsia"/>
                <w:color w:val="000000" w:themeColor="text1"/>
                <w:sz w:val="24"/>
                <w:szCs w:val="24"/>
              </w:rPr>
              <w:t>品投资</w:t>
            </w:r>
            <w:proofErr w:type="gramEnd"/>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965,256,832.47</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28.47</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3,809,657.00</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0.11</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3,389,853,729.39</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1,098,760,179.81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32.86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21,345,000.00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0.64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lastRenderedPageBreak/>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16,322.72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48,511.38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107,720,910.19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3.22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948,023,803.82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28.35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34,545,000.00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162,705.52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16,705,447.87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0.50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48,261.27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2,227,376,142.58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66.61</w:t>
            </w:r>
          </w:p>
        </w:tc>
      </w:tr>
    </w:tbl>
    <w:p w:rsidR="00531456" w:rsidRDefault="00531456"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f2"/>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C81A11">
        <w:trPr>
          <w:jc w:val="center"/>
        </w:trPr>
        <w:tc>
          <w:tcPr>
            <w:tcW w:w="855" w:type="dxa"/>
            <w:vAlign w:val="center"/>
          </w:tcPr>
          <w:p w:rsidR="00C81A11" w:rsidRDefault="00681960">
            <w:pPr>
              <w:jc w:val="center"/>
            </w:pPr>
            <w:r>
              <w:rPr>
                <w:color w:val="000000"/>
                <w:sz w:val="24"/>
                <w:szCs w:val="24"/>
              </w:rPr>
              <w:t>1</w:t>
            </w:r>
          </w:p>
        </w:tc>
        <w:tc>
          <w:tcPr>
            <w:tcW w:w="1334" w:type="dxa"/>
            <w:vAlign w:val="center"/>
          </w:tcPr>
          <w:p w:rsidR="00C81A11" w:rsidRDefault="00681960">
            <w:pPr>
              <w:jc w:val="center"/>
            </w:pPr>
            <w:r>
              <w:rPr>
                <w:color w:val="000000"/>
                <w:sz w:val="24"/>
                <w:szCs w:val="24"/>
              </w:rPr>
              <w:t>000961</w:t>
            </w:r>
          </w:p>
        </w:tc>
        <w:tc>
          <w:tcPr>
            <w:tcW w:w="1777" w:type="dxa"/>
            <w:vAlign w:val="center"/>
          </w:tcPr>
          <w:p w:rsidR="00C81A11" w:rsidRDefault="00681960">
            <w:pPr>
              <w:jc w:val="center"/>
            </w:pPr>
            <w:r>
              <w:rPr>
                <w:color w:val="000000"/>
                <w:sz w:val="24"/>
                <w:szCs w:val="24"/>
              </w:rPr>
              <w:t>中南建设</w:t>
            </w:r>
          </w:p>
        </w:tc>
        <w:tc>
          <w:tcPr>
            <w:tcW w:w="1334" w:type="dxa"/>
            <w:vAlign w:val="center"/>
          </w:tcPr>
          <w:p w:rsidR="00C81A11" w:rsidRDefault="00681960">
            <w:pPr>
              <w:jc w:val="right"/>
            </w:pPr>
            <w:r>
              <w:rPr>
                <w:color w:val="000000"/>
                <w:sz w:val="24"/>
                <w:szCs w:val="24"/>
              </w:rPr>
              <w:t>33,500,404</w:t>
            </w:r>
          </w:p>
        </w:tc>
        <w:tc>
          <w:tcPr>
            <w:tcW w:w="1924" w:type="dxa"/>
            <w:vAlign w:val="center"/>
          </w:tcPr>
          <w:p w:rsidR="00C81A11" w:rsidRDefault="00681960">
            <w:pPr>
              <w:jc w:val="right"/>
            </w:pPr>
            <w:r>
              <w:rPr>
                <w:color w:val="000000"/>
                <w:sz w:val="24"/>
                <w:szCs w:val="24"/>
              </w:rPr>
              <w:t>295,808,567.32</w:t>
            </w:r>
          </w:p>
        </w:tc>
        <w:tc>
          <w:tcPr>
            <w:tcW w:w="1644" w:type="dxa"/>
            <w:vAlign w:val="center"/>
          </w:tcPr>
          <w:p w:rsidR="00C81A11" w:rsidRDefault="00681960">
            <w:pPr>
              <w:jc w:val="right"/>
            </w:pPr>
            <w:r>
              <w:rPr>
                <w:color w:val="000000"/>
                <w:sz w:val="24"/>
                <w:szCs w:val="24"/>
              </w:rPr>
              <w:t>8.85</w:t>
            </w:r>
          </w:p>
        </w:tc>
      </w:tr>
      <w:tr w:rsidR="00C81A11">
        <w:trPr>
          <w:jc w:val="center"/>
        </w:trPr>
        <w:tc>
          <w:tcPr>
            <w:tcW w:w="855" w:type="dxa"/>
            <w:vAlign w:val="center"/>
          </w:tcPr>
          <w:p w:rsidR="00C81A11" w:rsidRDefault="00681960">
            <w:pPr>
              <w:jc w:val="center"/>
            </w:pPr>
            <w:r>
              <w:rPr>
                <w:color w:val="000000"/>
                <w:sz w:val="24"/>
                <w:szCs w:val="24"/>
              </w:rPr>
              <w:t>2</w:t>
            </w:r>
          </w:p>
        </w:tc>
        <w:tc>
          <w:tcPr>
            <w:tcW w:w="1334" w:type="dxa"/>
            <w:vAlign w:val="center"/>
          </w:tcPr>
          <w:p w:rsidR="00C81A11" w:rsidRDefault="00681960">
            <w:pPr>
              <w:jc w:val="center"/>
            </w:pPr>
            <w:r>
              <w:rPr>
                <w:color w:val="000000"/>
                <w:sz w:val="24"/>
                <w:szCs w:val="24"/>
              </w:rPr>
              <w:t>002049</w:t>
            </w:r>
          </w:p>
        </w:tc>
        <w:tc>
          <w:tcPr>
            <w:tcW w:w="1777" w:type="dxa"/>
            <w:vAlign w:val="center"/>
          </w:tcPr>
          <w:p w:rsidR="00C81A11" w:rsidRDefault="00681960">
            <w:pPr>
              <w:jc w:val="center"/>
            </w:pPr>
            <w:proofErr w:type="gramStart"/>
            <w:r>
              <w:rPr>
                <w:color w:val="000000"/>
                <w:sz w:val="24"/>
                <w:szCs w:val="24"/>
              </w:rPr>
              <w:t>紫光国微</w:t>
            </w:r>
            <w:proofErr w:type="gramEnd"/>
          </w:p>
        </w:tc>
        <w:tc>
          <w:tcPr>
            <w:tcW w:w="1334" w:type="dxa"/>
            <w:vAlign w:val="center"/>
          </w:tcPr>
          <w:p w:rsidR="00C81A11" w:rsidRDefault="00681960">
            <w:pPr>
              <w:jc w:val="right"/>
            </w:pPr>
            <w:r>
              <w:rPr>
                <w:color w:val="000000"/>
                <w:sz w:val="24"/>
                <w:szCs w:val="24"/>
              </w:rPr>
              <w:t>1,759,979</w:t>
            </w:r>
          </w:p>
        </w:tc>
        <w:tc>
          <w:tcPr>
            <w:tcW w:w="1924" w:type="dxa"/>
            <w:vAlign w:val="center"/>
          </w:tcPr>
          <w:p w:rsidR="00C81A11" w:rsidRDefault="00681960">
            <w:pPr>
              <w:jc w:val="right"/>
            </w:pPr>
            <w:r>
              <w:rPr>
                <w:color w:val="000000"/>
                <w:sz w:val="24"/>
                <w:szCs w:val="24"/>
              </w:rPr>
              <w:t>235,502,789.99</w:t>
            </w:r>
          </w:p>
        </w:tc>
        <w:tc>
          <w:tcPr>
            <w:tcW w:w="1644" w:type="dxa"/>
            <w:vAlign w:val="center"/>
          </w:tcPr>
          <w:p w:rsidR="00C81A11" w:rsidRDefault="00681960">
            <w:pPr>
              <w:jc w:val="right"/>
            </w:pPr>
            <w:r>
              <w:rPr>
                <w:color w:val="000000"/>
                <w:sz w:val="24"/>
                <w:szCs w:val="24"/>
              </w:rPr>
              <w:t>7.04</w:t>
            </w:r>
          </w:p>
        </w:tc>
      </w:tr>
      <w:tr w:rsidR="00C81A11">
        <w:trPr>
          <w:jc w:val="center"/>
        </w:trPr>
        <w:tc>
          <w:tcPr>
            <w:tcW w:w="855" w:type="dxa"/>
            <w:vAlign w:val="center"/>
          </w:tcPr>
          <w:p w:rsidR="00C81A11" w:rsidRDefault="00681960">
            <w:pPr>
              <w:jc w:val="center"/>
            </w:pPr>
            <w:r>
              <w:rPr>
                <w:color w:val="000000"/>
                <w:sz w:val="24"/>
                <w:szCs w:val="24"/>
              </w:rPr>
              <w:t>3</w:t>
            </w:r>
          </w:p>
        </w:tc>
        <w:tc>
          <w:tcPr>
            <w:tcW w:w="1334" w:type="dxa"/>
            <w:vAlign w:val="center"/>
          </w:tcPr>
          <w:p w:rsidR="00C81A11" w:rsidRDefault="00681960">
            <w:pPr>
              <w:jc w:val="center"/>
            </w:pPr>
            <w:r>
              <w:rPr>
                <w:color w:val="000000"/>
                <w:sz w:val="24"/>
                <w:szCs w:val="24"/>
              </w:rPr>
              <w:t>000651</w:t>
            </w:r>
          </w:p>
        </w:tc>
        <w:tc>
          <w:tcPr>
            <w:tcW w:w="1777" w:type="dxa"/>
            <w:vAlign w:val="center"/>
          </w:tcPr>
          <w:p w:rsidR="00C81A11" w:rsidRDefault="00681960">
            <w:pPr>
              <w:jc w:val="center"/>
            </w:pPr>
            <w:r>
              <w:rPr>
                <w:color w:val="000000"/>
                <w:sz w:val="24"/>
                <w:szCs w:val="24"/>
              </w:rPr>
              <w:t>格力电器</w:t>
            </w:r>
          </w:p>
        </w:tc>
        <w:tc>
          <w:tcPr>
            <w:tcW w:w="1334" w:type="dxa"/>
            <w:vAlign w:val="center"/>
          </w:tcPr>
          <w:p w:rsidR="00C81A11" w:rsidRDefault="00681960">
            <w:pPr>
              <w:jc w:val="right"/>
            </w:pPr>
            <w:r>
              <w:rPr>
                <w:color w:val="000000"/>
                <w:sz w:val="24"/>
                <w:szCs w:val="24"/>
              </w:rPr>
              <w:t>3,500,000</w:t>
            </w:r>
          </w:p>
        </w:tc>
        <w:tc>
          <w:tcPr>
            <w:tcW w:w="1924" w:type="dxa"/>
            <w:vAlign w:val="center"/>
          </w:tcPr>
          <w:p w:rsidR="00C81A11" w:rsidRDefault="00681960">
            <w:pPr>
              <w:jc w:val="right"/>
            </w:pPr>
            <w:r>
              <w:rPr>
                <w:color w:val="000000"/>
                <w:sz w:val="24"/>
                <w:szCs w:val="24"/>
              </w:rPr>
              <w:t>216,790,000.00</w:t>
            </w:r>
          </w:p>
        </w:tc>
        <w:tc>
          <w:tcPr>
            <w:tcW w:w="1644" w:type="dxa"/>
            <w:vAlign w:val="center"/>
          </w:tcPr>
          <w:p w:rsidR="00C81A11" w:rsidRDefault="00681960">
            <w:pPr>
              <w:jc w:val="right"/>
            </w:pPr>
            <w:r>
              <w:rPr>
                <w:color w:val="000000"/>
                <w:sz w:val="24"/>
                <w:szCs w:val="24"/>
              </w:rPr>
              <w:t>6.48</w:t>
            </w:r>
          </w:p>
        </w:tc>
      </w:tr>
      <w:tr w:rsidR="00C81A11">
        <w:trPr>
          <w:jc w:val="center"/>
        </w:trPr>
        <w:tc>
          <w:tcPr>
            <w:tcW w:w="855" w:type="dxa"/>
            <w:vAlign w:val="center"/>
          </w:tcPr>
          <w:p w:rsidR="00C81A11" w:rsidRDefault="00681960">
            <w:pPr>
              <w:jc w:val="center"/>
            </w:pPr>
            <w:r>
              <w:rPr>
                <w:color w:val="000000"/>
                <w:sz w:val="24"/>
                <w:szCs w:val="24"/>
              </w:rPr>
              <w:t>4</w:t>
            </w:r>
          </w:p>
        </w:tc>
        <w:tc>
          <w:tcPr>
            <w:tcW w:w="1334" w:type="dxa"/>
            <w:vAlign w:val="center"/>
          </w:tcPr>
          <w:p w:rsidR="00C81A11" w:rsidRDefault="00681960">
            <w:pPr>
              <w:jc w:val="center"/>
            </w:pPr>
            <w:r>
              <w:rPr>
                <w:color w:val="000000"/>
                <w:sz w:val="24"/>
                <w:szCs w:val="24"/>
              </w:rPr>
              <w:t>600048</w:t>
            </w:r>
          </w:p>
        </w:tc>
        <w:tc>
          <w:tcPr>
            <w:tcW w:w="1777" w:type="dxa"/>
            <w:vAlign w:val="center"/>
          </w:tcPr>
          <w:p w:rsidR="00C81A11" w:rsidRDefault="00681960">
            <w:pPr>
              <w:jc w:val="center"/>
            </w:pPr>
            <w:r>
              <w:rPr>
                <w:color w:val="000000"/>
                <w:sz w:val="24"/>
                <w:szCs w:val="24"/>
              </w:rPr>
              <w:t>保利地产</w:t>
            </w:r>
          </w:p>
        </w:tc>
        <w:tc>
          <w:tcPr>
            <w:tcW w:w="1334" w:type="dxa"/>
            <w:vAlign w:val="center"/>
          </w:tcPr>
          <w:p w:rsidR="00C81A11" w:rsidRDefault="00681960">
            <w:pPr>
              <w:jc w:val="right"/>
            </w:pPr>
            <w:r>
              <w:rPr>
                <w:color w:val="000000"/>
                <w:sz w:val="24"/>
                <w:szCs w:val="24"/>
              </w:rPr>
              <w:t>12,000,000</w:t>
            </w:r>
          </w:p>
        </w:tc>
        <w:tc>
          <w:tcPr>
            <w:tcW w:w="1924" w:type="dxa"/>
            <w:vAlign w:val="center"/>
          </w:tcPr>
          <w:p w:rsidR="00C81A11" w:rsidRDefault="00681960">
            <w:pPr>
              <w:jc w:val="right"/>
            </w:pPr>
            <w:r>
              <w:rPr>
                <w:color w:val="000000"/>
                <w:sz w:val="24"/>
                <w:szCs w:val="24"/>
              </w:rPr>
              <w:t>189,840,000.00</w:t>
            </w:r>
          </w:p>
        </w:tc>
        <w:tc>
          <w:tcPr>
            <w:tcW w:w="1644" w:type="dxa"/>
            <w:vAlign w:val="center"/>
          </w:tcPr>
          <w:p w:rsidR="00C81A11" w:rsidRDefault="00681960">
            <w:pPr>
              <w:jc w:val="right"/>
            </w:pPr>
            <w:r>
              <w:rPr>
                <w:color w:val="000000"/>
                <w:sz w:val="24"/>
                <w:szCs w:val="24"/>
              </w:rPr>
              <w:t>5.68</w:t>
            </w:r>
          </w:p>
        </w:tc>
      </w:tr>
      <w:tr w:rsidR="00C81A11">
        <w:trPr>
          <w:jc w:val="center"/>
        </w:trPr>
        <w:tc>
          <w:tcPr>
            <w:tcW w:w="855" w:type="dxa"/>
            <w:vAlign w:val="center"/>
          </w:tcPr>
          <w:p w:rsidR="00C81A11" w:rsidRDefault="00681960">
            <w:pPr>
              <w:jc w:val="center"/>
            </w:pPr>
            <w:r>
              <w:rPr>
                <w:color w:val="000000"/>
                <w:sz w:val="24"/>
                <w:szCs w:val="24"/>
              </w:rPr>
              <w:t>5</w:t>
            </w:r>
          </w:p>
        </w:tc>
        <w:tc>
          <w:tcPr>
            <w:tcW w:w="1334" w:type="dxa"/>
            <w:vAlign w:val="center"/>
          </w:tcPr>
          <w:p w:rsidR="00C81A11" w:rsidRDefault="00681960">
            <w:pPr>
              <w:jc w:val="center"/>
            </w:pPr>
            <w:r>
              <w:rPr>
                <w:color w:val="000000"/>
                <w:sz w:val="24"/>
                <w:szCs w:val="24"/>
              </w:rPr>
              <w:t>000671</w:t>
            </w:r>
          </w:p>
        </w:tc>
        <w:tc>
          <w:tcPr>
            <w:tcW w:w="1777" w:type="dxa"/>
            <w:vAlign w:val="center"/>
          </w:tcPr>
          <w:p w:rsidR="00C81A11" w:rsidRDefault="00681960">
            <w:pPr>
              <w:jc w:val="center"/>
            </w:pPr>
            <w:r>
              <w:rPr>
                <w:color w:val="000000"/>
                <w:sz w:val="24"/>
                <w:szCs w:val="24"/>
              </w:rPr>
              <w:t>阳光城</w:t>
            </w:r>
          </w:p>
        </w:tc>
        <w:tc>
          <w:tcPr>
            <w:tcW w:w="1334" w:type="dxa"/>
            <w:vAlign w:val="center"/>
          </w:tcPr>
          <w:p w:rsidR="00C81A11" w:rsidRDefault="00681960">
            <w:pPr>
              <w:jc w:val="right"/>
            </w:pPr>
            <w:r>
              <w:rPr>
                <w:color w:val="000000"/>
                <w:sz w:val="24"/>
                <w:szCs w:val="24"/>
              </w:rPr>
              <w:t>27,005,829</w:t>
            </w:r>
          </w:p>
        </w:tc>
        <w:tc>
          <w:tcPr>
            <w:tcW w:w="1924" w:type="dxa"/>
            <w:vAlign w:val="center"/>
          </w:tcPr>
          <w:p w:rsidR="00C81A11" w:rsidRDefault="00681960">
            <w:pPr>
              <w:jc w:val="right"/>
            </w:pPr>
            <w:r>
              <w:rPr>
                <w:color w:val="000000"/>
                <w:sz w:val="24"/>
                <w:szCs w:val="24"/>
              </w:rPr>
              <w:t>176,078,005.08</w:t>
            </w:r>
          </w:p>
        </w:tc>
        <w:tc>
          <w:tcPr>
            <w:tcW w:w="1644" w:type="dxa"/>
            <w:vAlign w:val="center"/>
          </w:tcPr>
          <w:p w:rsidR="00C81A11" w:rsidRDefault="00681960">
            <w:pPr>
              <w:jc w:val="right"/>
            </w:pPr>
            <w:r>
              <w:rPr>
                <w:color w:val="000000"/>
                <w:sz w:val="24"/>
                <w:szCs w:val="24"/>
              </w:rPr>
              <w:t>5.27</w:t>
            </w:r>
          </w:p>
        </w:tc>
      </w:tr>
      <w:tr w:rsidR="00C81A11">
        <w:trPr>
          <w:jc w:val="center"/>
        </w:trPr>
        <w:tc>
          <w:tcPr>
            <w:tcW w:w="855" w:type="dxa"/>
            <w:vAlign w:val="center"/>
          </w:tcPr>
          <w:p w:rsidR="00C81A11" w:rsidRDefault="00681960">
            <w:pPr>
              <w:jc w:val="center"/>
            </w:pPr>
            <w:r>
              <w:rPr>
                <w:color w:val="000000"/>
                <w:sz w:val="24"/>
                <w:szCs w:val="24"/>
              </w:rPr>
              <w:t>6</w:t>
            </w:r>
          </w:p>
        </w:tc>
        <w:tc>
          <w:tcPr>
            <w:tcW w:w="1334" w:type="dxa"/>
            <w:vAlign w:val="center"/>
          </w:tcPr>
          <w:p w:rsidR="00C81A11" w:rsidRDefault="00681960">
            <w:pPr>
              <w:jc w:val="center"/>
            </w:pPr>
            <w:r>
              <w:rPr>
                <w:color w:val="000000"/>
                <w:sz w:val="24"/>
                <w:szCs w:val="24"/>
              </w:rPr>
              <w:t>000656</w:t>
            </w:r>
          </w:p>
        </w:tc>
        <w:tc>
          <w:tcPr>
            <w:tcW w:w="1777" w:type="dxa"/>
            <w:vAlign w:val="center"/>
          </w:tcPr>
          <w:p w:rsidR="00C81A11" w:rsidRDefault="00681960">
            <w:pPr>
              <w:jc w:val="center"/>
            </w:pPr>
            <w:r>
              <w:rPr>
                <w:color w:val="000000"/>
                <w:sz w:val="24"/>
                <w:szCs w:val="24"/>
              </w:rPr>
              <w:t>金科股份</w:t>
            </w:r>
          </w:p>
        </w:tc>
        <w:tc>
          <w:tcPr>
            <w:tcW w:w="1334" w:type="dxa"/>
            <w:vAlign w:val="center"/>
          </w:tcPr>
          <w:p w:rsidR="00C81A11" w:rsidRDefault="00681960">
            <w:pPr>
              <w:jc w:val="right"/>
            </w:pPr>
            <w:r>
              <w:rPr>
                <w:color w:val="000000"/>
                <w:sz w:val="24"/>
                <w:szCs w:val="24"/>
              </w:rPr>
              <w:t>24,504,753</w:t>
            </w:r>
          </w:p>
        </w:tc>
        <w:tc>
          <w:tcPr>
            <w:tcW w:w="1924" w:type="dxa"/>
            <w:vAlign w:val="center"/>
          </w:tcPr>
          <w:p w:rsidR="00C81A11" w:rsidRDefault="00681960">
            <w:pPr>
              <w:jc w:val="right"/>
            </w:pPr>
            <w:r>
              <w:rPr>
                <w:color w:val="000000"/>
                <w:sz w:val="24"/>
                <w:szCs w:val="24"/>
              </w:rPr>
              <w:t>173,738,698.77</w:t>
            </w:r>
          </w:p>
        </w:tc>
        <w:tc>
          <w:tcPr>
            <w:tcW w:w="1644" w:type="dxa"/>
            <w:vAlign w:val="center"/>
          </w:tcPr>
          <w:p w:rsidR="00C81A11" w:rsidRDefault="00681960">
            <w:pPr>
              <w:jc w:val="right"/>
            </w:pPr>
            <w:r>
              <w:rPr>
                <w:color w:val="000000"/>
                <w:sz w:val="24"/>
                <w:szCs w:val="24"/>
              </w:rPr>
              <w:t>5.20</w:t>
            </w:r>
          </w:p>
        </w:tc>
      </w:tr>
      <w:tr w:rsidR="00C81A11">
        <w:trPr>
          <w:jc w:val="center"/>
        </w:trPr>
        <w:tc>
          <w:tcPr>
            <w:tcW w:w="855" w:type="dxa"/>
            <w:vAlign w:val="center"/>
          </w:tcPr>
          <w:p w:rsidR="00C81A11" w:rsidRDefault="00681960">
            <w:pPr>
              <w:jc w:val="center"/>
            </w:pPr>
            <w:r>
              <w:rPr>
                <w:color w:val="000000"/>
                <w:sz w:val="24"/>
                <w:szCs w:val="24"/>
              </w:rPr>
              <w:t>7</w:t>
            </w:r>
          </w:p>
        </w:tc>
        <w:tc>
          <w:tcPr>
            <w:tcW w:w="1334" w:type="dxa"/>
            <w:vAlign w:val="center"/>
          </w:tcPr>
          <w:p w:rsidR="00C81A11" w:rsidRDefault="00681960">
            <w:pPr>
              <w:jc w:val="center"/>
            </w:pPr>
            <w:r>
              <w:rPr>
                <w:color w:val="000000"/>
                <w:sz w:val="24"/>
                <w:szCs w:val="24"/>
              </w:rPr>
              <w:t>601155</w:t>
            </w:r>
          </w:p>
        </w:tc>
        <w:tc>
          <w:tcPr>
            <w:tcW w:w="1777" w:type="dxa"/>
            <w:vAlign w:val="center"/>
          </w:tcPr>
          <w:p w:rsidR="00C81A11" w:rsidRDefault="00681960">
            <w:pPr>
              <w:jc w:val="center"/>
            </w:pPr>
            <w:r>
              <w:rPr>
                <w:color w:val="000000"/>
                <w:sz w:val="24"/>
                <w:szCs w:val="24"/>
              </w:rPr>
              <w:t>新城控股</w:t>
            </w:r>
          </w:p>
        </w:tc>
        <w:tc>
          <w:tcPr>
            <w:tcW w:w="1334" w:type="dxa"/>
            <w:vAlign w:val="center"/>
          </w:tcPr>
          <w:p w:rsidR="00C81A11" w:rsidRDefault="00681960">
            <w:pPr>
              <w:jc w:val="right"/>
            </w:pPr>
            <w:r>
              <w:rPr>
                <w:color w:val="000000"/>
                <w:sz w:val="24"/>
                <w:szCs w:val="24"/>
              </w:rPr>
              <w:t>3,231,397</w:t>
            </w:r>
          </w:p>
        </w:tc>
        <w:tc>
          <w:tcPr>
            <w:tcW w:w="1924" w:type="dxa"/>
            <w:vAlign w:val="center"/>
          </w:tcPr>
          <w:p w:rsidR="00C81A11" w:rsidRDefault="00681960">
            <w:pPr>
              <w:jc w:val="right"/>
            </w:pPr>
            <w:r>
              <w:rPr>
                <w:color w:val="000000"/>
                <w:sz w:val="24"/>
                <w:szCs w:val="24"/>
              </w:rPr>
              <w:t>112,549,557.51</w:t>
            </w:r>
          </w:p>
        </w:tc>
        <w:tc>
          <w:tcPr>
            <w:tcW w:w="1644" w:type="dxa"/>
            <w:vAlign w:val="center"/>
          </w:tcPr>
          <w:p w:rsidR="00C81A11" w:rsidRDefault="00681960">
            <w:pPr>
              <w:jc w:val="right"/>
            </w:pPr>
            <w:r>
              <w:rPr>
                <w:color w:val="000000"/>
                <w:sz w:val="24"/>
                <w:szCs w:val="24"/>
              </w:rPr>
              <w:t>3.37</w:t>
            </w:r>
          </w:p>
        </w:tc>
      </w:tr>
      <w:tr w:rsidR="00C81A11">
        <w:trPr>
          <w:jc w:val="center"/>
        </w:trPr>
        <w:tc>
          <w:tcPr>
            <w:tcW w:w="855" w:type="dxa"/>
            <w:vAlign w:val="center"/>
          </w:tcPr>
          <w:p w:rsidR="00C81A11" w:rsidRDefault="00681960">
            <w:pPr>
              <w:jc w:val="center"/>
            </w:pPr>
            <w:r>
              <w:rPr>
                <w:color w:val="000000"/>
                <w:sz w:val="24"/>
                <w:szCs w:val="24"/>
              </w:rPr>
              <w:t>8</w:t>
            </w:r>
          </w:p>
        </w:tc>
        <w:tc>
          <w:tcPr>
            <w:tcW w:w="1334" w:type="dxa"/>
            <w:vAlign w:val="center"/>
          </w:tcPr>
          <w:p w:rsidR="00C81A11" w:rsidRDefault="00681960">
            <w:pPr>
              <w:jc w:val="center"/>
            </w:pPr>
            <w:r>
              <w:rPr>
                <w:color w:val="000000"/>
                <w:sz w:val="24"/>
                <w:szCs w:val="24"/>
              </w:rPr>
              <w:t>002050</w:t>
            </w:r>
          </w:p>
        </w:tc>
        <w:tc>
          <w:tcPr>
            <w:tcW w:w="1777" w:type="dxa"/>
            <w:vAlign w:val="center"/>
          </w:tcPr>
          <w:p w:rsidR="00C81A11" w:rsidRDefault="00681960">
            <w:pPr>
              <w:jc w:val="center"/>
            </w:pPr>
            <w:r>
              <w:rPr>
                <w:color w:val="000000"/>
                <w:sz w:val="24"/>
                <w:szCs w:val="24"/>
              </w:rPr>
              <w:t>三</w:t>
            </w:r>
            <w:proofErr w:type="gramStart"/>
            <w:r>
              <w:rPr>
                <w:color w:val="000000"/>
                <w:sz w:val="24"/>
                <w:szCs w:val="24"/>
              </w:rPr>
              <w:t>花智控</w:t>
            </w:r>
            <w:proofErr w:type="gramEnd"/>
          </w:p>
        </w:tc>
        <w:tc>
          <w:tcPr>
            <w:tcW w:w="1334" w:type="dxa"/>
            <w:vAlign w:val="center"/>
          </w:tcPr>
          <w:p w:rsidR="00C81A11" w:rsidRDefault="00681960">
            <w:pPr>
              <w:jc w:val="right"/>
            </w:pPr>
            <w:r>
              <w:rPr>
                <w:color w:val="000000"/>
                <w:sz w:val="24"/>
                <w:szCs w:val="24"/>
              </w:rPr>
              <w:t>3,499,856</w:t>
            </w:r>
          </w:p>
        </w:tc>
        <w:tc>
          <w:tcPr>
            <w:tcW w:w="1924" w:type="dxa"/>
            <w:vAlign w:val="center"/>
          </w:tcPr>
          <w:p w:rsidR="00C81A11" w:rsidRDefault="00681960">
            <w:pPr>
              <w:jc w:val="right"/>
            </w:pPr>
            <w:r>
              <w:rPr>
                <w:color w:val="000000"/>
                <w:sz w:val="24"/>
                <w:szCs w:val="24"/>
              </w:rPr>
              <w:t>86,271,450.40</w:t>
            </w:r>
          </w:p>
        </w:tc>
        <w:tc>
          <w:tcPr>
            <w:tcW w:w="1644" w:type="dxa"/>
            <w:vAlign w:val="center"/>
          </w:tcPr>
          <w:p w:rsidR="00C81A11" w:rsidRDefault="00681960">
            <w:pPr>
              <w:jc w:val="right"/>
            </w:pPr>
            <w:r>
              <w:rPr>
                <w:color w:val="000000"/>
                <w:sz w:val="24"/>
                <w:szCs w:val="24"/>
              </w:rPr>
              <w:t>2.58</w:t>
            </w:r>
          </w:p>
        </w:tc>
      </w:tr>
      <w:tr w:rsidR="00C81A11">
        <w:trPr>
          <w:jc w:val="center"/>
        </w:trPr>
        <w:tc>
          <w:tcPr>
            <w:tcW w:w="855" w:type="dxa"/>
            <w:vAlign w:val="center"/>
          </w:tcPr>
          <w:p w:rsidR="00C81A11" w:rsidRDefault="00681960">
            <w:pPr>
              <w:jc w:val="center"/>
            </w:pPr>
            <w:r>
              <w:rPr>
                <w:color w:val="000000"/>
                <w:sz w:val="24"/>
                <w:szCs w:val="24"/>
              </w:rPr>
              <w:t>9</w:t>
            </w:r>
          </w:p>
        </w:tc>
        <w:tc>
          <w:tcPr>
            <w:tcW w:w="1334" w:type="dxa"/>
            <w:vAlign w:val="center"/>
          </w:tcPr>
          <w:p w:rsidR="00C81A11" w:rsidRDefault="00681960">
            <w:pPr>
              <w:jc w:val="center"/>
            </w:pPr>
            <w:r>
              <w:rPr>
                <w:color w:val="000000"/>
                <w:sz w:val="24"/>
                <w:szCs w:val="24"/>
              </w:rPr>
              <w:t>603517</w:t>
            </w:r>
          </w:p>
        </w:tc>
        <w:tc>
          <w:tcPr>
            <w:tcW w:w="1777" w:type="dxa"/>
            <w:vAlign w:val="center"/>
          </w:tcPr>
          <w:p w:rsidR="00C81A11" w:rsidRDefault="00681960">
            <w:pPr>
              <w:jc w:val="center"/>
            </w:pPr>
            <w:r>
              <w:rPr>
                <w:color w:val="000000"/>
                <w:sz w:val="24"/>
                <w:szCs w:val="24"/>
              </w:rPr>
              <w:t>绝味食品</w:t>
            </w:r>
          </w:p>
        </w:tc>
        <w:tc>
          <w:tcPr>
            <w:tcW w:w="1334" w:type="dxa"/>
            <w:vAlign w:val="center"/>
          </w:tcPr>
          <w:p w:rsidR="00C81A11" w:rsidRDefault="00681960">
            <w:pPr>
              <w:jc w:val="right"/>
            </w:pPr>
            <w:r>
              <w:rPr>
                <w:color w:val="000000"/>
                <w:sz w:val="24"/>
                <w:szCs w:val="24"/>
              </w:rPr>
              <w:t>1,100,000</w:t>
            </w:r>
          </w:p>
        </w:tc>
        <w:tc>
          <w:tcPr>
            <w:tcW w:w="1924" w:type="dxa"/>
            <w:vAlign w:val="center"/>
          </w:tcPr>
          <w:p w:rsidR="00C81A11" w:rsidRDefault="00681960">
            <w:pPr>
              <w:jc w:val="right"/>
            </w:pPr>
            <w:r>
              <w:rPr>
                <w:color w:val="000000"/>
                <w:sz w:val="24"/>
                <w:szCs w:val="24"/>
              </w:rPr>
              <w:t>85,294,000.00</w:t>
            </w:r>
          </w:p>
        </w:tc>
        <w:tc>
          <w:tcPr>
            <w:tcW w:w="1644" w:type="dxa"/>
            <w:vAlign w:val="center"/>
          </w:tcPr>
          <w:p w:rsidR="00C81A11" w:rsidRDefault="00681960">
            <w:pPr>
              <w:jc w:val="right"/>
            </w:pPr>
            <w:r>
              <w:rPr>
                <w:color w:val="000000"/>
                <w:sz w:val="24"/>
                <w:szCs w:val="24"/>
              </w:rPr>
              <w:t>2.55</w:t>
            </w:r>
          </w:p>
        </w:tc>
      </w:tr>
      <w:tr w:rsidR="00C81A11">
        <w:trPr>
          <w:jc w:val="center"/>
        </w:trPr>
        <w:tc>
          <w:tcPr>
            <w:tcW w:w="855" w:type="dxa"/>
            <w:vAlign w:val="center"/>
          </w:tcPr>
          <w:p w:rsidR="00C81A11" w:rsidRDefault="00681960">
            <w:pPr>
              <w:jc w:val="center"/>
            </w:pPr>
            <w:r>
              <w:rPr>
                <w:color w:val="000000"/>
                <w:sz w:val="24"/>
                <w:szCs w:val="24"/>
              </w:rPr>
              <w:lastRenderedPageBreak/>
              <w:t>10</w:t>
            </w:r>
          </w:p>
        </w:tc>
        <w:tc>
          <w:tcPr>
            <w:tcW w:w="1334" w:type="dxa"/>
            <w:vAlign w:val="center"/>
          </w:tcPr>
          <w:p w:rsidR="00C81A11" w:rsidRDefault="00681960">
            <w:pPr>
              <w:jc w:val="center"/>
            </w:pPr>
            <w:r>
              <w:rPr>
                <w:color w:val="000000"/>
                <w:sz w:val="24"/>
                <w:szCs w:val="24"/>
              </w:rPr>
              <w:t>002555</w:t>
            </w:r>
          </w:p>
        </w:tc>
        <w:tc>
          <w:tcPr>
            <w:tcW w:w="1777" w:type="dxa"/>
            <w:vAlign w:val="center"/>
          </w:tcPr>
          <w:p w:rsidR="00C81A11" w:rsidRDefault="00681960">
            <w:pPr>
              <w:jc w:val="center"/>
            </w:pPr>
            <w:proofErr w:type="gramStart"/>
            <w:r>
              <w:rPr>
                <w:color w:val="000000"/>
                <w:sz w:val="24"/>
                <w:szCs w:val="24"/>
              </w:rPr>
              <w:t>三七互娱</w:t>
            </w:r>
            <w:proofErr w:type="gramEnd"/>
          </w:p>
        </w:tc>
        <w:tc>
          <w:tcPr>
            <w:tcW w:w="1334" w:type="dxa"/>
            <w:vAlign w:val="center"/>
          </w:tcPr>
          <w:p w:rsidR="00C81A11" w:rsidRDefault="00681960">
            <w:pPr>
              <w:jc w:val="right"/>
            </w:pPr>
            <w:r>
              <w:rPr>
                <w:color w:val="000000"/>
                <w:sz w:val="24"/>
                <w:szCs w:val="24"/>
              </w:rPr>
              <w:t>2,500,000</w:t>
            </w:r>
          </w:p>
        </w:tc>
        <w:tc>
          <w:tcPr>
            <w:tcW w:w="1924" w:type="dxa"/>
            <w:vAlign w:val="center"/>
          </w:tcPr>
          <w:p w:rsidR="00C81A11" w:rsidRDefault="00681960">
            <w:pPr>
              <w:jc w:val="right"/>
            </w:pPr>
            <w:r>
              <w:rPr>
                <w:color w:val="000000"/>
                <w:sz w:val="24"/>
                <w:szCs w:val="24"/>
              </w:rPr>
              <w:t>78,075,000.00</w:t>
            </w:r>
          </w:p>
        </w:tc>
        <w:tc>
          <w:tcPr>
            <w:tcW w:w="1644" w:type="dxa"/>
            <w:vAlign w:val="center"/>
          </w:tcPr>
          <w:p w:rsidR="00C81A11" w:rsidRDefault="00681960">
            <w:pPr>
              <w:jc w:val="right"/>
            </w:pPr>
            <w:r>
              <w:rPr>
                <w:color w:val="000000"/>
                <w:sz w:val="24"/>
                <w:szCs w:val="24"/>
              </w:rPr>
              <w:t>2.33</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f2"/>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189,954,000.00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5.68</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189,954,000.00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5.68</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proofErr w:type="gramStart"/>
            <w:r w:rsidR="00963F40" w:rsidRPr="00414345">
              <w:rPr>
                <w:color w:val="000000"/>
                <w:sz w:val="24"/>
                <w:szCs w:val="24"/>
              </w:rPr>
              <w:t>券</w:t>
            </w:r>
            <w:proofErr w:type="gramEnd"/>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3,457,097.34</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0.10</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193,411,097.34</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5.78</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f2"/>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C81A11">
        <w:trPr>
          <w:jc w:val="center"/>
        </w:trPr>
        <w:tc>
          <w:tcPr>
            <w:tcW w:w="850" w:type="dxa"/>
            <w:vAlign w:val="center"/>
          </w:tcPr>
          <w:p w:rsidR="00C81A11" w:rsidRDefault="00681960">
            <w:pPr>
              <w:jc w:val="center"/>
            </w:pPr>
            <w:r>
              <w:rPr>
                <w:color w:val="000000"/>
                <w:sz w:val="24"/>
                <w:szCs w:val="24"/>
              </w:rPr>
              <w:t>1</w:t>
            </w:r>
          </w:p>
        </w:tc>
        <w:tc>
          <w:tcPr>
            <w:tcW w:w="1475" w:type="dxa"/>
            <w:vAlign w:val="center"/>
          </w:tcPr>
          <w:p w:rsidR="00C81A11" w:rsidRDefault="00681960">
            <w:pPr>
              <w:jc w:val="center"/>
            </w:pPr>
            <w:r>
              <w:rPr>
                <w:color w:val="000000"/>
                <w:sz w:val="24"/>
                <w:szCs w:val="24"/>
              </w:rPr>
              <w:t>200216</w:t>
            </w:r>
          </w:p>
        </w:tc>
        <w:tc>
          <w:tcPr>
            <w:tcW w:w="1769" w:type="dxa"/>
            <w:vAlign w:val="center"/>
          </w:tcPr>
          <w:p w:rsidR="00C81A11" w:rsidRDefault="00681960">
            <w:pPr>
              <w:jc w:val="center"/>
            </w:pPr>
            <w:r>
              <w:rPr>
                <w:color w:val="000000"/>
                <w:sz w:val="24"/>
                <w:szCs w:val="24"/>
              </w:rPr>
              <w:t>20</w:t>
            </w:r>
            <w:r>
              <w:rPr>
                <w:color w:val="000000"/>
                <w:sz w:val="24"/>
                <w:szCs w:val="24"/>
              </w:rPr>
              <w:t>国开</w:t>
            </w:r>
            <w:r>
              <w:rPr>
                <w:color w:val="000000"/>
                <w:sz w:val="24"/>
                <w:szCs w:val="24"/>
              </w:rPr>
              <w:t>16</w:t>
            </w:r>
          </w:p>
        </w:tc>
        <w:tc>
          <w:tcPr>
            <w:tcW w:w="1387" w:type="dxa"/>
            <w:vAlign w:val="center"/>
          </w:tcPr>
          <w:p w:rsidR="00C81A11" w:rsidRDefault="00681960">
            <w:pPr>
              <w:jc w:val="right"/>
            </w:pPr>
            <w:r>
              <w:rPr>
                <w:color w:val="000000"/>
                <w:sz w:val="24"/>
                <w:szCs w:val="24"/>
              </w:rPr>
              <w:t>1,000,000</w:t>
            </w:r>
          </w:p>
        </w:tc>
        <w:tc>
          <w:tcPr>
            <w:tcW w:w="2150" w:type="dxa"/>
            <w:vAlign w:val="center"/>
          </w:tcPr>
          <w:p w:rsidR="00C81A11" w:rsidRDefault="00681960">
            <w:pPr>
              <w:jc w:val="right"/>
            </w:pPr>
            <w:r>
              <w:rPr>
                <w:color w:val="000000"/>
                <w:sz w:val="24"/>
                <w:szCs w:val="24"/>
              </w:rPr>
              <w:t>100,170,000.00</w:t>
            </w:r>
          </w:p>
        </w:tc>
        <w:tc>
          <w:tcPr>
            <w:tcW w:w="1237" w:type="dxa"/>
            <w:vAlign w:val="center"/>
          </w:tcPr>
          <w:p w:rsidR="00C81A11" w:rsidRDefault="00681960">
            <w:pPr>
              <w:jc w:val="right"/>
            </w:pPr>
            <w:r>
              <w:rPr>
                <w:color w:val="000000"/>
                <w:sz w:val="24"/>
                <w:szCs w:val="24"/>
              </w:rPr>
              <w:t>3.00</w:t>
            </w:r>
          </w:p>
        </w:tc>
      </w:tr>
      <w:tr w:rsidR="00C81A11">
        <w:trPr>
          <w:jc w:val="center"/>
        </w:trPr>
        <w:tc>
          <w:tcPr>
            <w:tcW w:w="850" w:type="dxa"/>
            <w:vAlign w:val="center"/>
          </w:tcPr>
          <w:p w:rsidR="00C81A11" w:rsidRDefault="00681960">
            <w:pPr>
              <w:jc w:val="center"/>
            </w:pPr>
            <w:r>
              <w:rPr>
                <w:color w:val="000000"/>
                <w:sz w:val="24"/>
                <w:szCs w:val="24"/>
              </w:rPr>
              <w:t>2</w:t>
            </w:r>
          </w:p>
        </w:tc>
        <w:tc>
          <w:tcPr>
            <w:tcW w:w="1475" w:type="dxa"/>
            <w:vAlign w:val="center"/>
          </w:tcPr>
          <w:p w:rsidR="00C81A11" w:rsidRDefault="00681960">
            <w:pPr>
              <w:jc w:val="center"/>
            </w:pPr>
            <w:r>
              <w:rPr>
                <w:color w:val="000000"/>
                <w:sz w:val="24"/>
                <w:szCs w:val="24"/>
              </w:rPr>
              <w:t>200406</w:t>
            </w:r>
          </w:p>
        </w:tc>
        <w:tc>
          <w:tcPr>
            <w:tcW w:w="1769" w:type="dxa"/>
            <w:vAlign w:val="center"/>
          </w:tcPr>
          <w:p w:rsidR="00C81A11" w:rsidRDefault="00681960">
            <w:pPr>
              <w:jc w:val="center"/>
            </w:pPr>
            <w:r>
              <w:rPr>
                <w:color w:val="000000"/>
                <w:sz w:val="24"/>
                <w:szCs w:val="24"/>
              </w:rPr>
              <w:t>20</w:t>
            </w:r>
            <w:r>
              <w:rPr>
                <w:color w:val="000000"/>
                <w:sz w:val="24"/>
                <w:szCs w:val="24"/>
              </w:rPr>
              <w:t>农发</w:t>
            </w:r>
            <w:r>
              <w:rPr>
                <w:color w:val="000000"/>
                <w:sz w:val="24"/>
                <w:szCs w:val="24"/>
              </w:rPr>
              <w:t>06</w:t>
            </w:r>
          </w:p>
        </w:tc>
        <w:tc>
          <w:tcPr>
            <w:tcW w:w="1387" w:type="dxa"/>
            <w:vAlign w:val="center"/>
          </w:tcPr>
          <w:p w:rsidR="00C81A11" w:rsidRDefault="00681960">
            <w:pPr>
              <w:jc w:val="right"/>
            </w:pPr>
            <w:r>
              <w:rPr>
                <w:color w:val="000000"/>
                <w:sz w:val="24"/>
                <w:szCs w:val="24"/>
              </w:rPr>
              <w:t>900,000</w:t>
            </w:r>
          </w:p>
        </w:tc>
        <w:tc>
          <w:tcPr>
            <w:tcW w:w="2150" w:type="dxa"/>
            <w:vAlign w:val="center"/>
          </w:tcPr>
          <w:p w:rsidR="00C81A11" w:rsidRDefault="00681960">
            <w:pPr>
              <w:jc w:val="right"/>
            </w:pPr>
            <w:r>
              <w:rPr>
                <w:color w:val="000000"/>
                <w:sz w:val="24"/>
                <w:szCs w:val="24"/>
              </w:rPr>
              <w:t>89,784,000.00</w:t>
            </w:r>
          </w:p>
        </w:tc>
        <w:tc>
          <w:tcPr>
            <w:tcW w:w="1237" w:type="dxa"/>
            <w:vAlign w:val="center"/>
          </w:tcPr>
          <w:p w:rsidR="00C81A11" w:rsidRDefault="00681960">
            <w:pPr>
              <w:jc w:val="right"/>
            </w:pPr>
            <w:r>
              <w:rPr>
                <w:color w:val="000000"/>
                <w:sz w:val="24"/>
                <w:szCs w:val="24"/>
              </w:rPr>
              <w:t>2.68</w:t>
            </w:r>
          </w:p>
        </w:tc>
      </w:tr>
      <w:tr w:rsidR="00C81A11">
        <w:trPr>
          <w:jc w:val="center"/>
        </w:trPr>
        <w:tc>
          <w:tcPr>
            <w:tcW w:w="850" w:type="dxa"/>
            <w:vAlign w:val="center"/>
          </w:tcPr>
          <w:p w:rsidR="00C81A11" w:rsidRDefault="00681960">
            <w:pPr>
              <w:jc w:val="center"/>
            </w:pPr>
            <w:r>
              <w:rPr>
                <w:color w:val="000000"/>
                <w:sz w:val="24"/>
                <w:szCs w:val="24"/>
              </w:rPr>
              <w:t>3</w:t>
            </w:r>
          </w:p>
        </w:tc>
        <w:tc>
          <w:tcPr>
            <w:tcW w:w="1475" w:type="dxa"/>
            <w:vAlign w:val="center"/>
          </w:tcPr>
          <w:p w:rsidR="00C81A11" w:rsidRDefault="00681960">
            <w:pPr>
              <w:jc w:val="center"/>
            </w:pPr>
            <w:r>
              <w:rPr>
                <w:color w:val="000000"/>
                <w:sz w:val="24"/>
                <w:szCs w:val="24"/>
              </w:rPr>
              <w:t>128035</w:t>
            </w:r>
          </w:p>
        </w:tc>
        <w:tc>
          <w:tcPr>
            <w:tcW w:w="1769" w:type="dxa"/>
            <w:vAlign w:val="center"/>
          </w:tcPr>
          <w:p w:rsidR="00C81A11" w:rsidRDefault="00681960">
            <w:pPr>
              <w:jc w:val="center"/>
            </w:pPr>
            <w:r>
              <w:rPr>
                <w:color w:val="000000"/>
                <w:sz w:val="24"/>
                <w:szCs w:val="24"/>
              </w:rPr>
              <w:t>大族转债</w:t>
            </w:r>
          </w:p>
        </w:tc>
        <w:tc>
          <w:tcPr>
            <w:tcW w:w="1387" w:type="dxa"/>
            <w:vAlign w:val="center"/>
          </w:tcPr>
          <w:p w:rsidR="00C81A11" w:rsidRDefault="00681960">
            <w:pPr>
              <w:jc w:val="right"/>
            </w:pPr>
            <w:r>
              <w:rPr>
                <w:color w:val="000000"/>
                <w:sz w:val="24"/>
                <w:szCs w:val="24"/>
              </w:rPr>
              <w:t>31,514</w:t>
            </w:r>
          </w:p>
        </w:tc>
        <w:tc>
          <w:tcPr>
            <w:tcW w:w="2150" w:type="dxa"/>
            <w:vAlign w:val="center"/>
          </w:tcPr>
          <w:p w:rsidR="00C81A11" w:rsidRDefault="00681960">
            <w:pPr>
              <w:jc w:val="right"/>
            </w:pPr>
            <w:r>
              <w:rPr>
                <w:color w:val="000000"/>
                <w:sz w:val="24"/>
                <w:szCs w:val="24"/>
              </w:rPr>
              <w:t>3,454,564.68</w:t>
            </w:r>
          </w:p>
        </w:tc>
        <w:tc>
          <w:tcPr>
            <w:tcW w:w="1237" w:type="dxa"/>
            <w:vAlign w:val="center"/>
          </w:tcPr>
          <w:p w:rsidR="00C81A11" w:rsidRDefault="00681960">
            <w:pPr>
              <w:jc w:val="right"/>
            </w:pPr>
            <w:r>
              <w:rPr>
                <w:color w:val="000000"/>
                <w:sz w:val="24"/>
                <w:szCs w:val="24"/>
              </w:rPr>
              <w:t>0.10</w:t>
            </w:r>
          </w:p>
        </w:tc>
      </w:tr>
      <w:tr w:rsidR="00C81A11">
        <w:trPr>
          <w:jc w:val="center"/>
        </w:trPr>
        <w:tc>
          <w:tcPr>
            <w:tcW w:w="850" w:type="dxa"/>
            <w:vAlign w:val="center"/>
          </w:tcPr>
          <w:p w:rsidR="00C81A11" w:rsidRDefault="00681960">
            <w:pPr>
              <w:jc w:val="center"/>
            </w:pPr>
            <w:r>
              <w:rPr>
                <w:color w:val="000000"/>
                <w:sz w:val="24"/>
                <w:szCs w:val="24"/>
              </w:rPr>
              <w:t>4</w:t>
            </w:r>
          </w:p>
        </w:tc>
        <w:tc>
          <w:tcPr>
            <w:tcW w:w="1475" w:type="dxa"/>
            <w:vAlign w:val="center"/>
          </w:tcPr>
          <w:p w:rsidR="00C81A11" w:rsidRDefault="00681960">
            <w:pPr>
              <w:jc w:val="center"/>
            </w:pPr>
            <w:r>
              <w:rPr>
                <w:color w:val="000000"/>
                <w:sz w:val="24"/>
                <w:szCs w:val="24"/>
              </w:rPr>
              <w:t>128023</w:t>
            </w:r>
          </w:p>
        </w:tc>
        <w:tc>
          <w:tcPr>
            <w:tcW w:w="1769" w:type="dxa"/>
            <w:vAlign w:val="center"/>
          </w:tcPr>
          <w:p w:rsidR="00C81A11" w:rsidRDefault="00681960">
            <w:pPr>
              <w:jc w:val="center"/>
            </w:pPr>
            <w:proofErr w:type="gramStart"/>
            <w:r>
              <w:rPr>
                <w:color w:val="000000"/>
                <w:sz w:val="24"/>
                <w:szCs w:val="24"/>
              </w:rPr>
              <w:t>亚太转</w:t>
            </w:r>
            <w:proofErr w:type="gramEnd"/>
            <w:r>
              <w:rPr>
                <w:color w:val="000000"/>
                <w:sz w:val="24"/>
                <w:szCs w:val="24"/>
              </w:rPr>
              <w:t>债</w:t>
            </w:r>
          </w:p>
        </w:tc>
        <w:tc>
          <w:tcPr>
            <w:tcW w:w="1387" w:type="dxa"/>
            <w:vAlign w:val="center"/>
          </w:tcPr>
          <w:p w:rsidR="00C81A11" w:rsidRDefault="00681960">
            <w:pPr>
              <w:jc w:val="right"/>
            </w:pPr>
            <w:r>
              <w:rPr>
                <w:color w:val="000000"/>
                <w:sz w:val="24"/>
                <w:szCs w:val="24"/>
              </w:rPr>
              <w:t>26</w:t>
            </w:r>
          </w:p>
        </w:tc>
        <w:tc>
          <w:tcPr>
            <w:tcW w:w="2150" w:type="dxa"/>
            <w:vAlign w:val="center"/>
          </w:tcPr>
          <w:p w:rsidR="00C81A11" w:rsidRDefault="00681960">
            <w:pPr>
              <w:jc w:val="right"/>
            </w:pPr>
            <w:r>
              <w:rPr>
                <w:color w:val="000000"/>
                <w:sz w:val="24"/>
                <w:szCs w:val="24"/>
              </w:rPr>
              <w:t>2,532.66</w:t>
            </w:r>
          </w:p>
        </w:tc>
        <w:tc>
          <w:tcPr>
            <w:tcW w:w="1237" w:type="dxa"/>
            <w:vAlign w:val="center"/>
          </w:tcPr>
          <w:p w:rsidR="00C81A11" w:rsidRDefault="00681960">
            <w:pPr>
              <w:jc w:val="right"/>
            </w:pPr>
            <w:r>
              <w:rPr>
                <w:color w:val="000000"/>
                <w:sz w:val="24"/>
                <w:szCs w:val="24"/>
              </w:rPr>
              <w:t>0.00</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531456" w:rsidRDefault="00531456" w:rsidP="00C15CAC">
      <w:pPr>
        <w:autoSpaceDE w:val="0"/>
        <w:autoSpaceDN w:val="0"/>
        <w:adjustRightInd w:val="0"/>
        <w:spacing w:before="29" w:line="288" w:lineRule="auto"/>
        <w:jc w:val="left"/>
        <w:rPr>
          <w:b/>
          <w:bCs/>
          <w:color w:val="000000"/>
          <w:kern w:val="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lastRenderedPageBreak/>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34FB5" w:rsidRDefault="00BE5388" w:rsidP="00E40D31">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AA3969" w:rsidRDefault="00BE5388" w:rsidP="00E40D31">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r w:rsidRPr="00AA3969">
        <w:rPr>
          <w:bCs/>
          <w:color w:val="000000"/>
          <w:kern w:val="0"/>
          <w:sz w:val="24"/>
          <w:szCs w:val="24"/>
        </w:rPr>
        <w:t>本基金投资的前十名股票中，没有超出基金合同规定的备选股票库之外的股票。</w:t>
      </w: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R="00DD7A00" w:rsidRPr="00414345" w:rsidRDefault="004A0AA9" w:rsidP="00DD7A00">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金额单位：人民币元</w:t>
      </w:r>
    </w:p>
    <w:tbl>
      <w:tblPr>
        <w:tblStyle w:val="aff2"/>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1,265,727.09</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1,811,251.00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732,678.91</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3,809,657.00</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R="00173B44" w:rsidRPr="00414345" w:rsidRDefault="00173B44" w:rsidP="00173B44">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金额单位：人民币元</w:t>
      </w:r>
    </w:p>
    <w:tbl>
      <w:tblPr>
        <w:tblStyle w:val="aff2"/>
        <w:tblW w:w="8868" w:type="dxa"/>
        <w:jc w:val="center"/>
        <w:tblLayout w:type="fixed"/>
        <w:tblCellMar>
          <w:top w:w="57" w:type="dxa"/>
          <w:bottom w:w="57" w:type="dxa"/>
        </w:tblCellMar>
        <w:tblLook w:val="04A0" w:firstRow="1" w:lastRow="0" w:firstColumn="1" w:lastColumn="0" w:noHBand="0" w:noVBand="1"/>
      </w:tblPr>
      <w:tblGrid>
        <w:gridCol w:w="1883"/>
        <w:gridCol w:w="1801"/>
        <w:gridCol w:w="1727"/>
        <w:gridCol w:w="1768"/>
        <w:gridCol w:w="1689"/>
      </w:tblGrid>
      <w:tr w:rsidR="003E62FB" w:rsidRPr="00414345" w:rsidTr="00A324F4">
        <w:trPr>
          <w:jc w:val="center"/>
        </w:trPr>
        <w:tc>
          <w:tcPr>
            <w:tcW w:w="180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729"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65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69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62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9D1BD9">
              <w:rPr>
                <w:rFonts w:hint="eastAsia"/>
                <w:color w:val="000000"/>
                <w:sz w:val="24"/>
                <w:szCs w:val="24"/>
              </w:rPr>
              <w:t>(</w:t>
            </w:r>
            <w:r w:rsidR="009D1BD9">
              <w:rPr>
                <w:color w:val="000000"/>
                <w:sz w:val="24"/>
                <w:szCs w:val="24"/>
              </w:rPr>
              <w:t>%</w:t>
            </w:r>
            <w:r w:rsidR="009D1BD9">
              <w:rPr>
                <w:rFonts w:hint="eastAsia"/>
                <w:color w:val="000000"/>
                <w:sz w:val="24"/>
                <w:szCs w:val="24"/>
              </w:rPr>
              <w:t>)</w:t>
            </w:r>
          </w:p>
        </w:tc>
      </w:tr>
      <w:tr w:rsidR="00C81A11">
        <w:trPr>
          <w:jc w:val="center"/>
        </w:trPr>
        <w:tc>
          <w:tcPr>
            <w:tcW w:w="1883" w:type="dxa"/>
            <w:vAlign w:val="center"/>
          </w:tcPr>
          <w:p w:rsidR="00C81A11" w:rsidRDefault="00681960">
            <w:pPr>
              <w:jc w:val="center"/>
            </w:pPr>
            <w:r>
              <w:rPr>
                <w:color w:val="000000"/>
                <w:sz w:val="24"/>
                <w:szCs w:val="24"/>
              </w:rPr>
              <w:t>1</w:t>
            </w:r>
          </w:p>
        </w:tc>
        <w:tc>
          <w:tcPr>
            <w:tcW w:w="1801" w:type="dxa"/>
            <w:vAlign w:val="center"/>
          </w:tcPr>
          <w:p w:rsidR="00C81A11" w:rsidRDefault="00681960">
            <w:pPr>
              <w:jc w:val="center"/>
            </w:pPr>
            <w:r>
              <w:rPr>
                <w:color w:val="000000"/>
                <w:sz w:val="24"/>
                <w:szCs w:val="24"/>
              </w:rPr>
              <w:t>128035</w:t>
            </w:r>
          </w:p>
        </w:tc>
        <w:tc>
          <w:tcPr>
            <w:tcW w:w="1727" w:type="dxa"/>
            <w:vAlign w:val="center"/>
          </w:tcPr>
          <w:p w:rsidR="00C81A11" w:rsidRDefault="00681960">
            <w:pPr>
              <w:jc w:val="center"/>
            </w:pPr>
            <w:r>
              <w:rPr>
                <w:color w:val="000000"/>
                <w:sz w:val="24"/>
                <w:szCs w:val="24"/>
              </w:rPr>
              <w:t>大族转债</w:t>
            </w:r>
          </w:p>
        </w:tc>
        <w:tc>
          <w:tcPr>
            <w:tcW w:w="1768" w:type="dxa"/>
            <w:vAlign w:val="center"/>
          </w:tcPr>
          <w:p w:rsidR="00C81A11" w:rsidRDefault="00681960">
            <w:pPr>
              <w:jc w:val="right"/>
            </w:pPr>
            <w:r>
              <w:rPr>
                <w:color w:val="000000"/>
                <w:sz w:val="24"/>
                <w:szCs w:val="24"/>
              </w:rPr>
              <w:t>3,454,564.68</w:t>
            </w:r>
          </w:p>
        </w:tc>
        <w:tc>
          <w:tcPr>
            <w:tcW w:w="1689" w:type="dxa"/>
            <w:vAlign w:val="center"/>
          </w:tcPr>
          <w:p w:rsidR="00C81A11" w:rsidRDefault="00681960">
            <w:pPr>
              <w:jc w:val="right"/>
            </w:pPr>
            <w:r>
              <w:rPr>
                <w:color w:val="000000"/>
                <w:sz w:val="24"/>
                <w:szCs w:val="24"/>
              </w:rPr>
              <w:t>0.10</w:t>
            </w:r>
          </w:p>
        </w:tc>
      </w:tr>
      <w:tr w:rsidR="00C81A11">
        <w:trPr>
          <w:jc w:val="center"/>
        </w:trPr>
        <w:tc>
          <w:tcPr>
            <w:tcW w:w="1883" w:type="dxa"/>
            <w:vAlign w:val="center"/>
          </w:tcPr>
          <w:p w:rsidR="00C81A11" w:rsidRDefault="00681960">
            <w:pPr>
              <w:jc w:val="center"/>
            </w:pPr>
            <w:r>
              <w:rPr>
                <w:color w:val="000000"/>
                <w:sz w:val="24"/>
                <w:szCs w:val="24"/>
              </w:rPr>
              <w:lastRenderedPageBreak/>
              <w:t>2</w:t>
            </w:r>
          </w:p>
        </w:tc>
        <w:tc>
          <w:tcPr>
            <w:tcW w:w="1801" w:type="dxa"/>
            <w:vAlign w:val="center"/>
          </w:tcPr>
          <w:p w:rsidR="00C81A11" w:rsidRDefault="00681960">
            <w:pPr>
              <w:jc w:val="center"/>
            </w:pPr>
            <w:r>
              <w:rPr>
                <w:color w:val="000000"/>
                <w:sz w:val="24"/>
                <w:szCs w:val="24"/>
              </w:rPr>
              <w:t>128023</w:t>
            </w:r>
          </w:p>
        </w:tc>
        <w:tc>
          <w:tcPr>
            <w:tcW w:w="1727" w:type="dxa"/>
            <w:vAlign w:val="center"/>
          </w:tcPr>
          <w:p w:rsidR="00C81A11" w:rsidRDefault="00681960">
            <w:pPr>
              <w:jc w:val="center"/>
            </w:pPr>
            <w:proofErr w:type="gramStart"/>
            <w:r>
              <w:rPr>
                <w:color w:val="000000"/>
                <w:sz w:val="24"/>
                <w:szCs w:val="24"/>
              </w:rPr>
              <w:t>亚太转</w:t>
            </w:r>
            <w:proofErr w:type="gramEnd"/>
            <w:r>
              <w:rPr>
                <w:color w:val="000000"/>
                <w:sz w:val="24"/>
                <w:szCs w:val="24"/>
              </w:rPr>
              <w:t>债</w:t>
            </w:r>
          </w:p>
        </w:tc>
        <w:tc>
          <w:tcPr>
            <w:tcW w:w="1768" w:type="dxa"/>
            <w:vAlign w:val="center"/>
          </w:tcPr>
          <w:p w:rsidR="00C81A11" w:rsidRDefault="00681960">
            <w:pPr>
              <w:jc w:val="right"/>
            </w:pPr>
            <w:r>
              <w:rPr>
                <w:color w:val="000000"/>
                <w:sz w:val="24"/>
                <w:szCs w:val="24"/>
              </w:rPr>
              <w:t>2,532.66</w:t>
            </w:r>
          </w:p>
        </w:tc>
        <w:tc>
          <w:tcPr>
            <w:tcW w:w="1689" w:type="dxa"/>
            <w:vAlign w:val="center"/>
          </w:tcPr>
          <w:p w:rsidR="00C81A11" w:rsidRDefault="00681960">
            <w:pPr>
              <w:jc w:val="right"/>
            </w:pPr>
            <w:r>
              <w:rPr>
                <w:color w:val="000000"/>
                <w:sz w:val="24"/>
                <w:szCs w:val="24"/>
              </w:rPr>
              <w:t>0.00</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w:t>
      </w:r>
      <w:proofErr w:type="gramStart"/>
      <w:r w:rsidR="004061AC" w:rsidRPr="006B0D08">
        <w:rPr>
          <w:b/>
          <w:bCs/>
          <w:color w:val="000000"/>
          <w:kern w:val="0"/>
          <w:sz w:val="24"/>
          <w:szCs w:val="24"/>
        </w:rPr>
        <w:t>期末前</w:t>
      </w:r>
      <w:proofErr w:type="gramEnd"/>
      <w:r w:rsidR="004061AC" w:rsidRPr="006B0D08">
        <w:rPr>
          <w:b/>
          <w:bCs/>
          <w:color w:val="000000"/>
          <w:kern w:val="0"/>
          <w:sz w:val="24"/>
          <w:szCs w:val="24"/>
        </w:rPr>
        <w:t>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w:t>
      </w:r>
      <w:proofErr w:type="gramStart"/>
      <w:r w:rsidRPr="00414345">
        <w:rPr>
          <w:color w:val="000000"/>
          <w:sz w:val="24"/>
          <w:szCs w:val="24"/>
        </w:rPr>
        <w:t>期末前</w:t>
      </w:r>
      <w:proofErr w:type="gramEnd"/>
      <w:r w:rsidRPr="00414345">
        <w:rPr>
          <w:color w:val="000000"/>
          <w:sz w:val="24"/>
          <w:szCs w:val="24"/>
        </w:rPr>
        <w:t>十名股票中不存在流通受限情况。</w:t>
      </w:r>
    </w:p>
    <w:p w:rsidR="00531456" w:rsidRDefault="00531456" w:rsidP="00C15CAC">
      <w:pPr>
        <w:autoSpaceDE w:val="0"/>
        <w:autoSpaceDN w:val="0"/>
        <w:adjustRightInd w:val="0"/>
        <w:spacing w:before="29" w:line="288" w:lineRule="auto"/>
        <w:jc w:val="left"/>
        <w:rPr>
          <w:b/>
          <w:bCs/>
          <w:color w:val="000000"/>
          <w:kern w:val="0"/>
          <w:sz w:val="24"/>
          <w:szCs w:val="24"/>
        </w:rPr>
      </w:pPr>
    </w:p>
    <w:p w:rsidR="004061AC" w:rsidRPr="006B0D08" w:rsidRDefault="003259C8" w:rsidP="00C15CAC">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w:t>
            </w:r>
            <w:proofErr w:type="gramStart"/>
            <w:r w:rsidRPr="00414345">
              <w:rPr>
                <w:color w:val="000000"/>
                <w:kern w:val="0"/>
                <w:sz w:val="24"/>
                <w:szCs w:val="24"/>
              </w:rPr>
              <w:t>初基金</w:t>
            </w:r>
            <w:proofErr w:type="gramEnd"/>
            <w:r w:rsidRPr="00414345">
              <w:rPr>
                <w:color w:val="000000"/>
                <w:kern w:val="0"/>
                <w:sz w:val="24"/>
                <w:szCs w:val="24"/>
              </w:rPr>
              <w:t>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1,764,160,205.31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867,772,914.74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125,040,490.82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2,506,892,629.23</w:t>
            </w:r>
          </w:p>
        </w:tc>
      </w:tr>
    </w:tbl>
    <w:p w:rsidR="00C81A11" w:rsidRDefault="00681960">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531456">
      <w:pPr>
        <w:autoSpaceDE w:val="0"/>
        <w:autoSpaceDN w:val="0"/>
        <w:adjustRightInd w:val="0"/>
        <w:spacing w:before="29" w:line="288" w:lineRule="auto"/>
        <w:ind w:firstLineChars="200" w:firstLine="480"/>
        <w:jc w:val="left"/>
        <w:rPr>
          <w:color w:val="000000"/>
          <w:sz w:val="24"/>
          <w:szCs w:val="24"/>
        </w:rPr>
      </w:pP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w:t>
      </w:r>
      <w:proofErr w:type="gramStart"/>
      <w:r w:rsidR="00ED2620" w:rsidRPr="00ED2620">
        <w:rPr>
          <w:sz w:val="24"/>
          <w:szCs w:val="24"/>
        </w:rPr>
        <w:t>固有资金</w:t>
      </w:r>
      <w:proofErr w:type="gramEnd"/>
      <w:r w:rsidR="00ED2620" w:rsidRPr="00ED2620">
        <w:rPr>
          <w:sz w:val="24"/>
          <w:szCs w:val="24"/>
        </w:rPr>
        <w:t>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w:t>
      </w:r>
      <w:proofErr w:type="gramStart"/>
      <w:r w:rsidRPr="00ED2620">
        <w:rPr>
          <w:rFonts w:eastAsiaTheme="minorEastAsia"/>
          <w:color w:val="000000"/>
          <w:sz w:val="24"/>
        </w:rPr>
        <w:t>固有资金</w:t>
      </w:r>
      <w:proofErr w:type="gramEnd"/>
      <w:r w:rsidRPr="00ED2620">
        <w:rPr>
          <w:rFonts w:eastAsiaTheme="minorEastAsia"/>
          <w:color w:val="000000"/>
          <w:sz w:val="24"/>
        </w:rPr>
        <w:t>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w:t>
      </w:r>
      <w:proofErr w:type="gramStart"/>
      <w:r w:rsidRPr="00410630">
        <w:rPr>
          <w:rFonts w:hint="eastAsia"/>
          <w:b/>
          <w:sz w:val="24"/>
        </w:rPr>
        <w:t>固有资金</w:t>
      </w:r>
      <w:proofErr w:type="gramEnd"/>
      <w:r w:rsidRPr="00410630">
        <w:rPr>
          <w:rFonts w:hint="eastAsia"/>
          <w:b/>
          <w:sz w:val="24"/>
        </w:rPr>
        <w:t>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11537B">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8.1 影响投资者决策的其他重要信息</w:t>
      </w:r>
    </w:p>
    <w:p w:rsidR="003C50AD" w:rsidRPr="00531456" w:rsidRDefault="003C50AD" w:rsidP="003C50AD">
      <w:pPr>
        <w:spacing w:line="360" w:lineRule="auto"/>
        <w:ind w:firstLineChars="200" w:firstLine="480"/>
        <w:rPr>
          <w:rFonts w:ascii="宋体" w:hAnsi="宋体"/>
          <w:color w:val="000000"/>
          <w:sz w:val="24"/>
          <w:szCs w:val="24"/>
        </w:rPr>
      </w:pPr>
      <w:r w:rsidRPr="00531456">
        <w:rPr>
          <w:rFonts w:ascii="宋体" w:hAnsi="宋体"/>
          <w:color w:val="000000"/>
          <w:sz w:val="24"/>
          <w:szCs w:val="24"/>
        </w:rPr>
        <w:t>根据《中华人民共</w:t>
      </w:r>
      <w:bookmarkStart w:id="0" w:name="_GoBack"/>
      <w:bookmarkEnd w:id="0"/>
      <w:r w:rsidRPr="00531456">
        <w:rPr>
          <w:rFonts w:ascii="宋体" w:hAnsi="宋体"/>
          <w:color w:val="000000"/>
          <w:sz w:val="24"/>
          <w:szCs w:val="24"/>
        </w:rPr>
        <w:t>和国证券投资基金法》、《公开募集证券投资基金运作管理办法》、</w:t>
      </w:r>
      <w:r w:rsidRPr="00531456">
        <w:rPr>
          <w:rFonts w:ascii="宋体" w:hAnsi="宋体"/>
          <w:color w:val="000000"/>
          <w:sz w:val="24"/>
          <w:szCs w:val="24"/>
        </w:rPr>
        <w:lastRenderedPageBreak/>
        <w:t>《存托凭证发行与交易管理办法（试行）》等法律法规及本</w:t>
      </w:r>
      <w:proofErr w:type="gramStart"/>
      <w:r w:rsidRPr="00531456">
        <w:rPr>
          <w:rFonts w:ascii="宋体" w:hAnsi="宋体"/>
          <w:color w:val="000000"/>
          <w:sz w:val="24"/>
          <w:szCs w:val="24"/>
        </w:rPr>
        <w:t>基金基金</w:t>
      </w:r>
      <w:proofErr w:type="gramEnd"/>
      <w:r w:rsidRPr="00531456">
        <w:rPr>
          <w:rFonts w:ascii="宋体" w:hAnsi="宋体"/>
          <w:color w:val="000000"/>
          <w:sz w:val="24"/>
          <w:szCs w:val="24"/>
        </w:rPr>
        <w:t>合同、招募说明书及其更新等规定，经与基金托管人协商一致，本基金管理人对本基金参与存托凭证投资修订了基金合同等法律文件，欲知详情请查阅本基金管理人发布的最新法律文件。</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C81A11" w:rsidRDefault="00681960">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、中国证监会批准交银施罗德稳健配置混合型证券投资基金募集的文件；</w:t>
      </w:r>
      <w:r>
        <w:rPr>
          <w:color w:val="000000"/>
          <w:sz w:val="24"/>
          <w:szCs w:val="24"/>
        </w:rPr>
        <w:t xml:space="preserve"> </w:t>
      </w:r>
    </w:p>
    <w:p w:rsidR="00C81A11" w:rsidRDefault="00681960">
      <w:pPr>
        <w:spacing w:before="29" w:line="288" w:lineRule="auto"/>
        <w:ind w:firstLineChars="200" w:firstLine="480"/>
        <w:rPr>
          <w:color w:val="000000"/>
          <w:sz w:val="24"/>
          <w:szCs w:val="24"/>
        </w:rPr>
      </w:pPr>
      <w:r>
        <w:rPr>
          <w:color w:val="000000"/>
          <w:sz w:val="24"/>
          <w:szCs w:val="24"/>
        </w:rPr>
        <w:t>2</w:t>
      </w:r>
      <w:r>
        <w:rPr>
          <w:color w:val="000000"/>
          <w:sz w:val="24"/>
          <w:szCs w:val="24"/>
        </w:rPr>
        <w:t>、《交银施罗德稳健配置混合型证券投资基金基金合同》；</w:t>
      </w:r>
      <w:r>
        <w:rPr>
          <w:color w:val="000000"/>
          <w:sz w:val="24"/>
          <w:szCs w:val="24"/>
        </w:rPr>
        <w:t xml:space="preserve"> </w:t>
      </w:r>
    </w:p>
    <w:p w:rsidR="00C81A11" w:rsidRDefault="00681960">
      <w:pPr>
        <w:spacing w:before="29" w:line="288" w:lineRule="auto"/>
        <w:ind w:firstLineChars="200" w:firstLine="480"/>
        <w:rPr>
          <w:color w:val="000000"/>
          <w:sz w:val="24"/>
          <w:szCs w:val="24"/>
        </w:rPr>
      </w:pPr>
      <w:r>
        <w:rPr>
          <w:color w:val="000000"/>
          <w:sz w:val="24"/>
          <w:szCs w:val="24"/>
        </w:rPr>
        <w:t>3</w:t>
      </w:r>
      <w:r>
        <w:rPr>
          <w:color w:val="000000"/>
          <w:sz w:val="24"/>
          <w:szCs w:val="24"/>
        </w:rPr>
        <w:t>、《交银施罗德稳健配置混合型证券投资基金招募说明书》；</w:t>
      </w:r>
    </w:p>
    <w:p w:rsidR="00C81A11" w:rsidRDefault="00681960">
      <w:pPr>
        <w:spacing w:before="29" w:line="288" w:lineRule="auto"/>
        <w:ind w:firstLineChars="200" w:firstLine="480"/>
        <w:rPr>
          <w:color w:val="000000"/>
          <w:sz w:val="24"/>
          <w:szCs w:val="24"/>
        </w:rPr>
      </w:pPr>
      <w:r>
        <w:rPr>
          <w:color w:val="000000"/>
          <w:sz w:val="24"/>
          <w:szCs w:val="24"/>
        </w:rPr>
        <w:t>4</w:t>
      </w:r>
      <w:r>
        <w:rPr>
          <w:color w:val="000000"/>
          <w:sz w:val="24"/>
          <w:szCs w:val="24"/>
        </w:rPr>
        <w:t>、《交银施罗德稳健配置混合型证券投资基金托管协议》；</w:t>
      </w:r>
      <w:r>
        <w:rPr>
          <w:color w:val="000000"/>
          <w:sz w:val="24"/>
          <w:szCs w:val="24"/>
        </w:rPr>
        <w:t xml:space="preserve"> </w:t>
      </w:r>
    </w:p>
    <w:p w:rsidR="00C81A11" w:rsidRDefault="00681960">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、关于募集交银施罗德稳健配置混合型证券投资基金之法律意见书；</w:t>
      </w:r>
      <w:r>
        <w:rPr>
          <w:color w:val="000000"/>
          <w:sz w:val="24"/>
          <w:szCs w:val="24"/>
        </w:rPr>
        <w:t xml:space="preserve"> </w:t>
      </w:r>
    </w:p>
    <w:p w:rsidR="00C81A11" w:rsidRDefault="00681960">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C81A11" w:rsidRDefault="00681960">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、报告期内交银施罗德稳健配置混合型证券投资基金在指定报刊上各项公告的原稿。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C81A11" w:rsidRDefault="00681960">
      <w:pPr>
        <w:spacing w:before="29" w:line="288" w:lineRule="auto"/>
        <w:ind w:firstLineChars="200" w:firstLine="480"/>
        <w:rPr>
          <w:color w:val="000000"/>
          <w:sz w:val="24"/>
          <w:szCs w:val="24"/>
        </w:rPr>
      </w:pPr>
      <w:r>
        <w:rPr>
          <w:color w:val="000000"/>
          <w:sz w:val="24"/>
          <w:szCs w:val="24"/>
        </w:rPr>
        <w:t>投资者可在办公时间内至基金管理人的办</w:t>
      </w:r>
      <w:r>
        <w:rPr>
          <w:color w:val="000000"/>
          <w:sz w:val="24"/>
          <w:szCs w:val="24"/>
        </w:rPr>
        <w:t>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960" w:rsidRDefault="00681960" w:rsidP="00876D65">
      <w:r>
        <w:separator/>
      </w:r>
    </w:p>
  </w:endnote>
  <w:endnote w:type="continuationSeparator" w:id="0">
    <w:p w:rsidR="00681960" w:rsidRDefault="00681960"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FangSong">
    <w:altName w:val="黑体"/>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3A" w:rsidRDefault="00D9393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40C" w:rsidRPr="001D0DB0" w:rsidRDefault="004D340C" w:rsidP="004D340C">
    <w:pPr>
      <w:pStyle w:val="a8"/>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AA3969">
      <w:rPr>
        <w:noProof/>
        <w:kern w:val="0"/>
        <w:szCs w:val="21"/>
      </w:rPr>
      <w:t>17</w:t>
    </w:r>
    <w:r w:rsidR="00381EE8">
      <w:rPr>
        <w:kern w:val="0"/>
        <w:szCs w:val="21"/>
      </w:rPr>
      <w:fldChar w:fldCharType="end"/>
    </w:r>
    <w:proofErr w:type="gramStart"/>
    <w:r>
      <w:rPr>
        <w:rFonts w:hint="eastAsia"/>
        <w:kern w:val="0"/>
        <w:szCs w:val="21"/>
      </w:rPr>
      <w:t>页共</w:t>
    </w:r>
    <w:proofErr w:type="gramEnd"/>
    <w:r w:rsidR="00381EE8">
      <w:rPr>
        <w:kern w:val="0"/>
        <w:szCs w:val="21"/>
      </w:rPr>
      <w:fldChar w:fldCharType="begin"/>
    </w:r>
    <w:r>
      <w:rPr>
        <w:kern w:val="0"/>
        <w:szCs w:val="21"/>
      </w:rPr>
      <w:instrText xml:space="preserve"> NUMPAGES </w:instrText>
    </w:r>
    <w:r w:rsidR="00381EE8">
      <w:rPr>
        <w:kern w:val="0"/>
        <w:szCs w:val="21"/>
      </w:rPr>
      <w:fldChar w:fldCharType="separate"/>
    </w:r>
    <w:r w:rsidR="00AA3969">
      <w:rPr>
        <w:noProof/>
        <w:kern w:val="0"/>
        <w:szCs w:val="21"/>
      </w:rPr>
      <w:t>24</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3A" w:rsidRDefault="00D939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960" w:rsidRDefault="00681960" w:rsidP="00876D65">
      <w:r>
        <w:separator/>
      </w:r>
    </w:p>
  </w:footnote>
  <w:footnote w:type="continuationSeparator" w:id="0">
    <w:p w:rsidR="00681960" w:rsidRDefault="00681960" w:rsidP="00876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3A" w:rsidRDefault="00D9393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EF0" w:rsidRPr="00DC456F" w:rsidRDefault="00DC456F" w:rsidP="00090A26">
    <w:pPr>
      <w:pStyle w:val="ac"/>
      <w:pBdr>
        <w:bottom w:val="single" w:sz="6" w:space="0" w:color="auto"/>
      </w:pBdr>
      <w:jc w:val="right"/>
      <w:rPr>
        <w:sz w:val="24"/>
        <w:szCs w:val="24"/>
      </w:rPr>
    </w:pPr>
    <w:r w:rsidRPr="003E676C">
      <w:rPr>
        <w:sz w:val="24"/>
        <w:szCs w:val="24"/>
      </w:rPr>
      <w:t>交银施罗德稳健配置混合型证券投资基金</w:t>
    </w:r>
    <w:r w:rsidRPr="003E676C">
      <w:rPr>
        <w:sz w:val="24"/>
        <w:szCs w:val="24"/>
      </w:rPr>
      <w:t>2020</w:t>
    </w:r>
    <w:r w:rsidRPr="003E676C">
      <w:rPr>
        <w:sz w:val="24"/>
        <w:szCs w:val="24"/>
      </w:rPr>
      <w:t>年第</w:t>
    </w:r>
    <w:r w:rsidRPr="003E676C">
      <w:rPr>
        <w:sz w:val="24"/>
        <w:szCs w:val="24"/>
      </w:rPr>
      <w:t>4</w:t>
    </w:r>
    <w:r w:rsidRPr="003E676C">
      <w:rPr>
        <w:sz w:val="24"/>
        <w:szCs w:val="24"/>
      </w:rPr>
      <w:t>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93A" w:rsidRDefault="00D9393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456"/>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1960"/>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1A11"/>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C759C"/>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0"/>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0"/>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0"/>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rsid w:val="004061AC"/>
    <w:rPr>
      <w:rFonts w:ascii="Times New Roman" w:eastAsia="宋体" w:hAnsi="Times New Roman" w:cs="Times New Roman"/>
      <w:b/>
      <w:bCs/>
      <w:kern w:val="44"/>
      <w:sz w:val="44"/>
      <w:szCs w:val="44"/>
    </w:rPr>
  </w:style>
  <w:style w:type="character" w:customStyle="1" w:styleId="20">
    <w:name w:val="标题 2 字符"/>
    <w:basedOn w:val="a1"/>
    <w:link w:val="2"/>
    <w:uiPriority w:val="99"/>
    <w:rsid w:val="004061AC"/>
    <w:rPr>
      <w:rFonts w:ascii="Arial" w:eastAsia="宋体" w:hAnsi="Arial" w:cs="Arial"/>
      <w:b/>
      <w:bCs/>
      <w:sz w:val="24"/>
      <w:szCs w:val="24"/>
    </w:rPr>
  </w:style>
  <w:style w:type="character" w:customStyle="1" w:styleId="30">
    <w:name w:val="标题 3 字符"/>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a5"/>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a5">
    <w:name w:val="正文文本缩进 字符"/>
    <w:basedOn w:val="a1"/>
    <w:link w:val="a4"/>
    <w:uiPriority w:val="99"/>
    <w:rsid w:val="004061AC"/>
    <w:rPr>
      <w:rFonts w:ascii="Arial Unicode MS" w:eastAsia="Arial Unicode MS" w:hAnsi="Arial Unicode MS" w:cs="Arial Unicode MS"/>
      <w:kern w:val="0"/>
      <w:sz w:val="24"/>
      <w:szCs w:val="24"/>
    </w:rPr>
  </w:style>
  <w:style w:type="paragraph" w:styleId="a6">
    <w:name w:val="Plain Text"/>
    <w:basedOn w:val="a"/>
    <w:link w:val="a7"/>
    <w:uiPriority w:val="99"/>
    <w:rsid w:val="004061AC"/>
    <w:rPr>
      <w:rFonts w:ascii="宋体" w:hAnsi="Courier New" w:cs="宋体"/>
    </w:rPr>
  </w:style>
  <w:style w:type="character" w:customStyle="1" w:styleId="a7">
    <w:name w:val="纯文本 字符"/>
    <w:basedOn w:val="a1"/>
    <w:link w:val="a6"/>
    <w:uiPriority w:val="99"/>
    <w:rsid w:val="004061AC"/>
    <w:rPr>
      <w:rFonts w:ascii="宋体" w:eastAsia="宋体" w:hAnsi="Courier New" w:cs="宋体"/>
      <w:szCs w:val="21"/>
    </w:rPr>
  </w:style>
  <w:style w:type="paragraph" w:styleId="21">
    <w:name w:val="Body Text Indent 2"/>
    <w:basedOn w:val="a"/>
    <w:link w:val="22"/>
    <w:uiPriority w:val="99"/>
    <w:rsid w:val="004061AC"/>
    <w:pPr>
      <w:spacing w:line="560" w:lineRule="exact"/>
      <w:ind w:firstLineChars="200" w:firstLine="480"/>
    </w:pPr>
    <w:rPr>
      <w:rFonts w:ascii="宋体" w:hAnsi="宋体" w:cs="宋体"/>
      <w:color w:val="FF0000"/>
      <w:sz w:val="24"/>
      <w:szCs w:val="24"/>
    </w:rPr>
  </w:style>
  <w:style w:type="character" w:customStyle="1" w:styleId="22">
    <w:name w:val="正文文本缩进 2 字符"/>
    <w:basedOn w:val="a1"/>
    <w:link w:val="21"/>
    <w:uiPriority w:val="99"/>
    <w:rsid w:val="004061AC"/>
    <w:rPr>
      <w:rFonts w:ascii="宋体" w:eastAsia="宋体" w:hAnsi="宋体" w:cs="宋体"/>
      <w:color w:val="FF0000"/>
      <w:sz w:val="24"/>
      <w:szCs w:val="24"/>
    </w:rPr>
  </w:style>
  <w:style w:type="paragraph" w:styleId="a8">
    <w:name w:val="footer"/>
    <w:basedOn w:val="a"/>
    <w:link w:val="a9"/>
    <w:rsid w:val="004061AC"/>
    <w:pPr>
      <w:tabs>
        <w:tab w:val="center" w:pos="4153"/>
        <w:tab w:val="right" w:pos="8306"/>
      </w:tabs>
      <w:snapToGrid w:val="0"/>
      <w:jc w:val="left"/>
    </w:pPr>
    <w:rPr>
      <w:sz w:val="18"/>
      <w:szCs w:val="18"/>
    </w:rPr>
  </w:style>
  <w:style w:type="character" w:customStyle="1" w:styleId="a9">
    <w:name w:val="页脚 字符"/>
    <w:basedOn w:val="a1"/>
    <w:link w:val="a8"/>
    <w:uiPriority w:val="99"/>
    <w:rsid w:val="004061AC"/>
    <w:rPr>
      <w:rFonts w:ascii="Times New Roman" w:eastAsia="宋体" w:hAnsi="Times New Roman" w:cs="Times New Roman"/>
      <w:sz w:val="18"/>
      <w:szCs w:val="18"/>
    </w:rPr>
  </w:style>
  <w:style w:type="character" w:styleId="aa">
    <w:name w:val="page number"/>
    <w:basedOn w:val="a1"/>
    <w:uiPriority w:val="99"/>
    <w:rsid w:val="004061AC"/>
  </w:style>
  <w:style w:type="character" w:styleId="ab">
    <w:name w:val="Hyperlink"/>
    <w:basedOn w:val="a1"/>
    <w:uiPriority w:val="99"/>
    <w:rsid w:val="004061AC"/>
    <w:rPr>
      <w:color w:val="0000FF"/>
      <w:u w:val="single"/>
    </w:rPr>
  </w:style>
  <w:style w:type="paragraph" w:styleId="31">
    <w:name w:val="Body Text Indent 3"/>
    <w:basedOn w:val="a"/>
    <w:link w:val="32"/>
    <w:uiPriority w:val="99"/>
    <w:rsid w:val="004061AC"/>
    <w:pPr>
      <w:spacing w:line="560" w:lineRule="exact"/>
      <w:ind w:firstLineChars="200" w:firstLine="420"/>
    </w:pPr>
    <w:rPr>
      <w:rFonts w:ascii="Arial" w:hAnsi="Arial" w:cs="Arial"/>
      <w:color w:val="FF0000"/>
    </w:rPr>
  </w:style>
  <w:style w:type="character" w:customStyle="1" w:styleId="32">
    <w:name w:val="正文文本缩进 3 字符"/>
    <w:basedOn w:val="a1"/>
    <w:link w:val="31"/>
    <w:uiPriority w:val="99"/>
    <w:rsid w:val="004061AC"/>
    <w:rPr>
      <w:rFonts w:ascii="Arial" w:eastAsia="宋体" w:hAnsi="Arial" w:cs="Arial"/>
      <w:color w:val="FF0000"/>
      <w:szCs w:val="21"/>
    </w:rPr>
  </w:style>
  <w:style w:type="paragraph" w:styleId="ac">
    <w:name w:val="header"/>
    <w:basedOn w:val="a"/>
    <w:link w:val="ad"/>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1"/>
    <w:link w:val="ac"/>
    <w:uiPriority w:val="99"/>
    <w:rsid w:val="004061AC"/>
    <w:rPr>
      <w:rFonts w:ascii="Times New Roman" w:eastAsia="宋体" w:hAnsi="Times New Roman" w:cs="Times New Roman"/>
      <w:sz w:val="18"/>
      <w:szCs w:val="18"/>
    </w:rPr>
  </w:style>
  <w:style w:type="character" w:styleId="ae">
    <w:name w:val="FollowedHyperlink"/>
    <w:basedOn w:val="a1"/>
    <w:uiPriority w:val="99"/>
    <w:rsid w:val="004061AC"/>
    <w:rPr>
      <w:color w:val="800080"/>
      <w:u w:val="single"/>
    </w:rPr>
  </w:style>
  <w:style w:type="paragraph" w:styleId="af">
    <w:name w:val="List"/>
    <w:basedOn w:val="af0"/>
    <w:uiPriority w:val="99"/>
    <w:rsid w:val="004061AC"/>
    <w:pPr>
      <w:spacing w:after="220" w:line="220" w:lineRule="atLeast"/>
      <w:ind w:left="1440" w:hanging="360"/>
    </w:pPr>
  </w:style>
  <w:style w:type="paragraph" w:styleId="af0">
    <w:name w:val="Body Text"/>
    <w:basedOn w:val="a"/>
    <w:link w:val="af1"/>
    <w:uiPriority w:val="99"/>
    <w:rsid w:val="004061AC"/>
    <w:pPr>
      <w:spacing w:after="120"/>
    </w:pPr>
  </w:style>
  <w:style w:type="character" w:customStyle="1" w:styleId="af1">
    <w:name w:val="正文文本 字符"/>
    <w:basedOn w:val="a1"/>
    <w:link w:val="af0"/>
    <w:uiPriority w:val="99"/>
    <w:rsid w:val="004061AC"/>
    <w:rPr>
      <w:rFonts w:ascii="Times New Roman" w:eastAsia="宋体" w:hAnsi="Times New Roman" w:cs="Times New Roman"/>
      <w:szCs w:val="21"/>
    </w:rPr>
  </w:style>
  <w:style w:type="paragraph" w:styleId="af2">
    <w:name w:val="Date"/>
    <w:basedOn w:val="a"/>
    <w:next w:val="a"/>
    <w:link w:val="af3"/>
    <w:rsid w:val="004061AC"/>
    <w:rPr>
      <w:sz w:val="24"/>
      <w:szCs w:val="24"/>
    </w:rPr>
  </w:style>
  <w:style w:type="character" w:customStyle="1" w:styleId="af3">
    <w:name w:val="日期 字符"/>
    <w:basedOn w:val="a1"/>
    <w:link w:val="af2"/>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1">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f4">
    <w:name w:val="Balloon Text"/>
    <w:basedOn w:val="a"/>
    <w:link w:val="af5"/>
    <w:uiPriority w:val="99"/>
    <w:semiHidden/>
    <w:rsid w:val="004061AC"/>
    <w:rPr>
      <w:sz w:val="18"/>
      <w:szCs w:val="18"/>
    </w:rPr>
  </w:style>
  <w:style w:type="character" w:customStyle="1" w:styleId="af5">
    <w:name w:val="批注框文本 字符"/>
    <w:basedOn w:val="a1"/>
    <w:link w:val="af4"/>
    <w:uiPriority w:val="99"/>
    <w:semiHidden/>
    <w:rsid w:val="004061AC"/>
    <w:rPr>
      <w:rFonts w:ascii="Times New Roman" w:eastAsia="宋体" w:hAnsi="Times New Roman" w:cs="Times New Roman"/>
      <w:sz w:val="18"/>
      <w:szCs w:val="18"/>
    </w:rPr>
  </w:style>
  <w:style w:type="character" w:styleId="af6">
    <w:name w:val="annotation reference"/>
    <w:basedOn w:val="a1"/>
    <w:uiPriority w:val="99"/>
    <w:semiHidden/>
    <w:rsid w:val="004061AC"/>
    <w:rPr>
      <w:sz w:val="21"/>
      <w:szCs w:val="21"/>
    </w:rPr>
  </w:style>
  <w:style w:type="paragraph" w:styleId="af7">
    <w:name w:val="annotation text"/>
    <w:basedOn w:val="a"/>
    <w:link w:val="af8"/>
    <w:uiPriority w:val="99"/>
    <w:semiHidden/>
    <w:rsid w:val="004061AC"/>
    <w:pPr>
      <w:jc w:val="left"/>
    </w:pPr>
  </w:style>
  <w:style w:type="character" w:customStyle="1" w:styleId="af8">
    <w:name w:val="批注文字 字符"/>
    <w:basedOn w:val="a1"/>
    <w:link w:val="af7"/>
    <w:uiPriority w:val="99"/>
    <w:semiHidden/>
    <w:rsid w:val="004061AC"/>
    <w:rPr>
      <w:rFonts w:ascii="Times New Roman" w:eastAsia="宋体" w:hAnsi="Times New Roman" w:cs="Times New Roman"/>
      <w:szCs w:val="21"/>
    </w:rPr>
  </w:style>
  <w:style w:type="paragraph" w:styleId="af9">
    <w:name w:val="annotation subject"/>
    <w:basedOn w:val="af7"/>
    <w:next w:val="af7"/>
    <w:link w:val="afa"/>
    <w:uiPriority w:val="99"/>
    <w:semiHidden/>
    <w:rsid w:val="004061AC"/>
    <w:rPr>
      <w:b/>
      <w:bCs/>
    </w:rPr>
  </w:style>
  <w:style w:type="character" w:customStyle="1" w:styleId="afa">
    <w:name w:val="批注主题 字符"/>
    <w:basedOn w:val="af8"/>
    <w:link w:val="af9"/>
    <w:uiPriority w:val="99"/>
    <w:semiHidden/>
    <w:rsid w:val="004061AC"/>
    <w:rPr>
      <w:rFonts w:ascii="Times New Roman" w:eastAsia="宋体" w:hAnsi="Times New Roman" w:cs="Times New Roman"/>
      <w:b/>
      <w:bCs/>
      <w:szCs w:val="21"/>
    </w:rPr>
  </w:style>
  <w:style w:type="paragraph" w:customStyle="1" w:styleId="Char">
    <w:name w:val="Char"/>
    <w:basedOn w:val="a"/>
    <w:uiPriority w:val="99"/>
    <w:rsid w:val="004061AC"/>
  </w:style>
  <w:style w:type="paragraph" w:styleId="afb">
    <w:name w:val="Document Map"/>
    <w:basedOn w:val="a"/>
    <w:link w:val="afc"/>
    <w:uiPriority w:val="99"/>
    <w:semiHidden/>
    <w:rsid w:val="004061AC"/>
    <w:pPr>
      <w:shd w:val="clear" w:color="auto" w:fill="000080"/>
    </w:pPr>
  </w:style>
  <w:style w:type="character" w:customStyle="1" w:styleId="afc">
    <w:name w:val="文档结构图 字符"/>
    <w:basedOn w:val="a1"/>
    <w:link w:val="afb"/>
    <w:uiPriority w:val="99"/>
    <w:semiHidden/>
    <w:rsid w:val="004061AC"/>
    <w:rPr>
      <w:rFonts w:ascii="Times New Roman" w:eastAsia="宋体" w:hAnsi="Times New Roman" w:cs="Times New Roman"/>
      <w:szCs w:val="21"/>
      <w:shd w:val="clear" w:color="auto" w:fill="000080"/>
    </w:rPr>
  </w:style>
  <w:style w:type="paragraph" w:customStyle="1" w:styleId="afd">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e">
    <w:name w:val="footnote text"/>
    <w:basedOn w:val="a"/>
    <w:link w:val="aff"/>
    <w:rsid w:val="004061AC"/>
    <w:pPr>
      <w:snapToGrid w:val="0"/>
      <w:jc w:val="left"/>
    </w:pPr>
    <w:rPr>
      <w:sz w:val="18"/>
      <w:szCs w:val="18"/>
    </w:rPr>
  </w:style>
  <w:style w:type="character" w:customStyle="1" w:styleId="aff">
    <w:name w:val="脚注文本 字符"/>
    <w:basedOn w:val="a1"/>
    <w:link w:val="afe"/>
    <w:rsid w:val="004061AC"/>
    <w:rPr>
      <w:rFonts w:ascii="Times New Roman" w:eastAsia="宋体" w:hAnsi="Times New Roman" w:cs="Times New Roman"/>
      <w:sz w:val="18"/>
      <w:szCs w:val="18"/>
    </w:rPr>
  </w:style>
  <w:style w:type="character" w:styleId="aff0">
    <w:name w:val="footnote reference"/>
    <w:basedOn w:val="a1"/>
    <w:rsid w:val="004061AC"/>
    <w:rPr>
      <w:vertAlign w:val="superscript"/>
    </w:rPr>
  </w:style>
  <w:style w:type="paragraph" w:styleId="aff1">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f2">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f3">
    <w:name w:val="Title"/>
    <w:basedOn w:val="a"/>
    <w:next w:val="a"/>
    <w:link w:val="aff4"/>
    <w:uiPriority w:val="99"/>
    <w:qFormat/>
    <w:rsid w:val="004061AC"/>
    <w:pPr>
      <w:spacing w:before="240" w:after="60"/>
      <w:jc w:val="center"/>
      <w:outlineLvl w:val="0"/>
    </w:pPr>
    <w:rPr>
      <w:rFonts w:ascii="Cambria" w:hAnsi="Cambria" w:cs="Cambria"/>
      <w:b/>
      <w:bCs/>
      <w:sz w:val="32"/>
      <w:szCs w:val="32"/>
    </w:rPr>
  </w:style>
  <w:style w:type="character" w:customStyle="1" w:styleId="aff4">
    <w:name w:val="标题 字符"/>
    <w:basedOn w:val="a1"/>
    <w:link w:val="aff3"/>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f5">
    <w:name w:val="No Spacing"/>
    <w:link w:val="aff6"/>
    <w:uiPriority w:val="1"/>
    <w:qFormat/>
    <w:rsid w:val="004061AC"/>
    <w:rPr>
      <w:rFonts w:ascii="Calibri" w:eastAsia="宋体" w:hAnsi="Calibri" w:cs="Calibri"/>
      <w:kern w:val="0"/>
      <w:sz w:val="22"/>
    </w:rPr>
  </w:style>
  <w:style w:type="character" w:customStyle="1" w:styleId="aff6">
    <w:name w:val="无间隔 字符"/>
    <w:basedOn w:val="a1"/>
    <w:link w:val="aff5"/>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f7">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f8">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B112E-CFA3-4C43-B08A-B450B761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12</Pages>
  <Words>1166</Words>
  <Characters>6650</Characters>
  <Application>Microsoft Office Word</Application>
  <DocSecurity>0</DocSecurity>
  <Lines>55</Lines>
  <Paragraphs>15</Paragraphs>
  <ScaleCrop>false</ScaleCrop>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孙文婷</cp:lastModifiedBy>
  <cp:revision>601</cp:revision>
  <dcterms:created xsi:type="dcterms:W3CDTF">2012-10-16T06:07:00Z</dcterms:created>
  <dcterms:modified xsi:type="dcterms:W3CDTF">2021-01-18T10:03:00Z</dcterms:modified>
</cp:coreProperties>
</file>