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交银施罗德内核驱动混合型证券投资基金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交银内核驱动混合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008507</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008507</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2020年1月13日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8,149,813,215.66</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在严格控制风险的前提下，追求超越业绩比较基准的投资回报，力争实现基金资产的长期稳健增值。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本基金股票投资重点关注以企业核心经营理念为驱动力，追求质量型发展的优质企业。本基金主要采用定性的方法对企业核心经营理念进行综合评估，采用定量的方法遴选优质个股。</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沪深300指数收益率×70%+中证综合债券指数收益率×30%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534,525,760.98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865,943,880.26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0.1168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10,679,588,097.50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1.3104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12.11%</w:t>
            </w:r>
          </w:p>
        </w:tc>
        <w:tc>
          <w:tcPr>
            <w:vAlign w:val="center"/>
          </w:tcPr>
          <w:p>
            <w:pPr>
              <w:jc w:val="center"/>
            </w:pPr>
            <w:r>
              <w:rPr>
                <w:color w:val="000000"/>
                <w:sz w:val="24"/>
                <w:szCs w:val="24"/>
              </w:rPr>
              <w:t>1.37%</w:t>
            </w:r>
          </w:p>
        </w:tc>
        <w:tc>
          <w:tcPr>
            <w:vAlign w:val="center"/>
          </w:tcPr>
          <w:p>
            <w:pPr>
              <w:jc w:val="center"/>
            </w:pPr>
            <w:r>
              <w:rPr>
                <w:color w:val="000000"/>
                <w:sz w:val="24"/>
                <w:szCs w:val="24"/>
              </w:rPr>
              <w:t>7.03%</w:t>
            </w:r>
          </w:p>
        </w:tc>
        <w:tc>
          <w:tcPr>
            <w:vAlign w:val="center"/>
          </w:tcPr>
          <w:p>
            <w:pPr>
              <w:jc w:val="center"/>
            </w:pPr>
            <w:r>
              <w:rPr>
                <w:color w:val="000000"/>
                <w:sz w:val="24"/>
                <w:szCs w:val="24"/>
              </w:rPr>
              <w:t>1.12%</w:t>
            </w:r>
          </w:p>
        </w:tc>
        <w:tc>
          <w:tcPr>
            <w:vAlign w:val="center"/>
          </w:tcPr>
          <w:p>
            <w:pPr>
              <w:jc w:val="center"/>
            </w:pPr>
            <w:r>
              <w:rPr>
                <w:color w:val="000000"/>
                <w:sz w:val="24"/>
                <w:szCs w:val="24"/>
              </w:rPr>
              <w:t>5.08%</w:t>
            </w:r>
          </w:p>
        </w:tc>
        <w:tc>
          <w:tcPr>
            <w:vAlign w:val="center"/>
          </w:tcPr>
          <w:p>
            <w:pPr>
              <w:jc w:val="center"/>
            </w:pPr>
            <w:r>
              <w:rPr>
                <w:color w:val="000000"/>
                <w:sz w:val="24"/>
                <w:szCs w:val="24"/>
              </w:rPr>
              <w:t>0.25%</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33.71%</w:t>
            </w:r>
          </w:p>
        </w:tc>
        <w:tc>
          <w:tcPr>
            <w:vAlign w:val="center"/>
          </w:tcPr>
          <w:p>
            <w:pPr>
              <w:jc w:val="center"/>
            </w:pPr>
            <w:r>
              <w:rPr>
                <w:color w:val="000000"/>
                <w:sz w:val="24"/>
                <w:szCs w:val="24"/>
              </w:rPr>
              <w:t>1.16%</w:t>
            </w:r>
          </w:p>
        </w:tc>
        <w:tc>
          <w:tcPr>
            <w:vAlign w:val="center"/>
          </w:tcPr>
          <w:p>
            <w:pPr>
              <w:jc w:val="center"/>
            </w:pPr>
            <w:r>
              <w:rPr>
                <w:color w:val="000000"/>
                <w:sz w:val="24"/>
                <w:szCs w:val="24"/>
              </w:rPr>
              <w:t>16.53%</w:t>
            </w:r>
          </w:p>
        </w:tc>
        <w:tc>
          <w:tcPr>
            <w:vAlign w:val="center"/>
          </w:tcPr>
          <w:p>
            <w:pPr>
              <w:jc w:val="center"/>
            </w:pPr>
            <w:r>
              <w:rPr>
                <w:color w:val="000000"/>
                <w:sz w:val="24"/>
                <w:szCs w:val="24"/>
              </w:rPr>
              <w:t>0.92%</w:t>
            </w:r>
          </w:p>
        </w:tc>
        <w:tc>
          <w:tcPr>
            <w:vAlign w:val="center"/>
          </w:tcPr>
          <w:p>
            <w:pPr>
              <w:jc w:val="center"/>
            </w:pPr>
            <w:r>
              <w:rPr>
                <w:color w:val="000000"/>
                <w:sz w:val="24"/>
                <w:szCs w:val="24"/>
              </w:rPr>
              <w:t>17.18%</w:t>
            </w:r>
          </w:p>
        </w:tc>
        <w:tc>
          <w:tcPr>
            <w:vAlign w:val="center"/>
          </w:tcPr>
          <w:p>
            <w:pPr>
              <w:jc w:val="center"/>
            </w:pPr>
            <w:r>
              <w:rPr>
                <w:color w:val="000000"/>
                <w:sz w:val="24"/>
                <w:szCs w:val="24"/>
              </w:rPr>
              <w:t>0.24%</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31.04%</w:t>
            </w:r>
          </w:p>
        </w:tc>
        <w:tc>
          <w:tcPr>
            <w:vAlign w:val="center"/>
          </w:tcPr>
          <w:p>
            <w:pPr>
              <w:jc w:val="center"/>
            </w:pPr>
            <w:r>
              <w:rPr>
                <w:color w:val="000000"/>
                <w:sz w:val="24"/>
                <w:szCs w:val="24"/>
              </w:rPr>
              <w:t>1.15%</w:t>
            </w:r>
          </w:p>
        </w:tc>
        <w:tc>
          <w:tcPr>
            <w:vAlign w:val="center"/>
          </w:tcPr>
          <w:p>
            <w:pPr>
              <w:jc w:val="center"/>
            </w:pPr>
            <w:r>
              <w:rPr>
                <w:color w:val="000000"/>
                <w:sz w:val="24"/>
                <w:szCs w:val="24"/>
              </w:rPr>
              <w:t>8.05%</w:t>
            </w:r>
          </w:p>
        </w:tc>
        <w:tc>
          <w:tcPr>
            <w:vAlign w:val="center"/>
          </w:tcPr>
          <w:p>
            <w:pPr>
              <w:jc w:val="center"/>
            </w:pPr>
            <w:r>
              <w:rPr>
                <w:color w:val="000000"/>
                <w:sz w:val="24"/>
                <w:szCs w:val="24"/>
              </w:rPr>
              <w:t>1.09%</w:t>
            </w:r>
          </w:p>
        </w:tc>
        <w:tc>
          <w:tcPr>
            <w:vAlign w:val="center"/>
          </w:tcPr>
          <w:p>
            <w:pPr>
              <w:jc w:val="center"/>
            </w:pPr>
            <w:r>
              <w:rPr>
                <w:color w:val="000000"/>
                <w:sz w:val="24"/>
                <w:szCs w:val="24"/>
              </w:rPr>
              <w:t>22.99%</w:t>
            </w:r>
          </w:p>
        </w:tc>
        <w:tc>
          <w:tcPr>
            <w:vAlign w:val="center"/>
          </w:tcPr>
          <w:p>
            <w:pPr>
              <w:jc w:val="center"/>
            </w:pPr>
            <w:r>
              <w:rPr>
                <w:color w:val="000000"/>
                <w:sz w:val="24"/>
                <w:szCs w:val="24"/>
              </w:rPr>
              <w:t>0.06%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交银施罗德内核驱动混合型证券投资基金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2020年1月13日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2020年1月13日，基金合同生效日至报告期期末，本基金运作时间未满一年。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杨浩</w:t>
            </w:r>
          </w:p>
        </w:tc>
        <w:tc>
          <w:tcPr>
            <w:vAlign w:val="center"/>
          </w:tcPr>
          <w:p>
            <w:pPr>
              <w:jc w:val="center"/>
            </w:pPr>
            <w:r>
              <w:rPr>
                <w:color w:val="000000"/>
                <w:sz w:val="24"/>
                <w:szCs w:val="24"/>
              </w:rPr>
              <w:t>交银定期支付双息平衡混合、交银新生活力灵活配置混合、交银内核驱动混合、交银科锐科技创新混合的基金经理</w:t>
            </w:r>
          </w:p>
        </w:tc>
        <w:tc>
          <w:tcPr>
            <w:vAlign w:val="center"/>
          </w:tcPr>
          <w:p>
            <w:pPr>
              <w:jc w:val="center"/>
            </w:pPr>
            <w:r>
              <w:rPr>
                <w:color w:val="000000"/>
                <w:sz w:val="24"/>
                <w:szCs w:val="24"/>
              </w:rPr>
              <w:t>2020-01-13</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杨浩先生，北京邮电大学通信与信息系统专业硕士。2010年加入交银施罗德基金管理有限公司，历任行业分析师。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三季度，沪深300上涨10.17%，创业板指数上涨5.60%。流动性推升部分热门板块，如半导体、疫苗等板块在七八月达到估值极高，之后又经历较大的回撤。新能源汽车，光伏，军工，家电家居以及白酒等板块表现较好。</w:t>
      </w:r>
    </w:p>
    <w:p>
      <w:pPr>
        <w:spacing w:before="29" w:line="288" w:lineRule="auto"/>
        <w:ind w:firstLine="480" w:firstLineChars="200"/>
        <w:rPr>
          <w:color w:val="000000"/>
          <w:sz w:val="24"/>
          <w:szCs w:val="24"/>
        </w:rPr>
      </w:pPr>
      <w:r>
        <w:rPr>
          <w:color w:val="000000"/>
          <w:sz w:val="24"/>
          <w:szCs w:val="24"/>
        </w:rPr>
        <w:t>本季度基金净值增长12.11%，跑赢业绩比较基准。主要是我们投资的物流、家电、家居以及军工等行业的个股表现比较好，同时我们减持了部分估值偏贵（相对于其历史）的消费服务个股，整体组合的估值水平有所降低。整体而言，我们还是维持组合的平衡，不会押注某个单一行业，我们在消费服务、消费品、供应链管理服务、代工制造业都有较优秀的公司，作均衡的投资，降低组合的波动率。</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我们在上期中报中提到我们看好新零售和工业再造，本质上是看好中国数字经济对企业生产效率的提升，更进一步的，能否激发出新的市场需求和优化商业模型。消费服务业受益于数字化比较显然，服务可贸易使得优秀的知识内容公司可以进一步挖掘和分享知识经验的价值。消费品在深度数字化后，能够提高营销投放效率，改善库存管理，提高资金周转，并让企业可以更敏锐的捕捉消费者动向从而找到新的产品开发灵感。供应链服务公司也受益于数字化优化其内部网络冗余，缩短链条。对于制造业，除了供应链效率的提升，敏捷的生产有望让优秀的企业突破库存限制因素，有机会构建产业互联网的平台型公司。相对于确定性高但估值也非常高的好赛道型公司，我们更希望投资一些不断突破自身的好管理型公司。</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9,061,076,486.67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84.24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9,061,076,486.67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84.24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10,619,805.05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0.10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10,619,805.05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0.10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1,608,712,174.56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14.96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75,621,206.66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0.70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10,756,029,672.94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55,578,403.01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0.52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139,152,495.30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1.30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6,139,577,558.11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57.49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13,029.12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160,522.75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991,955,175.78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9.29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388,137,292.63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37,087,992.00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257,588,959.59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180,995.16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108,762,667.56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181,984,036.00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760,897,359.66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9,061,076,486.67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84.84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12,212,929</w:t>
            </w:r>
          </w:p>
        </w:tc>
        <w:tc>
          <w:tcPr>
            <w:vAlign w:val="center"/>
          </w:tcPr>
          <w:p>
            <w:pPr>
              <w:jc w:val="right"/>
            </w:pPr>
            <w:r>
              <w:rPr>
                <w:color w:val="000000"/>
                <w:sz w:val="24"/>
                <w:szCs w:val="24"/>
              </w:rPr>
              <w:t>991,689,834.80</w:t>
            </w:r>
          </w:p>
        </w:tc>
        <w:tc>
          <w:tcPr>
            <w:vAlign w:val="center"/>
          </w:tcPr>
          <w:p>
            <w:pPr>
              <w:jc w:val="right"/>
            </w:pPr>
            <w:r>
              <w:rPr>
                <w:color w:val="000000"/>
                <w:sz w:val="24"/>
                <w:szCs w:val="24"/>
              </w:rPr>
              <w:t>9.29</w:t>
            </w:r>
          </w:p>
        </w:tc>
      </w:tr>
      <w:tr>
        <w:tc>
          <w:tcPr>
            <w:vAlign w:val="center"/>
          </w:tcPr>
          <w:p>
            <w:pPr>
              <w:jc w:val="center"/>
            </w:pPr>
            <w:r>
              <w:rPr>
                <w:color w:val="000000"/>
                <w:sz w:val="24"/>
                <w:szCs w:val="24"/>
              </w:rPr>
              <w:t>2</w:t>
            </w:r>
          </w:p>
        </w:tc>
        <w:tc>
          <w:tcPr>
            <w:vAlign w:val="center"/>
          </w:tcPr>
          <w:p>
            <w:pPr>
              <w:jc w:val="center"/>
            </w:pPr>
            <w:r>
              <w:rPr>
                <w:color w:val="000000"/>
                <w:sz w:val="24"/>
                <w:szCs w:val="24"/>
              </w:rPr>
              <w:t>000333</w:t>
            </w:r>
          </w:p>
        </w:tc>
        <w:tc>
          <w:tcPr>
            <w:vAlign w:val="center"/>
          </w:tcPr>
          <w:p>
            <w:pPr>
              <w:jc w:val="center"/>
            </w:pPr>
            <w:r>
              <w:rPr>
                <w:color w:val="000000"/>
                <w:sz w:val="24"/>
                <w:szCs w:val="24"/>
              </w:rPr>
              <w:t>美的集团</w:t>
            </w:r>
          </w:p>
        </w:tc>
        <w:tc>
          <w:tcPr>
            <w:vAlign w:val="center"/>
          </w:tcPr>
          <w:p>
            <w:pPr>
              <w:jc w:val="right"/>
            </w:pPr>
            <w:r>
              <w:rPr>
                <w:color w:val="000000"/>
                <w:sz w:val="24"/>
                <w:szCs w:val="24"/>
              </w:rPr>
              <w:t>12,622,337</w:t>
            </w:r>
          </w:p>
        </w:tc>
        <w:tc>
          <w:tcPr>
            <w:vAlign w:val="center"/>
          </w:tcPr>
          <w:p>
            <w:pPr>
              <w:jc w:val="right"/>
            </w:pPr>
            <w:r>
              <w:rPr>
                <w:color w:val="000000"/>
                <w:sz w:val="24"/>
                <w:szCs w:val="24"/>
              </w:rPr>
              <w:t>916,381,666.20</w:t>
            </w:r>
          </w:p>
        </w:tc>
        <w:tc>
          <w:tcPr>
            <w:vAlign w:val="center"/>
          </w:tcPr>
          <w:p>
            <w:pPr>
              <w:jc w:val="right"/>
            </w:pPr>
            <w:r>
              <w:rPr>
                <w:color w:val="000000"/>
                <w:sz w:val="24"/>
                <w:szCs w:val="24"/>
              </w:rPr>
              <w:t>8.58</w:t>
            </w:r>
          </w:p>
        </w:tc>
      </w:tr>
      <w:tr>
        <w:tc>
          <w:tcPr>
            <w:vAlign w:val="center"/>
          </w:tcPr>
          <w:p>
            <w:pPr>
              <w:jc w:val="center"/>
            </w:pPr>
            <w:r>
              <w:rPr>
                <w:color w:val="000000"/>
                <w:sz w:val="24"/>
                <w:szCs w:val="24"/>
              </w:rPr>
              <w:t>3</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11,281,926</w:t>
            </w:r>
          </w:p>
        </w:tc>
        <w:tc>
          <w:tcPr>
            <w:vAlign w:val="center"/>
          </w:tcPr>
          <w:p>
            <w:pPr>
              <w:jc w:val="right"/>
            </w:pPr>
            <w:r>
              <w:rPr>
                <w:color w:val="000000"/>
                <w:sz w:val="24"/>
                <w:szCs w:val="24"/>
              </w:rPr>
              <w:t>760,401,812.40</w:t>
            </w:r>
          </w:p>
        </w:tc>
        <w:tc>
          <w:tcPr>
            <w:vAlign w:val="center"/>
          </w:tcPr>
          <w:p>
            <w:pPr>
              <w:jc w:val="right"/>
            </w:pPr>
            <w:r>
              <w:rPr>
                <w:color w:val="000000"/>
                <w:sz w:val="24"/>
                <w:szCs w:val="24"/>
              </w:rPr>
              <w:t>7.12</w:t>
            </w:r>
          </w:p>
        </w:tc>
      </w:tr>
      <w:tr>
        <w:tc>
          <w:tcPr>
            <w:vAlign w:val="center"/>
          </w:tcPr>
          <w:p>
            <w:pPr>
              <w:jc w:val="center"/>
            </w:pPr>
            <w:r>
              <w:rPr>
                <w:color w:val="000000"/>
                <w:sz w:val="24"/>
                <w:szCs w:val="24"/>
              </w:rPr>
              <w:t>4</w:t>
            </w:r>
          </w:p>
        </w:tc>
        <w:tc>
          <w:tcPr>
            <w:vAlign w:val="center"/>
          </w:tcPr>
          <w:p>
            <w:pPr>
              <w:jc w:val="center"/>
            </w:pPr>
            <w:r>
              <w:rPr>
                <w:color w:val="000000"/>
                <w:sz w:val="24"/>
                <w:szCs w:val="24"/>
              </w:rPr>
              <w:t>002841</w:t>
            </w:r>
          </w:p>
        </w:tc>
        <w:tc>
          <w:tcPr>
            <w:vAlign w:val="center"/>
          </w:tcPr>
          <w:p>
            <w:pPr>
              <w:jc w:val="center"/>
            </w:pPr>
            <w:r>
              <w:rPr>
                <w:color w:val="000000"/>
                <w:sz w:val="24"/>
                <w:szCs w:val="24"/>
              </w:rPr>
              <w:t>视源股份</w:t>
            </w:r>
          </w:p>
        </w:tc>
        <w:tc>
          <w:tcPr>
            <w:vAlign w:val="center"/>
          </w:tcPr>
          <w:p>
            <w:pPr>
              <w:jc w:val="right"/>
            </w:pPr>
            <w:r>
              <w:rPr>
                <w:color w:val="000000"/>
                <w:sz w:val="24"/>
                <w:szCs w:val="24"/>
              </w:rPr>
              <w:t>5,988,437</w:t>
            </w:r>
          </w:p>
        </w:tc>
        <w:tc>
          <w:tcPr>
            <w:vAlign w:val="center"/>
          </w:tcPr>
          <w:p>
            <w:pPr>
              <w:jc w:val="right"/>
            </w:pPr>
            <w:r>
              <w:rPr>
                <w:color w:val="000000"/>
                <w:sz w:val="24"/>
                <w:szCs w:val="24"/>
              </w:rPr>
              <w:t>580,122,648.17</w:t>
            </w:r>
          </w:p>
        </w:tc>
        <w:tc>
          <w:tcPr>
            <w:vAlign w:val="center"/>
          </w:tcPr>
          <w:p>
            <w:pPr>
              <w:jc w:val="right"/>
            </w:pPr>
            <w:r>
              <w:rPr>
                <w:color w:val="000000"/>
                <w:sz w:val="24"/>
                <w:szCs w:val="24"/>
              </w:rPr>
              <w:t>5.43</w:t>
            </w:r>
          </w:p>
        </w:tc>
      </w:tr>
      <w:tr>
        <w:tc>
          <w:tcPr>
            <w:vAlign w:val="center"/>
          </w:tcPr>
          <w:p>
            <w:pPr>
              <w:jc w:val="center"/>
            </w:pPr>
            <w:r>
              <w:rPr>
                <w:color w:val="000000"/>
                <w:sz w:val="24"/>
                <w:szCs w:val="24"/>
              </w:rPr>
              <w:t>5</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10,587,920</w:t>
            </w:r>
          </w:p>
        </w:tc>
        <w:tc>
          <w:tcPr>
            <w:vAlign w:val="center"/>
          </w:tcPr>
          <w:p>
            <w:pPr>
              <w:jc w:val="right"/>
            </w:pPr>
            <w:r>
              <w:rPr>
                <w:color w:val="000000"/>
                <w:sz w:val="24"/>
                <w:szCs w:val="24"/>
              </w:rPr>
              <w:t>570,688,888.00</w:t>
            </w:r>
          </w:p>
        </w:tc>
        <w:tc>
          <w:tcPr>
            <w:vAlign w:val="center"/>
          </w:tcPr>
          <w:p>
            <w:pPr>
              <w:jc w:val="right"/>
            </w:pPr>
            <w:r>
              <w:rPr>
                <w:color w:val="000000"/>
                <w:sz w:val="24"/>
                <w:szCs w:val="24"/>
              </w:rPr>
              <w:t>5.34</w:t>
            </w:r>
          </w:p>
        </w:tc>
      </w:tr>
      <w:tr>
        <w:tc>
          <w:tcPr>
            <w:vAlign w:val="center"/>
          </w:tcPr>
          <w:p>
            <w:pPr>
              <w:jc w:val="center"/>
            </w:pPr>
            <w:r>
              <w:rPr>
                <w:color w:val="000000"/>
                <w:sz w:val="24"/>
                <w:szCs w:val="24"/>
              </w:rPr>
              <w:t>6</w:t>
            </w:r>
          </w:p>
        </w:tc>
        <w:tc>
          <w:tcPr>
            <w:vAlign w:val="center"/>
          </w:tcPr>
          <w:p>
            <w:pPr>
              <w:jc w:val="center"/>
            </w:pPr>
            <w:r>
              <w:rPr>
                <w:color w:val="000000"/>
                <w:sz w:val="24"/>
                <w:szCs w:val="24"/>
              </w:rPr>
              <w:t>603816</w:t>
            </w:r>
          </w:p>
        </w:tc>
        <w:tc>
          <w:tcPr>
            <w:vAlign w:val="center"/>
          </w:tcPr>
          <w:p>
            <w:pPr>
              <w:jc w:val="center"/>
            </w:pPr>
            <w:r>
              <w:rPr>
                <w:color w:val="000000"/>
                <w:sz w:val="24"/>
                <w:szCs w:val="24"/>
              </w:rPr>
              <w:t>顾家家居</w:t>
            </w:r>
          </w:p>
        </w:tc>
        <w:tc>
          <w:tcPr>
            <w:vAlign w:val="center"/>
          </w:tcPr>
          <w:p>
            <w:pPr>
              <w:jc w:val="right"/>
            </w:pPr>
            <w:r>
              <w:rPr>
                <w:color w:val="000000"/>
                <w:sz w:val="24"/>
                <w:szCs w:val="24"/>
              </w:rPr>
              <w:t>8,186,073</w:t>
            </w:r>
          </w:p>
        </w:tc>
        <w:tc>
          <w:tcPr>
            <w:vAlign w:val="center"/>
          </w:tcPr>
          <w:p>
            <w:pPr>
              <w:jc w:val="right"/>
            </w:pPr>
            <w:r>
              <w:rPr>
                <w:color w:val="000000"/>
                <w:sz w:val="24"/>
                <w:szCs w:val="24"/>
              </w:rPr>
              <w:t>487,240,201.90</w:t>
            </w:r>
          </w:p>
        </w:tc>
        <w:tc>
          <w:tcPr>
            <w:vAlign w:val="center"/>
          </w:tcPr>
          <w:p>
            <w:pPr>
              <w:jc w:val="right"/>
            </w:pPr>
            <w:r>
              <w:rPr>
                <w:color w:val="000000"/>
                <w:sz w:val="24"/>
                <w:szCs w:val="24"/>
              </w:rPr>
              <w:t>4.56</w:t>
            </w:r>
          </w:p>
        </w:tc>
      </w:tr>
      <w:tr>
        <w:tc>
          <w:tcPr>
            <w:vAlign w:val="center"/>
          </w:tcPr>
          <w:p>
            <w:pPr>
              <w:jc w:val="center"/>
            </w:pPr>
            <w:r>
              <w:rPr>
                <w:color w:val="000000"/>
                <w:sz w:val="24"/>
                <w:szCs w:val="24"/>
              </w:rPr>
              <w:t>7</w:t>
            </w:r>
          </w:p>
        </w:tc>
        <w:tc>
          <w:tcPr>
            <w:vAlign w:val="center"/>
          </w:tcPr>
          <w:p>
            <w:pPr>
              <w:jc w:val="center"/>
            </w:pPr>
            <w:r>
              <w:rPr>
                <w:color w:val="000000"/>
                <w:sz w:val="24"/>
                <w:szCs w:val="24"/>
              </w:rPr>
              <w:t>600522</w:t>
            </w:r>
          </w:p>
        </w:tc>
        <w:tc>
          <w:tcPr>
            <w:vAlign w:val="center"/>
          </w:tcPr>
          <w:p>
            <w:pPr>
              <w:jc w:val="center"/>
            </w:pPr>
            <w:r>
              <w:rPr>
                <w:color w:val="000000"/>
                <w:sz w:val="24"/>
                <w:szCs w:val="24"/>
              </w:rPr>
              <w:t>中天科技</w:t>
            </w:r>
          </w:p>
        </w:tc>
        <w:tc>
          <w:tcPr>
            <w:vAlign w:val="center"/>
          </w:tcPr>
          <w:p>
            <w:pPr>
              <w:jc w:val="right"/>
            </w:pPr>
            <w:r>
              <w:rPr>
                <w:color w:val="000000"/>
                <w:sz w:val="24"/>
                <w:szCs w:val="24"/>
              </w:rPr>
              <w:t>46,322,813</w:t>
            </w:r>
          </w:p>
        </w:tc>
        <w:tc>
          <w:tcPr>
            <w:vAlign w:val="center"/>
          </w:tcPr>
          <w:p>
            <w:pPr>
              <w:jc w:val="right"/>
            </w:pPr>
            <w:r>
              <w:rPr>
                <w:color w:val="000000"/>
                <w:sz w:val="24"/>
                <w:szCs w:val="24"/>
              </w:rPr>
              <w:t>485,463,080.24</w:t>
            </w:r>
          </w:p>
        </w:tc>
        <w:tc>
          <w:tcPr>
            <w:vAlign w:val="center"/>
          </w:tcPr>
          <w:p>
            <w:pPr>
              <w:jc w:val="right"/>
            </w:pPr>
            <w:r>
              <w:rPr>
                <w:color w:val="000000"/>
                <w:sz w:val="24"/>
                <w:szCs w:val="24"/>
              </w:rPr>
              <w:t>4.55</w:t>
            </w:r>
          </w:p>
        </w:tc>
      </w:tr>
      <w:tr>
        <w:tc>
          <w:tcPr>
            <w:vAlign w:val="center"/>
          </w:tcPr>
          <w:p>
            <w:pPr>
              <w:jc w:val="center"/>
            </w:pPr>
            <w:r>
              <w:rPr>
                <w:color w:val="000000"/>
                <w:sz w:val="24"/>
                <w:szCs w:val="24"/>
              </w:rPr>
              <w:t>8</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5,511,878</w:t>
            </w:r>
          </w:p>
        </w:tc>
        <w:tc>
          <w:tcPr>
            <w:vAlign w:val="center"/>
          </w:tcPr>
          <w:p>
            <w:pPr>
              <w:jc w:val="right"/>
            </w:pPr>
            <w:r>
              <w:rPr>
                <w:color w:val="000000"/>
                <w:sz w:val="24"/>
                <w:szCs w:val="24"/>
              </w:rPr>
              <w:t>452,084,233.56</w:t>
            </w:r>
          </w:p>
        </w:tc>
        <w:tc>
          <w:tcPr>
            <w:vAlign w:val="center"/>
          </w:tcPr>
          <w:p>
            <w:pPr>
              <w:jc w:val="right"/>
            </w:pPr>
            <w:r>
              <w:rPr>
                <w:color w:val="000000"/>
                <w:sz w:val="24"/>
                <w:szCs w:val="24"/>
              </w:rPr>
              <w:t>4.23</w:t>
            </w:r>
          </w:p>
        </w:tc>
      </w:tr>
      <w:tr>
        <w:tc>
          <w:tcPr>
            <w:vAlign w:val="center"/>
          </w:tcPr>
          <w:p>
            <w:pPr>
              <w:jc w:val="center"/>
            </w:pPr>
            <w:r>
              <w:rPr>
                <w:color w:val="000000"/>
                <w:sz w:val="24"/>
                <w:szCs w:val="24"/>
              </w:rPr>
              <w:t>9</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8,585,184</w:t>
            </w:r>
          </w:p>
        </w:tc>
        <w:tc>
          <w:tcPr>
            <w:vAlign w:val="center"/>
          </w:tcPr>
          <w:p>
            <w:pPr>
              <w:jc w:val="right"/>
            </w:pPr>
            <w:r>
              <w:rPr>
                <w:color w:val="000000"/>
                <w:sz w:val="24"/>
                <w:szCs w:val="24"/>
              </w:rPr>
              <w:t>339,445,952.96</w:t>
            </w:r>
          </w:p>
        </w:tc>
        <w:tc>
          <w:tcPr>
            <w:vAlign w:val="center"/>
          </w:tcPr>
          <w:p>
            <w:pPr>
              <w:jc w:val="right"/>
            </w:pPr>
            <w:r>
              <w:rPr>
                <w:color w:val="000000"/>
                <w:sz w:val="24"/>
                <w:szCs w:val="24"/>
              </w:rPr>
              <w:t>3.18</w:t>
            </w:r>
          </w:p>
        </w:tc>
      </w:tr>
      <w:tr>
        <w:tc>
          <w:tcPr>
            <w:vAlign w:val="center"/>
          </w:tcPr>
          <w:p>
            <w:pPr>
              <w:jc w:val="center"/>
            </w:pPr>
            <w:r>
              <w:rPr>
                <w:color w:val="000000"/>
                <w:sz w:val="24"/>
                <w:szCs w:val="24"/>
              </w:rPr>
              <w:t>10</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13,780,697</w:t>
            </w:r>
          </w:p>
        </w:tc>
        <w:tc>
          <w:tcPr>
            <w:vAlign w:val="center"/>
          </w:tcPr>
          <w:p>
            <w:pPr>
              <w:jc w:val="right"/>
            </w:pPr>
            <w:r>
              <w:rPr>
                <w:color w:val="000000"/>
                <w:sz w:val="24"/>
                <w:szCs w:val="24"/>
              </w:rPr>
              <w:t>305,931,473.40</w:t>
            </w:r>
          </w:p>
        </w:tc>
        <w:tc>
          <w:tcPr>
            <w:vAlign w:val="center"/>
          </w:tcPr>
          <w:p>
            <w:pPr>
              <w:jc w:val="right"/>
            </w:pPr>
            <w:r>
              <w:rPr>
                <w:color w:val="000000"/>
                <w:sz w:val="24"/>
                <w:szCs w:val="24"/>
              </w:rPr>
              <w:t>2.86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10,619,805.05</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0.10</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10,619,805.05</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0.10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110069</w:t>
            </w:r>
          </w:p>
        </w:tc>
        <w:tc>
          <w:tcPr>
            <w:vAlign w:val="center"/>
          </w:tcPr>
          <w:p>
            <w:pPr>
              <w:jc w:val="center"/>
            </w:pPr>
            <w:r>
              <w:rPr>
                <w:color w:val="000000"/>
                <w:sz w:val="24"/>
                <w:szCs w:val="24"/>
              </w:rPr>
              <w:t>瀚蓝转债</w:t>
            </w:r>
          </w:p>
        </w:tc>
        <w:tc>
          <w:tcPr>
            <w:vAlign w:val="center"/>
          </w:tcPr>
          <w:p>
            <w:pPr>
              <w:jc w:val="right"/>
            </w:pPr>
            <w:r>
              <w:rPr>
                <w:color w:val="000000"/>
                <w:sz w:val="24"/>
                <w:szCs w:val="24"/>
              </w:rPr>
              <w:t>46,520</w:t>
            </w:r>
          </w:p>
        </w:tc>
        <w:tc>
          <w:tcPr>
            <w:vAlign w:val="center"/>
          </w:tcPr>
          <w:p>
            <w:pPr>
              <w:jc w:val="right"/>
            </w:pPr>
            <w:r>
              <w:rPr>
                <w:color w:val="000000"/>
                <w:sz w:val="24"/>
                <w:szCs w:val="24"/>
              </w:rPr>
              <w:t>6,674,224.40</w:t>
            </w:r>
          </w:p>
        </w:tc>
        <w:tc>
          <w:tcPr>
            <w:vAlign w:val="center"/>
          </w:tcPr>
          <w:p>
            <w:pPr>
              <w:jc w:val="right"/>
            </w:pPr>
            <w:r>
              <w:rPr>
                <w:color w:val="000000"/>
                <w:sz w:val="24"/>
                <w:szCs w:val="24"/>
              </w:rPr>
              <w:t>0.06</w:t>
            </w:r>
          </w:p>
        </w:tc>
      </w:tr>
      <w:tr>
        <w:tc>
          <w:tcPr>
            <w:vAlign w:val="center"/>
          </w:tcPr>
          <w:p>
            <w:pPr>
              <w:jc w:val="center"/>
            </w:pPr>
            <w:r>
              <w:rPr>
                <w:color w:val="000000"/>
                <w:sz w:val="24"/>
                <w:szCs w:val="24"/>
              </w:rPr>
              <w:t>2</w:t>
            </w:r>
          </w:p>
        </w:tc>
        <w:tc>
          <w:tcPr>
            <w:vAlign w:val="center"/>
          </w:tcPr>
          <w:p>
            <w:pPr>
              <w:jc w:val="center"/>
            </w:pPr>
            <w:r>
              <w:rPr>
                <w:color w:val="000000"/>
                <w:sz w:val="24"/>
                <w:szCs w:val="24"/>
              </w:rPr>
              <w:t>128102</w:t>
            </w:r>
          </w:p>
        </w:tc>
        <w:tc>
          <w:tcPr>
            <w:vAlign w:val="center"/>
          </w:tcPr>
          <w:p>
            <w:pPr>
              <w:jc w:val="center"/>
            </w:pPr>
            <w:r>
              <w:rPr>
                <w:color w:val="000000"/>
                <w:sz w:val="24"/>
                <w:szCs w:val="24"/>
              </w:rPr>
              <w:t>海大转债</w:t>
            </w:r>
          </w:p>
        </w:tc>
        <w:tc>
          <w:tcPr>
            <w:vAlign w:val="center"/>
          </w:tcPr>
          <w:p>
            <w:pPr>
              <w:jc w:val="right"/>
            </w:pPr>
            <w:r>
              <w:rPr>
                <w:color w:val="000000"/>
                <w:sz w:val="24"/>
                <w:szCs w:val="24"/>
              </w:rPr>
              <w:t>22,265</w:t>
            </w:r>
          </w:p>
        </w:tc>
        <w:tc>
          <w:tcPr>
            <w:vAlign w:val="center"/>
          </w:tcPr>
          <w:p>
            <w:pPr>
              <w:jc w:val="right"/>
            </w:pPr>
            <w:r>
              <w:rPr>
                <w:color w:val="000000"/>
                <w:sz w:val="24"/>
                <w:szCs w:val="24"/>
              </w:rPr>
              <w:t>3,945,580.65</w:t>
            </w:r>
          </w:p>
        </w:tc>
        <w:tc>
          <w:tcPr>
            <w:vAlign w:val="center"/>
          </w:tcPr>
          <w:p>
            <w:pPr>
              <w:jc w:val="right"/>
            </w:pPr>
            <w:r>
              <w:rPr>
                <w:color w:val="000000"/>
                <w:sz w:val="24"/>
                <w:szCs w:val="24"/>
              </w:rPr>
              <w:t>0.04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2,198,968.10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50,000,003.40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176,580.32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23,245,654.84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75,621,206.66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128102</w:t>
            </w:r>
          </w:p>
        </w:tc>
        <w:tc>
          <w:tcPr>
            <w:vAlign w:val="center"/>
          </w:tcPr>
          <w:p>
            <w:pPr>
              <w:jc w:val="center"/>
            </w:pPr>
            <w:r>
              <w:rPr>
                <w:color w:val="000000"/>
                <w:sz w:val="24"/>
                <w:szCs w:val="24"/>
              </w:rPr>
              <w:t>海大转债</w:t>
            </w:r>
          </w:p>
        </w:tc>
        <w:tc>
          <w:tcPr>
            <w:vAlign w:val="center"/>
          </w:tcPr>
          <w:p>
            <w:pPr>
              <w:jc w:val="right"/>
            </w:pPr>
            <w:r>
              <w:rPr>
                <w:color w:val="000000"/>
                <w:sz w:val="24"/>
                <w:szCs w:val="24"/>
              </w:rPr>
              <w:t>3,945,580.65</w:t>
            </w:r>
          </w:p>
        </w:tc>
        <w:tc>
          <w:tcPr>
            <w:vAlign w:val="center"/>
          </w:tcPr>
          <w:p>
            <w:pPr>
              <w:jc w:val="right"/>
            </w:pPr>
            <w:r>
              <w:rPr>
                <w:color w:val="000000"/>
                <w:sz w:val="24"/>
                <w:szCs w:val="24"/>
              </w:rPr>
              <w:t>0.04</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002841</w:t>
            </w:r>
          </w:p>
        </w:tc>
        <w:tc>
          <w:tcPr>
            <w:vAlign w:val="center"/>
          </w:tcPr>
          <w:p>
            <w:pPr>
              <w:jc w:val="center"/>
            </w:pPr>
            <w:r>
              <w:rPr>
                <w:color w:val="000000"/>
                <w:sz w:val="24"/>
                <w:szCs w:val="24"/>
              </w:rPr>
              <w:t>视源股份</w:t>
            </w:r>
          </w:p>
        </w:tc>
        <w:tc>
          <w:tcPr>
            <w:vAlign w:val="center"/>
          </w:tcPr>
          <w:p>
            <w:pPr>
              <w:jc w:val="right"/>
            </w:pPr>
            <w:r>
              <w:rPr>
                <w:color w:val="000000"/>
                <w:sz w:val="24"/>
                <w:szCs w:val="24"/>
              </w:rPr>
              <w:t>142,904,000.00</w:t>
            </w:r>
          </w:p>
        </w:tc>
        <w:tc>
          <w:tcPr>
            <w:vAlign w:val="center"/>
          </w:tcPr>
          <w:p>
            <w:pPr>
              <w:jc w:val="right"/>
            </w:pPr>
            <w:r>
              <w:rPr>
                <w:color w:val="000000"/>
                <w:sz w:val="24"/>
                <w:szCs w:val="24"/>
              </w:rPr>
              <w:t>1.34</w:t>
            </w:r>
          </w:p>
        </w:tc>
        <w:tc>
          <w:tcPr>
            <w:vAlign w:val="center"/>
          </w:tcPr>
          <w:p>
            <w:pPr>
              <w:jc w:val="right"/>
            </w:pPr>
            <w:r>
              <w:rPr>
                <w:color w:val="000000"/>
                <w:sz w:val="24"/>
                <w:szCs w:val="24"/>
              </w:rPr>
              <w:t>限售股</w:t>
            </w:r>
          </w:p>
        </w:tc>
      </w:tr>
      <w:tr>
        <w:tc>
          <w:tcPr>
            <w:vAlign w:val="center"/>
          </w:tcPr>
          <w:p>
            <w:pPr>
              <w:jc w:val="center"/>
            </w:pPr>
            <w:r>
              <w:rPr>
                <w:color w:val="000000"/>
                <w:sz w:val="24"/>
                <w:szCs w:val="24"/>
              </w:rPr>
              <w:t>2</w:t>
            </w:r>
          </w:p>
        </w:tc>
        <w:tc>
          <w:tcPr>
            <w:vAlign w:val="center"/>
          </w:tcPr>
          <w:p>
            <w:pPr>
              <w:jc w:val="center"/>
            </w:pPr>
            <w:r>
              <w:rPr>
                <w:color w:val="000000"/>
                <w:sz w:val="24"/>
                <w:szCs w:val="24"/>
              </w:rPr>
              <w:t>603816</w:t>
            </w:r>
          </w:p>
        </w:tc>
        <w:tc>
          <w:tcPr>
            <w:vAlign w:val="center"/>
          </w:tcPr>
          <w:p>
            <w:pPr>
              <w:jc w:val="center"/>
            </w:pPr>
            <w:r>
              <w:rPr>
                <w:color w:val="000000"/>
                <w:sz w:val="24"/>
                <w:szCs w:val="24"/>
              </w:rPr>
              <w:t>顾家家居</w:t>
            </w:r>
          </w:p>
        </w:tc>
        <w:tc>
          <w:tcPr>
            <w:vAlign w:val="center"/>
          </w:tcPr>
          <w:p>
            <w:pPr>
              <w:jc w:val="right"/>
            </w:pPr>
            <w:r>
              <w:rPr>
                <w:color w:val="000000"/>
                <w:sz w:val="24"/>
                <w:szCs w:val="24"/>
              </w:rPr>
              <w:t>114,220,000.00</w:t>
            </w:r>
          </w:p>
        </w:tc>
        <w:tc>
          <w:tcPr>
            <w:vAlign w:val="center"/>
          </w:tcPr>
          <w:p>
            <w:pPr>
              <w:jc w:val="right"/>
            </w:pPr>
            <w:r>
              <w:rPr>
                <w:color w:val="000000"/>
                <w:sz w:val="24"/>
                <w:szCs w:val="24"/>
              </w:rPr>
              <w:t>1.07</w:t>
            </w:r>
          </w:p>
        </w:tc>
        <w:tc>
          <w:tcPr>
            <w:vAlign w:val="center"/>
          </w:tcPr>
          <w:p>
            <w:pPr>
              <w:jc w:val="right"/>
            </w:pPr>
            <w:r>
              <w:rPr>
                <w:color w:val="000000"/>
                <w:sz w:val="24"/>
                <w:szCs w:val="24"/>
              </w:rPr>
              <w:t>限售股</w:t>
            </w:r>
          </w:p>
        </w:tc>
      </w:tr>
      <w:tr>
        <w:tc>
          <w:tcPr>
            <w:vAlign w:val="center"/>
          </w:tcPr>
          <w:p>
            <w:pPr>
              <w:jc w:val="center"/>
            </w:pPr>
            <w:r>
              <w:rPr>
                <w:color w:val="000000"/>
                <w:sz w:val="24"/>
                <w:szCs w:val="24"/>
              </w:rPr>
              <w:t>3</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38,390,000.00</w:t>
            </w:r>
          </w:p>
        </w:tc>
        <w:tc>
          <w:tcPr>
            <w:vAlign w:val="center"/>
          </w:tcPr>
          <w:p>
            <w:pPr>
              <w:jc w:val="right"/>
            </w:pPr>
            <w:r>
              <w:rPr>
                <w:color w:val="000000"/>
                <w:sz w:val="24"/>
                <w:szCs w:val="24"/>
              </w:rPr>
              <w:t>0.36</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5,986,023,801.41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4,553,621,775.06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2,389,832,360.81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8,149,813,215.66</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1、中国证监会准予交银施罗德内核驱动混合型证券投资基金募集注册的文件；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2、《交银施罗德内核驱动混合型证券投资基金基金合同》；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3、《交银施罗德内核驱动混合型证券投资基金招募说明书》；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4、《交银施罗德内核驱动混合型证券投资基金托管协议》；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5、关于申请募集注册交银施罗德内核驱动混合型证券投资基金的法律意见书；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8、报告期内交银施罗德内核驱动混合型证券投资基金在指定报刊上各项公告的原稿。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交银施罗德内核驱动混合型证券投资基金2020年第3季度报告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