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交银施罗德稳利中短债债券型证券投资基金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交银稳利中短债债券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008204</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2019年12月13日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907,645,802.94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中债总财富（1-3年）指数收益率×80%+一年期定期存款利率（税后）×20%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交银稳利中短债债券A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交银稳利中短债债券C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008204</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008205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880,945,854.33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26,699,948.61</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交银稳利中短债债券A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交银稳利中短债债券C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5,829,069.08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384,327.75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2,586,708.32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19,484.82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0.0053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904,994,134.72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27,341,281.91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1.0273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1.0240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交银稳利中短债债券A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0.35%</w:t>
            </w:r>
          </w:p>
        </w:tc>
        <w:tc>
          <w:tcPr>
            <w:vAlign w:val="center"/>
          </w:tcPr>
          <w:p>
            <w:pPr>
              <w:jc w:val="center"/>
            </w:pPr>
            <w:r>
              <w:rPr>
                <w:color w:val="000000"/>
                <w:sz w:val="24"/>
              </w:rPr>
              <w:t>0.07%</w:t>
            </w:r>
          </w:p>
        </w:tc>
        <w:tc>
          <w:tcPr>
            <w:vAlign w:val="center"/>
          </w:tcPr>
          <w:p>
            <w:pPr>
              <w:jc w:val="center"/>
            </w:pPr>
            <w:r>
              <w:rPr>
                <w:color w:val="000000"/>
                <w:sz w:val="24"/>
              </w:rPr>
              <w:t>-0.11%</w:t>
            </w:r>
          </w:p>
        </w:tc>
        <w:tc>
          <w:tcPr>
            <w:vAlign w:val="center"/>
          </w:tcPr>
          <w:p>
            <w:pPr>
              <w:jc w:val="center"/>
            </w:pPr>
            <w:r>
              <w:rPr>
                <w:color w:val="000000"/>
                <w:sz w:val="24"/>
              </w:rPr>
              <w:t>0.04%</w:t>
            </w:r>
          </w:p>
        </w:tc>
        <w:tc>
          <w:tcPr>
            <w:vAlign w:val="center"/>
          </w:tcPr>
          <w:p>
            <w:pPr>
              <w:jc w:val="center"/>
            </w:pPr>
            <w:r>
              <w:rPr>
                <w:color w:val="000000"/>
                <w:sz w:val="24"/>
              </w:rPr>
              <w:t>0.46%</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0.74%</w:t>
            </w:r>
          </w:p>
        </w:tc>
        <w:tc>
          <w:tcPr>
            <w:vAlign w:val="center"/>
          </w:tcPr>
          <w:p>
            <w:pPr>
              <w:jc w:val="center"/>
            </w:pPr>
            <w:r>
              <w:rPr>
                <w:color w:val="000000"/>
                <w:sz w:val="24"/>
              </w:rPr>
              <w:t>0.08%</w:t>
            </w:r>
          </w:p>
        </w:tc>
        <w:tc>
          <w:tcPr>
            <w:vAlign w:val="center"/>
          </w:tcPr>
          <w:p>
            <w:pPr>
              <w:jc w:val="center"/>
            </w:pPr>
            <w:r>
              <w:rPr>
                <w:color w:val="000000"/>
                <w:sz w:val="24"/>
              </w:rPr>
              <w:t>-0.10%</w:t>
            </w:r>
          </w:p>
        </w:tc>
        <w:tc>
          <w:tcPr>
            <w:vAlign w:val="center"/>
          </w:tcPr>
          <w:p>
            <w:pPr>
              <w:jc w:val="center"/>
            </w:pPr>
            <w:r>
              <w:rPr>
                <w:color w:val="000000"/>
                <w:sz w:val="24"/>
              </w:rPr>
              <w:t>0.07%</w:t>
            </w:r>
          </w:p>
        </w:tc>
        <w:tc>
          <w:tcPr>
            <w:vAlign w:val="center"/>
          </w:tcPr>
          <w:p>
            <w:pPr>
              <w:jc w:val="center"/>
            </w:pPr>
            <w:r>
              <w:rPr>
                <w:color w:val="000000"/>
                <w:sz w:val="24"/>
              </w:rPr>
              <w:t>0.84%</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2.73%</w:t>
            </w:r>
          </w:p>
        </w:tc>
        <w:tc>
          <w:tcPr>
            <w:vAlign w:val="center"/>
          </w:tcPr>
          <w:p>
            <w:pPr>
              <w:jc w:val="center"/>
            </w:pPr>
            <w:r>
              <w:rPr>
                <w:color w:val="000000"/>
                <w:sz w:val="24"/>
              </w:rPr>
              <w:t>0.07%</w:t>
            </w:r>
          </w:p>
        </w:tc>
        <w:tc>
          <w:tcPr>
            <w:vAlign w:val="center"/>
          </w:tcPr>
          <w:p>
            <w:pPr>
              <w:jc w:val="center"/>
            </w:pPr>
            <w:r>
              <w:rPr>
                <w:color w:val="000000"/>
                <w:sz w:val="24"/>
              </w:rPr>
              <w:t>1.82%</w:t>
            </w:r>
          </w:p>
        </w:tc>
        <w:tc>
          <w:tcPr>
            <w:vAlign w:val="center"/>
          </w:tcPr>
          <w:p>
            <w:pPr>
              <w:jc w:val="center"/>
            </w:pPr>
            <w:r>
              <w:rPr>
                <w:color w:val="000000"/>
                <w:sz w:val="24"/>
              </w:rPr>
              <w:t>0.06%</w:t>
            </w:r>
          </w:p>
        </w:tc>
        <w:tc>
          <w:tcPr>
            <w:vAlign w:val="center"/>
          </w:tcPr>
          <w:p>
            <w:pPr>
              <w:jc w:val="center"/>
            </w:pPr>
            <w:r>
              <w:rPr>
                <w:color w:val="000000"/>
                <w:sz w:val="24"/>
              </w:rPr>
              <w:t>0.91%</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交银稳利中短债债券C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0.24%</w:t>
            </w:r>
          </w:p>
        </w:tc>
        <w:tc>
          <w:tcPr>
            <w:vAlign w:val="center"/>
          </w:tcPr>
          <w:p>
            <w:pPr>
              <w:jc w:val="center"/>
            </w:pPr>
            <w:r>
              <w:rPr>
                <w:color w:val="000000"/>
                <w:sz w:val="24"/>
              </w:rPr>
              <w:t>0.07%</w:t>
            </w:r>
          </w:p>
        </w:tc>
        <w:tc>
          <w:tcPr>
            <w:vAlign w:val="center"/>
          </w:tcPr>
          <w:p>
            <w:pPr>
              <w:jc w:val="center"/>
            </w:pPr>
            <w:r>
              <w:rPr>
                <w:color w:val="000000"/>
                <w:sz w:val="24"/>
              </w:rPr>
              <w:t>-0.11%</w:t>
            </w:r>
          </w:p>
        </w:tc>
        <w:tc>
          <w:tcPr>
            <w:vAlign w:val="center"/>
          </w:tcPr>
          <w:p>
            <w:pPr>
              <w:jc w:val="center"/>
            </w:pPr>
            <w:r>
              <w:rPr>
                <w:color w:val="000000"/>
                <w:sz w:val="24"/>
              </w:rPr>
              <w:t>0.04%</w:t>
            </w:r>
          </w:p>
        </w:tc>
        <w:tc>
          <w:tcPr>
            <w:vAlign w:val="center"/>
          </w:tcPr>
          <w:p>
            <w:pPr>
              <w:jc w:val="center"/>
            </w:pPr>
            <w:r>
              <w:rPr>
                <w:color w:val="000000"/>
                <w:sz w:val="24"/>
              </w:rPr>
              <w:t>0.35%</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0.53%</w:t>
            </w:r>
          </w:p>
        </w:tc>
        <w:tc>
          <w:tcPr>
            <w:vAlign w:val="center"/>
          </w:tcPr>
          <w:p>
            <w:pPr>
              <w:jc w:val="center"/>
            </w:pPr>
            <w:r>
              <w:rPr>
                <w:color w:val="000000"/>
                <w:sz w:val="24"/>
              </w:rPr>
              <w:t>0.08%</w:t>
            </w:r>
          </w:p>
        </w:tc>
        <w:tc>
          <w:tcPr>
            <w:vAlign w:val="center"/>
          </w:tcPr>
          <w:p>
            <w:pPr>
              <w:jc w:val="center"/>
            </w:pPr>
            <w:r>
              <w:rPr>
                <w:color w:val="000000"/>
                <w:sz w:val="24"/>
              </w:rPr>
              <w:t>-0.10%</w:t>
            </w:r>
          </w:p>
        </w:tc>
        <w:tc>
          <w:tcPr>
            <w:vAlign w:val="center"/>
          </w:tcPr>
          <w:p>
            <w:pPr>
              <w:jc w:val="center"/>
            </w:pPr>
            <w:r>
              <w:rPr>
                <w:color w:val="000000"/>
                <w:sz w:val="24"/>
              </w:rPr>
              <w:t>0.07%</w:t>
            </w:r>
          </w:p>
        </w:tc>
        <w:tc>
          <w:tcPr>
            <w:vAlign w:val="center"/>
          </w:tcPr>
          <w:p>
            <w:pPr>
              <w:jc w:val="center"/>
            </w:pPr>
            <w:r>
              <w:rPr>
                <w:color w:val="000000"/>
                <w:sz w:val="24"/>
              </w:rPr>
              <w:t>0.63%</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2.40%</w:t>
            </w:r>
          </w:p>
        </w:tc>
        <w:tc>
          <w:tcPr>
            <w:vAlign w:val="center"/>
          </w:tcPr>
          <w:p>
            <w:pPr>
              <w:jc w:val="center"/>
            </w:pPr>
            <w:r>
              <w:rPr>
                <w:color w:val="000000"/>
                <w:sz w:val="24"/>
              </w:rPr>
              <w:t>0.07%</w:t>
            </w:r>
          </w:p>
        </w:tc>
        <w:tc>
          <w:tcPr>
            <w:vAlign w:val="center"/>
          </w:tcPr>
          <w:p>
            <w:pPr>
              <w:jc w:val="center"/>
            </w:pPr>
            <w:r>
              <w:rPr>
                <w:color w:val="000000"/>
                <w:sz w:val="24"/>
              </w:rPr>
              <w:t>1.82%</w:t>
            </w:r>
          </w:p>
        </w:tc>
        <w:tc>
          <w:tcPr>
            <w:vAlign w:val="center"/>
          </w:tcPr>
          <w:p>
            <w:pPr>
              <w:jc w:val="center"/>
            </w:pPr>
            <w:r>
              <w:rPr>
                <w:color w:val="000000"/>
                <w:sz w:val="24"/>
              </w:rPr>
              <w:t>0.06%</w:t>
            </w:r>
          </w:p>
        </w:tc>
        <w:tc>
          <w:tcPr>
            <w:vAlign w:val="center"/>
          </w:tcPr>
          <w:p>
            <w:pPr>
              <w:jc w:val="center"/>
            </w:pPr>
            <w:r>
              <w:rPr>
                <w:color w:val="000000"/>
                <w:sz w:val="24"/>
              </w:rPr>
              <w:t>0.58%</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交银施罗德稳利中短债债券型证券投资基金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2019年12月13日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交银稳利中短债债券A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12月13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交银稳利中短债债券C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12月13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2019-12-13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主要受到经济复苏预期、货币政策回归常态、债券供给增加的影响，债券收益率整体呈现震荡上行的趋势。十年国债收益率在九月初最高上行直至3.15%附近。九月中旬之后股市风险偏好回落叠加市场预期境外机构加大债市配置，收益率出现小幅下行。</w:t>
      </w:r>
    </w:p>
    <w:p>
      <w:pPr>
        <w:spacing w:before="29" w:line="288" w:lineRule="auto"/>
        <w:ind w:firstLine="480" w:firstLineChars="200"/>
        <w:rPr>
          <w:color w:val="000000"/>
          <w:sz w:val="24"/>
        </w:rPr>
      </w:pPr>
      <w:r>
        <w:rPr>
          <w:color w:val="000000"/>
          <w:sz w:val="24"/>
        </w:rPr>
        <w:t>货币政策方面，虽然央行在八月中下旬开展7000亿MLF，略超市场预期，但在超储率低位、利率债放量发行和缴税、跨季等因素影响下，资金面持续维持平衡偏紧格局直至九月末，同业存单发行利率不断上行，三个月股份制银行的同业存单利率继续上行到2.65%附近，较二季度末有50bp幅度的上行。收益率曲线进一步熊平化。</w:t>
      </w:r>
    </w:p>
    <w:p>
      <w:pPr>
        <w:spacing w:before="29" w:line="288" w:lineRule="auto"/>
        <w:ind w:firstLine="480" w:firstLineChars="200"/>
        <w:rPr>
          <w:color w:val="000000"/>
          <w:sz w:val="24"/>
        </w:rPr>
      </w:pPr>
      <w:r>
        <w:rPr>
          <w:color w:val="000000"/>
          <w:sz w:val="24"/>
        </w:rPr>
        <w:t>基金操作方面，本基金仍然是以信用债票息策略为主，维持一个中性偏防守的久期水平。具体配置方面仍以1-3年中高等级信用债为底仓，同时配置了部分4-5年的高收益信用债，提高组合静态收益。同时适度运用杠杆操作增厚组合收益。</w:t>
      </w:r>
    </w:p>
    <w:p>
      <w:pPr>
        <w:spacing w:before="29" w:line="288" w:lineRule="auto"/>
        <w:ind w:firstLine="480" w:firstLineChars="200"/>
        <w:rPr>
          <w:color w:val="000000"/>
          <w:sz w:val="24"/>
        </w:rPr>
      </w:pPr>
      <w:r>
        <w:rPr>
          <w:color w:val="000000"/>
          <w:sz w:val="24"/>
        </w:rPr>
        <w:t>展望2020年四季度，国内基本面恢复的节奏和货币信用的边际变化将成为影响债市的主要因素。短期来看经济延续改善趋势、央行态度回归中性以及银行负债端压力较大，都不支持债市出现趋势性行情，预计市场会以弱势震荡为主。但随着年末供给压力减弱、信用增速放缓以及中美关系不确定性提升，债券市场或存在波段交易机会。资金面方面，疫情之后随着经济逐步恢复，货币政策也逐步退出总量性宽松模式，整体强调“精准导向”，短期内预计政策难以再度大幅宽松，但在降低融资成本的目标下，资金利率明显收紧概率不大。目前DR007大致在公开市场政策利率2.2%附近波动，预计进一步大幅上行空间有限，但由于超储率处于低位，银行间分层现象或较为明显，时点性因素将对非银机构的整体流动性造成一定影响。</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我们将根据对宏观经济、货币政策的判断，适时调整组合久期，采取票息策略为主的思路。在严控信用风险的基础上，对各类债券品种精耕细作，加强收益挖掘。同时，尽管资金利率明显回升，但随着债券收益率的回升，短端资金和资产收益利差空间仍然较为显著，我们会辅以合理杠杆水平来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1,044,848,600.00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98.48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1,044,848,600.00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98.48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678,952.17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15,428,230.37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1,060,955,782.54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50,858,600.00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50,858,600.00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29,805,000.00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3.20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100,132,000.00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10.74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864,053,000.00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92.68</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1,044,848,600.00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112.07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101900063</w:t>
            </w:r>
          </w:p>
        </w:tc>
        <w:tc>
          <w:tcPr>
            <w:vAlign w:val="center"/>
          </w:tcPr>
          <w:p>
            <w:pPr>
              <w:jc w:val="center"/>
            </w:pPr>
            <w:r>
              <w:rPr>
                <w:color w:val="000000"/>
                <w:sz w:val="24"/>
              </w:rPr>
              <w:t>19恒澄建设MTN001</w:t>
            </w:r>
          </w:p>
        </w:tc>
        <w:tc>
          <w:tcPr>
            <w:vAlign w:val="center"/>
          </w:tcPr>
          <w:p>
            <w:pPr>
              <w:jc w:val="right"/>
            </w:pPr>
            <w:r>
              <w:rPr>
                <w:color w:val="000000"/>
                <w:sz w:val="24"/>
              </w:rPr>
              <w:t>500,000</w:t>
            </w:r>
          </w:p>
        </w:tc>
        <w:tc>
          <w:tcPr>
            <w:vAlign w:val="center"/>
          </w:tcPr>
          <w:p>
            <w:pPr>
              <w:jc w:val="right"/>
            </w:pPr>
            <w:r>
              <w:rPr>
                <w:color w:val="000000"/>
                <w:sz w:val="24"/>
              </w:rPr>
              <w:t>50,540,000.00</w:t>
            </w:r>
          </w:p>
        </w:tc>
        <w:tc>
          <w:tcPr>
            <w:vAlign w:val="center"/>
          </w:tcPr>
          <w:p>
            <w:pPr>
              <w:jc w:val="right"/>
            </w:pPr>
            <w:r>
              <w:rPr>
                <w:color w:val="000000"/>
                <w:sz w:val="24"/>
              </w:rPr>
              <w:t>5.42</w:t>
            </w:r>
          </w:p>
        </w:tc>
      </w:tr>
      <w:tr>
        <w:tc>
          <w:tcPr>
            <w:vAlign w:val="center"/>
          </w:tcPr>
          <w:p>
            <w:pPr>
              <w:jc w:val="center"/>
            </w:pPr>
            <w:r>
              <w:rPr>
                <w:color w:val="000000"/>
                <w:sz w:val="24"/>
              </w:rPr>
              <w:t>2</w:t>
            </w:r>
          </w:p>
        </w:tc>
        <w:tc>
          <w:tcPr>
            <w:vAlign w:val="center"/>
          </w:tcPr>
          <w:p>
            <w:pPr>
              <w:jc w:val="center"/>
            </w:pPr>
            <w:r>
              <w:rPr>
                <w:color w:val="000000"/>
                <w:sz w:val="24"/>
              </w:rPr>
              <w:t>101801249</w:t>
            </w:r>
          </w:p>
        </w:tc>
        <w:tc>
          <w:tcPr>
            <w:vAlign w:val="center"/>
          </w:tcPr>
          <w:p>
            <w:pPr>
              <w:jc w:val="center"/>
            </w:pPr>
            <w:r>
              <w:rPr>
                <w:color w:val="000000"/>
                <w:sz w:val="24"/>
              </w:rPr>
              <w:t>18凌云工业MTN001</w:t>
            </w:r>
          </w:p>
        </w:tc>
        <w:tc>
          <w:tcPr>
            <w:vAlign w:val="center"/>
          </w:tcPr>
          <w:p>
            <w:pPr>
              <w:jc w:val="right"/>
            </w:pPr>
            <w:r>
              <w:rPr>
                <w:color w:val="000000"/>
                <w:sz w:val="24"/>
              </w:rPr>
              <w:t>400,000</w:t>
            </w:r>
          </w:p>
        </w:tc>
        <w:tc>
          <w:tcPr>
            <w:vAlign w:val="center"/>
          </w:tcPr>
          <w:p>
            <w:pPr>
              <w:jc w:val="right"/>
            </w:pPr>
            <w:r>
              <w:rPr>
                <w:color w:val="000000"/>
                <w:sz w:val="24"/>
              </w:rPr>
              <w:t>40,732,000.00</w:t>
            </w:r>
          </w:p>
        </w:tc>
        <w:tc>
          <w:tcPr>
            <w:vAlign w:val="center"/>
          </w:tcPr>
          <w:p>
            <w:pPr>
              <w:jc w:val="right"/>
            </w:pPr>
            <w:r>
              <w:rPr>
                <w:color w:val="000000"/>
                <w:sz w:val="24"/>
              </w:rPr>
              <w:t>4.37</w:t>
            </w:r>
          </w:p>
        </w:tc>
      </w:tr>
      <w:tr>
        <w:tc>
          <w:tcPr>
            <w:vAlign w:val="center"/>
          </w:tcPr>
          <w:p>
            <w:pPr>
              <w:jc w:val="center"/>
            </w:pPr>
            <w:r>
              <w:rPr>
                <w:color w:val="000000"/>
                <w:sz w:val="24"/>
              </w:rPr>
              <w:t>3</w:t>
            </w:r>
          </w:p>
        </w:tc>
        <w:tc>
          <w:tcPr>
            <w:vAlign w:val="center"/>
          </w:tcPr>
          <w:p>
            <w:pPr>
              <w:jc w:val="center"/>
            </w:pPr>
            <w:r>
              <w:rPr>
                <w:color w:val="000000"/>
                <w:sz w:val="24"/>
              </w:rPr>
              <w:t>102000560</w:t>
            </w:r>
          </w:p>
        </w:tc>
        <w:tc>
          <w:tcPr>
            <w:vAlign w:val="center"/>
          </w:tcPr>
          <w:p>
            <w:pPr>
              <w:jc w:val="center"/>
            </w:pPr>
            <w:r>
              <w:rPr>
                <w:color w:val="000000"/>
                <w:sz w:val="24"/>
              </w:rPr>
              <w:t>20镜湖开发MTN001</w:t>
            </w:r>
          </w:p>
        </w:tc>
        <w:tc>
          <w:tcPr>
            <w:vAlign w:val="center"/>
          </w:tcPr>
          <w:p>
            <w:pPr>
              <w:jc w:val="right"/>
            </w:pPr>
            <w:r>
              <w:rPr>
                <w:color w:val="000000"/>
                <w:sz w:val="24"/>
              </w:rPr>
              <w:t>400,000</w:t>
            </w:r>
          </w:p>
        </w:tc>
        <w:tc>
          <w:tcPr>
            <w:vAlign w:val="center"/>
          </w:tcPr>
          <w:p>
            <w:pPr>
              <w:jc w:val="right"/>
            </w:pPr>
            <w:r>
              <w:rPr>
                <w:color w:val="000000"/>
                <w:sz w:val="24"/>
              </w:rPr>
              <w:t>39,784,000.00</w:t>
            </w:r>
          </w:p>
        </w:tc>
        <w:tc>
          <w:tcPr>
            <w:vAlign w:val="center"/>
          </w:tcPr>
          <w:p>
            <w:pPr>
              <w:jc w:val="right"/>
            </w:pPr>
            <w:r>
              <w:rPr>
                <w:color w:val="000000"/>
                <w:sz w:val="24"/>
              </w:rPr>
              <w:t>4.27</w:t>
            </w:r>
          </w:p>
        </w:tc>
      </w:tr>
      <w:tr>
        <w:tc>
          <w:tcPr>
            <w:vAlign w:val="center"/>
          </w:tcPr>
          <w:p>
            <w:pPr>
              <w:jc w:val="center"/>
            </w:pPr>
            <w:r>
              <w:rPr>
                <w:color w:val="000000"/>
                <w:sz w:val="24"/>
              </w:rPr>
              <w:t>4</w:t>
            </w:r>
          </w:p>
        </w:tc>
        <w:tc>
          <w:tcPr>
            <w:vAlign w:val="center"/>
          </w:tcPr>
          <w:p>
            <w:pPr>
              <w:jc w:val="center"/>
            </w:pPr>
            <w:r>
              <w:rPr>
                <w:color w:val="000000"/>
                <w:sz w:val="24"/>
              </w:rPr>
              <w:t>101754109</w:t>
            </w:r>
          </w:p>
        </w:tc>
        <w:tc>
          <w:tcPr>
            <w:vAlign w:val="center"/>
          </w:tcPr>
          <w:p>
            <w:pPr>
              <w:jc w:val="center"/>
            </w:pPr>
            <w:r>
              <w:rPr>
                <w:color w:val="000000"/>
                <w:sz w:val="24"/>
              </w:rPr>
              <w:t>17宿迁城投MTN002</w:t>
            </w:r>
          </w:p>
        </w:tc>
        <w:tc>
          <w:tcPr>
            <w:vAlign w:val="center"/>
          </w:tcPr>
          <w:p>
            <w:pPr>
              <w:jc w:val="right"/>
            </w:pPr>
            <w:r>
              <w:rPr>
                <w:color w:val="000000"/>
                <w:sz w:val="24"/>
              </w:rPr>
              <w:t>300,000</w:t>
            </w:r>
          </w:p>
        </w:tc>
        <w:tc>
          <w:tcPr>
            <w:vAlign w:val="center"/>
          </w:tcPr>
          <w:p>
            <w:pPr>
              <w:jc w:val="right"/>
            </w:pPr>
            <w:r>
              <w:rPr>
                <w:color w:val="000000"/>
                <w:sz w:val="24"/>
              </w:rPr>
              <w:t>30,801,000.00</w:t>
            </w:r>
          </w:p>
        </w:tc>
        <w:tc>
          <w:tcPr>
            <w:vAlign w:val="center"/>
          </w:tcPr>
          <w:p>
            <w:pPr>
              <w:jc w:val="right"/>
            </w:pPr>
            <w:r>
              <w:rPr>
                <w:color w:val="000000"/>
                <w:sz w:val="24"/>
              </w:rPr>
              <w:t>3.30</w:t>
            </w:r>
          </w:p>
        </w:tc>
      </w:tr>
      <w:tr>
        <w:tc>
          <w:tcPr>
            <w:vAlign w:val="center"/>
          </w:tcPr>
          <w:p>
            <w:pPr>
              <w:jc w:val="center"/>
            </w:pPr>
            <w:r>
              <w:rPr>
                <w:color w:val="000000"/>
                <w:sz w:val="24"/>
              </w:rPr>
              <w:t>5</w:t>
            </w:r>
          </w:p>
        </w:tc>
        <w:tc>
          <w:tcPr>
            <w:vAlign w:val="center"/>
          </w:tcPr>
          <w:p>
            <w:pPr>
              <w:jc w:val="center"/>
            </w:pPr>
            <w:r>
              <w:rPr>
                <w:color w:val="000000"/>
                <w:sz w:val="24"/>
              </w:rPr>
              <w:t>101801277</w:t>
            </w:r>
          </w:p>
        </w:tc>
        <w:tc>
          <w:tcPr>
            <w:vAlign w:val="center"/>
          </w:tcPr>
          <w:p>
            <w:pPr>
              <w:jc w:val="center"/>
            </w:pPr>
            <w:r>
              <w:rPr>
                <w:color w:val="000000"/>
                <w:sz w:val="24"/>
              </w:rPr>
              <w:t>18黄冈城投MTN002</w:t>
            </w:r>
          </w:p>
        </w:tc>
        <w:tc>
          <w:tcPr>
            <w:vAlign w:val="center"/>
          </w:tcPr>
          <w:p>
            <w:pPr>
              <w:jc w:val="right"/>
            </w:pPr>
            <w:r>
              <w:rPr>
                <w:color w:val="000000"/>
                <w:sz w:val="24"/>
              </w:rPr>
              <w:t>300,000</w:t>
            </w:r>
          </w:p>
        </w:tc>
        <w:tc>
          <w:tcPr>
            <w:vAlign w:val="center"/>
          </w:tcPr>
          <w:p>
            <w:pPr>
              <w:jc w:val="right"/>
            </w:pPr>
            <w:r>
              <w:rPr>
                <w:color w:val="000000"/>
                <w:sz w:val="24"/>
              </w:rPr>
              <w:t>30,738,000.00</w:t>
            </w:r>
          </w:p>
        </w:tc>
        <w:tc>
          <w:tcPr>
            <w:vAlign w:val="center"/>
          </w:tcPr>
          <w:p>
            <w:pPr>
              <w:jc w:val="right"/>
            </w:pPr>
            <w:r>
              <w:rPr>
                <w:color w:val="000000"/>
                <w:sz w:val="24"/>
              </w:rPr>
              <w:t>3.30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1,017.38</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15,235,266.93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191,946.06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15,428,230.37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交银稳利中短债债券A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交银稳利中短债债券C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273,107,313.57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51,951,566.43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671,446,988.23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2,733,784.42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63,608,447.47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27,985,402.24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880,945,854.33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26,699,948.61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292,767,639.31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292,767,639.31</w:t>
            </w:r>
          </w:p>
        </w:tc>
        <w:tc>
          <w:tcPr>
            <w:vAlign w:val="center"/>
          </w:tcPr>
          <w:p>
            <w:pPr>
              <w:jc w:val="center"/>
            </w:pPr>
            <w:r>
              <w:rPr>
                <w:rFonts w:ascii="宋体" w:hAnsi="宋体" w:hint="eastAsia"/>
                <w:color w:val="000000"/>
                <w:kern w:val="0"/>
                <w:szCs w:val="21"/>
              </w:rPr>
              <w:t>32.26%</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97,760,289.37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97,760,289.37</w:t>
            </w:r>
          </w:p>
        </w:tc>
        <w:tc>
          <w:tcPr>
            <w:vAlign w:val="center"/>
          </w:tcPr>
          <w:p>
            <w:pPr>
              <w:jc w:val="center"/>
            </w:pPr>
            <w:r>
              <w:rPr>
                <w:rFonts w:ascii="宋体" w:hAnsi="宋体" w:hint="eastAsia"/>
                <w:color w:val="000000"/>
                <w:kern w:val="0"/>
                <w:szCs w:val="21"/>
              </w:rPr>
              <w:t>10.77%</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215,082,396.33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215,082,396.33</w:t>
            </w:r>
          </w:p>
        </w:tc>
        <w:tc>
          <w:tcPr>
            <w:vAlign w:val="center"/>
          </w:tcPr>
          <w:p>
            <w:pPr>
              <w:jc w:val="center"/>
            </w:pPr>
            <w:r>
              <w:rPr>
                <w:rFonts w:ascii="宋体" w:hAnsi="宋体" w:hint="eastAsia"/>
                <w:color w:val="000000"/>
                <w:kern w:val="0"/>
                <w:szCs w:val="21"/>
              </w:rPr>
              <w:t>23.70%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1、中国证监会准予交银施罗德稳利中短债债券型证券投资基金募集注册的文件；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2、《交银施罗德稳利中短债债券型证券投资基金基金合同》；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3、《交银施罗德稳利中短债债券型证券投资基金招募说明书》；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4、《交银施罗德稳利中短债债券型证券投资基金托管协议》；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5、关于申请募集注册交银施罗德稳利中短债债券型证券投资基金的法律意见书；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8、报告期内交银施罗德稳利中短债债券型证券投资基金在指定报刊上各项公告的原稿。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交银施罗德稳利中短债债券型证券投资基金2020年第3季度报告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