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交银施罗德新生活力灵活配置混合型证券投资基金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2016年11月11日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4,997,462,899.11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1,191,301,717.80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1,280,939,128.73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0.2786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14,589,292,635.54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2.919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11.88%</w:t>
            </w:r>
          </w:p>
        </w:tc>
        <w:tc>
          <w:tcPr>
            <w:vAlign w:val="center"/>
          </w:tcPr>
          <w:p>
            <w:pPr>
              <w:jc w:val="center"/>
            </w:pPr>
            <w:r>
              <w:rPr>
                <w:color w:val="000000"/>
                <w:sz w:val="24"/>
                <w:szCs w:val="24"/>
              </w:rPr>
              <w:t>1.42%</w:t>
            </w:r>
          </w:p>
        </w:tc>
        <w:tc>
          <w:tcPr>
            <w:vAlign w:val="center"/>
          </w:tcPr>
          <w:p>
            <w:pPr>
              <w:jc w:val="center"/>
            </w:pPr>
            <w:r>
              <w:rPr>
                <w:color w:val="000000"/>
                <w:sz w:val="24"/>
                <w:szCs w:val="24"/>
              </w:rPr>
              <w:t>5.96%</w:t>
            </w:r>
          </w:p>
        </w:tc>
        <w:tc>
          <w:tcPr>
            <w:vAlign w:val="center"/>
          </w:tcPr>
          <w:p>
            <w:pPr>
              <w:jc w:val="center"/>
            </w:pPr>
            <w:r>
              <w:rPr>
                <w:color w:val="000000"/>
                <w:sz w:val="24"/>
                <w:szCs w:val="24"/>
              </w:rPr>
              <w:t>0.96%</w:t>
            </w:r>
          </w:p>
        </w:tc>
        <w:tc>
          <w:tcPr>
            <w:vAlign w:val="center"/>
          </w:tcPr>
          <w:p>
            <w:pPr>
              <w:jc w:val="center"/>
            </w:pPr>
            <w:r>
              <w:rPr>
                <w:color w:val="000000"/>
                <w:sz w:val="24"/>
                <w:szCs w:val="24"/>
              </w:rPr>
              <w:t>5.92%</w:t>
            </w:r>
          </w:p>
        </w:tc>
        <w:tc>
          <w:tcPr>
            <w:vAlign w:val="center"/>
          </w:tcPr>
          <w:p>
            <w:pPr>
              <w:jc w:val="center"/>
            </w:pPr>
            <w:r>
              <w:rPr>
                <w:color w:val="000000"/>
                <w:sz w:val="24"/>
                <w:szCs w:val="24"/>
              </w:rPr>
              <w:t>0.46%</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35.45%</w:t>
            </w:r>
          </w:p>
        </w:tc>
        <w:tc>
          <w:tcPr>
            <w:vAlign w:val="center"/>
          </w:tcPr>
          <w:p>
            <w:pPr>
              <w:jc w:val="center"/>
            </w:pPr>
            <w:r>
              <w:rPr>
                <w:color w:val="000000"/>
                <w:sz w:val="24"/>
                <w:szCs w:val="24"/>
              </w:rPr>
              <w:t>1.22%</w:t>
            </w:r>
          </w:p>
        </w:tc>
        <w:tc>
          <w:tcPr>
            <w:vAlign w:val="center"/>
          </w:tcPr>
          <w:p>
            <w:pPr>
              <w:jc w:val="center"/>
            </w:pPr>
            <w:r>
              <w:rPr>
                <w:color w:val="000000"/>
                <w:sz w:val="24"/>
                <w:szCs w:val="24"/>
              </w:rPr>
              <w:t>13.95%</w:t>
            </w:r>
          </w:p>
        </w:tc>
        <w:tc>
          <w:tcPr>
            <w:vAlign w:val="center"/>
          </w:tcPr>
          <w:p>
            <w:pPr>
              <w:jc w:val="center"/>
            </w:pPr>
            <w:r>
              <w:rPr>
                <w:color w:val="000000"/>
                <w:sz w:val="24"/>
                <w:szCs w:val="24"/>
              </w:rPr>
              <w:t>0.79%</w:t>
            </w:r>
          </w:p>
        </w:tc>
        <w:tc>
          <w:tcPr>
            <w:vAlign w:val="center"/>
          </w:tcPr>
          <w:p>
            <w:pPr>
              <w:jc w:val="center"/>
            </w:pPr>
            <w:r>
              <w:rPr>
                <w:color w:val="000000"/>
                <w:sz w:val="24"/>
                <w:szCs w:val="24"/>
              </w:rPr>
              <w:t>21.50%</w:t>
            </w:r>
          </w:p>
        </w:tc>
        <w:tc>
          <w:tcPr>
            <w:vAlign w:val="center"/>
          </w:tcPr>
          <w:p>
            <w:pPr>
              <w:jc w:val="center"/>
            </w:pPr>
            <w:r>
              <w:rPr>
                <w:color w:val="000000"/>
                <w:sz w:val="24"/>
                <w:szCs w:val="24"/>
              </w:rPr>
              <w:t>0.43%</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65.85%</w:t>
            </w:r>
          </w:p>
        </w:tc>
        <w:tc>
          <w:tcPr>
            <w:vAlign w:val="center"/>
          </w:tcPr>
          <w:p>
            <w:pPr>
              <w:jc w:val="center"/>
            </w:pPr>
            <w:r>
              <w:rPr>
                <w:color w:val="000000"/>
                <w:sz w:val="24"/>
                <w:szCs w:val="24"/>
              </w:rPr>
              <w:t>1.37%</w:t>
            </w:r>
          </w:p>
        </w:tc>
        <w:tc>
          <w:tcPr>
            <w:vAlign w:val="center"/>
          </w:tcPr>
          <w:p>
            <w:pPr>
              <w:jc w:val="center"/>
            </w:pPr>
            <w:r>
              <w:rPr>
                <w:color w:val="000000"/>
                <w:sz w:val="24"/>
                <w:szCs w:val="24"/>
              </w:rPr>
              <w:t>13.70%</w:t>
            </w:r>
          </w:p>
        </w:tc>
        <w:tc>
          <w:tcPr>
            <w:vAlign w:val="center"/>
          </w:tcPr>
          <w:p>
            <w:pPr>
              <w:jc w:val="center"/>
            </w:pPr>
            <w:r>
              <w:rPr>
                <w:color w:val="000000"/>
                <w:sz w:val="24"/>
                <w:szCs w:val="24"/>
              </w:rPr>
              <w:t>0.83%</w:t>
            </w:r>
          </w:p>
        </w:tc>
        <w:tc>
          <w:tcPr>
            <w:vAlign w:val="center"/>
          </w:tcPr>
          <w:p>
            <w:pPr>
              <w:jc w:val="center"/>
            </w:pPr>
            <w:r>
              <w:rPr>
                <w:color w:val="000000"/>
                <w:sz w:val="24"/>
                <w:szCs w:val="24"/>
              </w:rPr>
              <w:t>52.15%</w:t>
            </w:r>
          </w:p>
        </w:tc>
        <w:tc>
          <w:tcPr>
            <w:vAlign w:val="center"/>
          </w:tcPr>
          <w:p>
            <w:pPr>
              <w:jc w:val="center"/>
            </w:pPr>
            <w:r>
              <w:rPr>
                <w:color w:val="000000"/>
                <w:sz w:val="24"/>
                <w:szCs w:val="24"/>
              </w:rPr>
              <w:t>0.54%</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129.48%</w:t>
            </w:r>
          </w:p>
        </w:tc>
        <w:tc>
          <w:tcPr>
            <w:vAlign w:val="center"/>
          </w:tcPr>
          <w:p>
            <w:pPr>
              <w:jc w:val="center"/>
            </w:pPr>
            <w:r>
              <w:rPr>
                <w:color w:val="000000"/>
                <w:sz w:val="24"/>
                <w:szCs w:val="24"/>
              </w:rPr>
              <w:t>1.43%</w:t>
            </w:r>
          </w:p>
        </w:tc>
        <w:tc>
          <w:tcPr>
            <w:vAlign w:val="center"/>
          </w:tcPr>
          <w:p>
            <w:pPr>
              <w:jc w:val="center"/>
            </w:pPr>
            <w:r>
              <w:rPr>
                <w:color w:val="000000"/>
                <w:sz w:val="24"/>
                <w:szCs w:val="24"/>
              </w:rPr>
              <w:t>19.47%</w:t>
            </w:r>
          </w:p>
        </w:tc>
        <w:tc>
          <w:tcPr>
            <w:vAlign w:val="center"/>
          </w:tcPr>
          <w:p>
            <w:pPr>
              <w:jc w:val="center"/>
            </w:pPr>
            <w:r>
              <w:rPr>
                <w:color w:val="000000"/>
                <w:sz w:val="24"/>
                <w:szCs w:val="24"/>
              </w:rPr>
              <w:t>0.79%</w:t>
            </w:r>
          </w:p>
        </w:tc>
        <w:tc>
          <w:tcPr>
            <w:vAlign w:val="center"/>
          </w:tcPr>
          <w:p>
            <w:pPr>
              <w:jc w:val="center"/>
            </w:pPr>
            <w:r>
              <w:rPr>
                <w:color w:val="000000"/>
                <w:sz w:val="24"/>
                <w:szCs w:val="24"/>
              </w:rPr>
              <w:t>110.01%</w:t>
            </w:r>
          </w:p>
        </w:tc>
        <w:tc>
          <w:tcPr>
            <w:vAlign w:val="center"/>
          </w:tcPr>
          <w:p>
            <w:pPr>
              <w:jc w:val="center"/>
            </w:pPr>
            <w:r>
              <w:rPr>
                <w:color w:val="000000"/>
                <w:sz w:val="24"/>
                <w:szCs w:val="24"/>
              </w:rPr>
              <w:t>0.64%</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191.90%</w:t>
            </w:r>
          </w:p>
        </w:tc>
        <w:tc>
          <w:tcPr>
            <w:vAlign w:val="center"/>
          </w:tcPr>
          <w:p>
            <w:pPr>
              <w:jc w:val="center"/>
            </w:pPr>
            <w:r>
              <w:rPr>
                <w:color w:val="000000"/>
                <w:sz w:val="24"/>
                <w:szCs w:val="24"/>
              </w:rPr>
              <w:t>1.31%</w:t>
            </w:r>
          </w:p>
        </w:tc>
        <w:tc>
          <w:tcPr>
            <w:vAlign w:val="center"/>
          </w:tcPr>
          <w:p>
            <w:pPr>
              <w:jc w:val="center"/>
            </w:pPr>
            <w:r>
              <w:rPr>
                <w:color w:val="000000"/>
                <w:sz w:val="24"/>
                <w:szCs w:val="24"/>
              </w:rPr>
              <w:t>28.24%</w:t>
            </w:r>
          </w:p>
        </w:tc>
        <w:tc>
          <w:tcPr>
            <w:vAlign w:val="center"/>
          </w:tcPr>
          <w:p>
            <w:pPr>
              <w:jc w:val="center"/>
            </w:pPr>
            <w:r>
              <w:rPr>
                <w:color w:val="000000"/>
                <w:sz w:val="24"/>
                <w:szCs w:val="24"/>
              </w:rPr>
              <w:t>0.72%</w:t>
            </w:r>
          </w:p>
        </w:tc>
        <w:tc>
          <w:tcPr>
            <w:vAlign w:val="center"/>
          </w:tcPr>
          <w:p>
            <w:pPr>
              <w:jc w:val="center"/>
            </w:pPr>
            <w:r>
              <w:rPr>
                <w:color w:val="000000"/>
                <w:sz w:val="24"/>
                <w:szCs w:val="24"/>
              </w:rPr>
              <w:t>163.66%</w:t>
            </w:r>
          </w:p>
        </w:tc>
        <w:tc>
          <w:tcPr>
            <w:vAlign w:val="center"/>
          </w:tcPr>
          <w:p>
            <w:pPr>
              <w:jc w:val="center"/>
            </w:pPr>
            <w:r>
              <w:rPr>
                <w:color w:val="000000"/>
                <w:sz w:val="24"/>
                <w:szCs w:val="24"/>
              </w:rPr>
              <w:t>0.59%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交银施罗德新生活力灵活配置混合型证券投资基金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2016年11月11日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2016-11-11</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沪深300上涨10.17%，创业板指数上涨5.60%。流动性推升部分热门板块，如半导体、疫苗等板块在七八月达到估值极高，之后又经历较大的回撤。新能源汽车，光伏，军工，家电家居以及白酒等板块表现较好。</w:t>
      </w:r>
    </w:p>
    <w:p>
      <w:pPr>
        <w:spacing w:before="29" w:line="288" w:lineRule="auto"/>
        <w:ind w:firstLine="480" w:firstLineChars="200"/>
        <w:rPr>
          <w:color w:val="000000"/>
          <w:sz w:val="24"/>
          <w:szCs w:val="24"/>
        </w:rPr>
      </w:pPr>
      <w:r>
        <w:rPr>
          <w:color w:val="000000"/>
          <w:sz w:val="24"/>
          <w:szCs w:val="24"/>
        </w:rPr>
        <w:t>本季度基金净值增长11.88%，跑赢业绩比较基准。主要是我们投资的物流、家电、家居以及军工等行业的个股表现比较好，同时我们减持了部分估值偏贵（相对于其历史）的消费服务个股，整体组合的估值水平有所降低。整体而言，我们还是维持组合的平衡，不会押注某个单一行业，我们在消费服务、消费品、供应链管理服务、代工制造业都有较优秀的公司，作均衡的投资，降低组合的波动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我们在上期中报中提到我们看好新零售和工业再造，本质上是看好中国数字经济对企业生产效率的提升，更进一步的，能否激发出新的市场需求和优化商业模型。消费服务业受益于数字化比较显然，服务可贸易使得优秀的知识内容公司可以进一步挖掘和分享知识经验的价值。消费品在深度数字化后，能够提高营销投放效率，改善库存管理，提高资金周转，并让企业可以更敏锐的捕捉消费者动向从而找到新的产品开发灵感。供应链服务公司也受益于数字化优化其内部网络冗余，缩短链条。对于制造业，除了供应链效率的提升，敏捷的生产有望让优秀的企业突破库存限制因素，有机会构建产业互联网的平台型公司。相对于确定性高但估值也非常高的好赛道型公司，我们更希望投资一些不断突破自身的好管理型公司。</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12,292,193,980.98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12,292,193,980.98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658,123,001.06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658,123,001.06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1,620,160,176.95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113,756,000.90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14,684,233,159.89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74,219,889.12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185,904,469.35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8,231,522,544.40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56.42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160,522.75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1,322,245,351.38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529,885,837.01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42,804,738.00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334,930,101.31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180,995.16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129,115,755.56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277,150,475.16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1,164,060,272.66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12,292,193,980.98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84.25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16,280,542</w:t>
            </w:r>
          </w:p>
        </w:tc>
        <w:tc>
          <w:tcPr>
            <w:vAlign w:val="center"/>
          </w:tcPr>
          <w:p>
            <w:pPr>
              <w:jc w:val="right"/>
            </w:pPr>
            <w:r>
              <w:rPr>
                <w:color w:val="000000"/>
                <w:sz w:val="24"/>
                <w:szCs w:val="24"/>
              </w:rPr>
              <w:t>1,321,980,010.40</w:t>
            </w:r>
          </w:p>
        </w:tc>
        <w:tc>
          <w:tcPr>
            <w:vAlign w:val="center"/>
          </w:tcPr>
          <w:p>
            <w:pPr>
              <w:jc w:val="right"/>
            </w:pPr>
            <w:r>
              <w:rPr>
                <w:color w:val="000000"/>
                <w:sz w:val="24"/>
                <w:szCs w:val="24"/>
              </w:rPr>
              <w:t>9.06</w:t>
            </w:r>
          </w:p>
        </w:tc>
      </w:tr>
      <w:tr>
        <w:tc>
          <w:tcPr>
            <w:vAlign w:val="center"/>
          </w:tcPr>
          <w:p>
            <w:pPr>
              <w:jc w:val="center"/>
            </w:pPr>
            <w:r>
              <w:rPr>
                <w:color w:val="000000"/>
                <w:sz w:val="24"/>
                <w:szCs w:val="24"/>
              </w:rPr>
              <w:t>2</w:t>
            </w:r>
          </w:p>
        </w:tc>
        <w:tc>
          <w:tcPr>
            <w:vAlign w:val="center"/>
          </w:tcPr>
          <w:p>
            <w:pPr>
              <w:jc w:val="center"/>
            </w:pPr>
            <w:r>
              <w:rPr>
                <w:color w:val="000000"/>
                <w:sz w:val="24"/>
                <w:szCs w:val="24"/>
              </w:rPr>
              <w:t>000333</w:t>
            </w:r>
          </w:p>
        </w:tc>
        <w:tc>
          <w:tcPr>
            <w:vAlign w:val="center"/>
          </w:tcPr>
          <w:p>
            <w:pPr>
              <w:jc w:val="center"/>
            </w:pPr>
            <w:r>
              <w:rPr>
                <w:color w:val="000000"/>
                <w:sz w:val="24"/>
                <w:szCs w:val="24"/>
              </w:rPr>
              <w:t>美的集团</w:t>
            </w:r>
          </w:p>
        </w:tc>
        <w:tc>
          <w:tcPr>
            <w:vAlign w:val="center"/>
          </w:tcPr>
          <w:p>
            <w:pPr>
              <w:jc w:val="right"/>
            </w:pPr>
            <w:r>
              <w:rPr>
                <w:color w:val="000000"/>
                <w:sz w:val="24"/>
                <w:szCs w:val="24"/>
              </w:rPr>
              <w:t>17,046,596</w:t>
            </w:r>
          </w:p>
        </w:tc>
        <w:tc>
          <w:tcPr>
            <w:vAlign w:val="center"/>
          </w:tcPr>
          <w:p>
            <w:pPr>
              <w:jc w:val="right"/>
            </w:pPr>
            <w:r>
              <w:rPr>
                <w:color w:val="000000"/>
                <w:sz w:val="24"/>
                <w:szCs w:val="24"/>
              </w:rPr>
              <w:t>1,237,582,869.60</w:t>
            </w:r>
          </w:p>
        </w:tc>
        <w:tc>
          <w:tcPr>
            <w:vAlign w:val="center"/>
          </w:tcPr>
          <w:p>
            <w:pPr>
              <w:jc w:val="right"/>
            </w:pPr>
            <w:r>
              <w:rPr>
                <w:color w:val="000000"/>
                <w:sz w:val="24"/>
                <w:szCs w:val="24"/>
              </w:rPr>
              <w:t>8.48</w:t>
            </w:r>
          </w:p>
        </w:tc>
      </w:tr>
      <w:tr>
        <w:tc>
          <w:tcPr>
            <w:vAlign w:val="center"/>
          </w:tcPr>
          <w:p>
            <w:pPr>
              <w:jc w:val="center"/>
            </w:pPr>
            <w:r>
              <w:rPr>
                <w:color w:val="000000"/>
                <w:sz w:val="24"/>
                <w:szCs w:val="24"/>
              </w:rPr>
              <w:t>3</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15,200,031</w:t>
            </w:r>
          </w:p>
        </w:tc>
        <w:tc>
          <w:tcPr>
            <w:vAlign w:val="center"/>
          </w:tcPr>
          <w:p>
            <w:pPr>
              <w:jc w:val="right"/>
            </w:pPr>
            <w:r>
              <w:rPr>
                <w:color w:val="000000"/>
                <w:sz w:val="24"/>
                <w:szCs w:val="24"/>
              </w:rPr>
              <w:t>1,024,482,089.40</w:t>
            </w:r>
          </w:p>
        </w:tc>
        <w:tc>
          <w:tcPr>
            <w:vAlign w:val="center"/>
          </w:tcPr>
          <w:p>
            <w:pPr>
              <w:jc w:val="right"/>
            </w:pPr>
            <w:r>
              <w:rPr>
                <w:color w:val="000000"/>
                <w:sz w:val="24"/>
                <w:szCs w:val="24"/>
              </w:rPr>
              <w:t>7.02</w:t>
            </w:r>
          </w:p>
        </w:tc>
      </w:tr>
      <w:tr>
        <w:tc>
          <w:tcPr>
            <w:vAlign w:val="center"/>
          </w:tcPr>
          <w:p>
            <w:pPr>
              <w:jc w:val="center"/>
            </w:pPr>
            <w:r>
              <w:rPr>
                <w:color w:val="000000"/>
                <w:sz w:val="24"/>
                <w:szCs w:val="24"/>
              </w:rPr>
              <w:t>4</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8,077,183</w:t>
            </w:r>
          </w:p>
        </w:tc>
        <w:tc>
          <w:tcPr>
            <w:vAlign w:val="center"/>
          </w:tcPr>
          <w:p>
            <w:pPr>
              <w:jc w:val="right"/>
            </w:pPr>
            <w:r>
              <w:rPr>
                <w:color w:val="000000"/>
                <w:sz w:val="24"/>
                <w:szCs w:val="24"/>
              </w:rPr>
              <w:t>782,105,896.03</w:t>
            </w:r>
          </w:p>
        </w:tc>
        <w:tc>
          <w:tcPr>
            <w:vAlign w:val="center"/>
          </w:tcPr>
          <w:p>
            <w:pPr>
              <w:jc w:val="right"/>
            </w:pPr>
            <w:r>
              <w:rPr>
                <w:color w:val="000000"/>
                <w:sz w:val="24"/>
                <w:szCs w:val="24"/>
              </w:rPr>
              <w:t>5.36</w:t>
            </w:r>
          </w:p>
        </w:tc>
      </w:tr>
      <w:tr>
        <w:tc>
          <w:tcPr>
            <w:vAlign w:val="center"/>
          </w:tcPr>
          <w:p>
            <w:pPr>
              <w:jc w:val="center"/>
            </w:pPr>
            <w:r>
              <w:rPr>
                <w:color w:val="000000"/>
                <w:sz w:val="24"/>
                <w:szCs w:val="24"/>
              </w:rPr>
              <w:t>5</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9,493,751</w:t>
            </w:r>
          </w:p>
        </w:tc>
        <w:tc>
          <w:tcPr>
            <w:vAlign w:val="center"/>
          </w:tcPr>
          <w:p>
            <w:pPr>
              <w:jc w:val="right"/>
            </w:pPr>
            <w:r>
              <w:rPr>
                <w:color w:val="000000"/>
                <w:sz w:val="24"/>
                <w:szCs w:val="24"/>
              </w:rPr>
              <w:t>778,677,457.02</w:t>
            </w:r>
          </w:p>
        </w:tc>
        <w:tc>
          <w:tcPr>
            <w:vAlign w:val="center"/>
          </w:tcPr>
          <w:p>
            <w:pPr>
              <w:jc w:val="right"/>
            </w:pPr>
            <w:r>
              <w:rPr>
                <w:color w:val="000000"/>
                <w:sz w:val="24"/>
                <w:szCs w:val="24"/>
              </w:rPr>
              <w:t>5.34</w:t>
            </w:r>
          </w:p>
        </w:tc>
      </w:tr>
      <w:tr>
        <w:tc>
          <w:tcPr>
            <w:vAlign w:val="center"/>
          </w:tcPr>
          <w:p>
            <w:pPr>
              <w:jc w:val="center"/>
            </w:pPr>
            <w:r>
              <w:rPr>
                <w:color w:val="000000"/>
                <w:sz w:val="24"/>
                <w:szCs w:val="24"/>
              </w:rPr>
              <w:t>6</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14,126,492</w:t>
            </w:r>
          </w:p>
        </w:tc>
        <w:tc>
          <w:tcPr>
            <w:vAlign w:val="center"/>
          </w:tcPr>
          <w:p>
            <w:pPr>
              <w:jc w:val="right"/>
            </w:pPr>
            <w:r>
              <w:rPr>
                <w:color w:val="000000"/>
                <w:sz w:val="24"/>
                <w:szCs w:val="24"/>
              </w:rPr>
              <w:t>761,417,918.80</w:t>
            </w:r>
          </w:p>
        </w:tc>
        <w:tc>
          <w:tcPr>
            <w:vAlign w:val="center"/>
          </w:tcPr>
          <w:p>
            <w:pPr>
              <w:jc w:val="right"/>
            </w:pPr>
            <w:r>
              <w:rPr>
                <w:color w:val="000000"/>
                <w:sz w:val="24"/>
                <w:szCs w:val="24"/>
              </w:rPr>
              <w:t>5.22</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600522</w:t>
            </w:r>
          </w:p>
        </w:tc>
        <w:tc>
          <w:tcPr>
            <w:vAlign w:val="center"/>
          </w:tcPr>
          <w:p>
            <w:pPr>
              <w:jc w:val="center"/>
            </w:pPr>
            <w:r>
              <w:rPr>
                <w:color w:val="000000"/>
                <w:sz w:val="24"/>
                <w:szCs w:val="24"/>
              </w:rPr>
              <w:t>中天科技</w:t>
            </w:r>
          </w:p>
        </w:tc>
        <w:tc>
          <w:tcPr>
            <w:vAlign w:val="center"/>
          </w:tcPr>
          <w:p>
            <w:pPr>
              <w:jc w:val="right"/>
            </w:pPr>
            <w:r>
              <w:rPr>
                <w:color w:val="000000"/>
                <w:sz w:val="24"/>
                <w:szCs w:val="24"/>
              </w:rPr>
              <w:t>62,402,541</w:t>
            </w:r>
          </w:p>
        </w:tc>
        <w:tc>
          <w:tcPr>
            <w:vAlign w:val="center"/>
          </w:tcPr>
          <w:p>
            <w:pPr>
              <w:jc w:val="right"/>
            </w:pPr>
            <w:r>
              <w:rPr>
                <w:color w:val="000000"/>
                <w:sz w:val="24"/>
                <w:szCs w:val="24"/>
              </w:rPr>
              <w:t>653,978,629.68</w:t>
            </w:r>
          </w:p>
        </w:tc>
        <w:tc>
          <w:tcPr>
            <w:vAlign w:val="center"/>
          </w:tcPr>
          <w:p>
            <w:pPr>
              <w:jc w:val="right"/>
            </w:pPr>
            <w:r>
              <w:rPr>
                <w:color w:val="000000"/>
                <w:sz w:val="24"/>
                <w:szCs w:val="24"/>
              </w:rPr>
              <w:t>4.48</w:t>
            </w:r>
          </w:p>
        </w:tc>
      </w:tr>
      <w:tr>
        <w:tc>
          <w:tcPr>
            <w:vAlign w:val="center"/>
          </w:tcPr>
          <w:p>
            <w:pPr>
              <w:jc w:val="center"/>
            </w:pPr>
            <w:r>
              <w:rPr>
                <w:color w:val="000000"/>
                <w:sz w:val="24"/>
                <w:szCs w:val="24"/>
              </w:rPr>
              <w:t>8</w:t>
            </w:r>
          </w:p>
        </w:tc>
        <w:tc>
          <w:tcPr>
            <w:vAlign w:val="center"/>
          </w:tcPr>
          <w:p>
            <w:pPr>
              <w:jc w:val="center"/>
            </w:pPr>
            <w:r>
              <w:rPr>
                <w:color w:val="000000"/>
                <w:sz w:val="24"/>
                <w:szCs w:val="24"/>
              </w:rPr>
              <w:t>603816</w:t>
            </w:r>
          </w:p>
        </w:tc>
        <w:tc>
          <w:tcPr>
            <w:vAlign w:val="center"/>
          </w:tcPr>
          <w:p>
            <w:pPr>
              <w:jc w:val="center"/>
            </w:pPr>
            <w:r>
              <w:rPr>
                <w:color w:val="000000"/>
                <w:sz w:val="24"/>
                <w:szCs w:val="24"/>
              </w:rPr>
              <w:t>顾家家居</w:t>
            </w:r>
          </w:p>
        </w:tc>
        <w:tc>
          <w:tcPr>
            <w:vAlign w:val="center"/>
          </w:tcPr>
          <w:p>
            <w:pPr>
              <w:jc w:val="right"/>
            </w:pPr>
            <w:r>
              <w:rPr>
                <w:color w:val="000000"/>
                <w:sz w:val="24"/>
                <w:szCs w:val="24"/>
              </w:rPr>
              <w:t>10,544,885</w:t>
            </w:r>
          </w:p>
        </w:tc>
        <w:tc>
          <w:tcPr>
            <w:vAlign w:val="center"/>
          </w:tcPr>
          <w:p>
            <w:pPr>
              <w:jc w:val="right"/>
            </w:pPr>
            <w:r>
              <w:rPr>
                <w:color w:val="000000"/>
                <w:sz w:val="24"/>
                <w:szCs w:val="24"/>
              </w:rPr>
              <w:t>630,114,565.50</w:t>
            </w:r>
          </w:p>
        </w:tc>
        <w:tc>
          <w:tcPr>
            <w:vAlign w:val="center"/>
          </w:tcPr>
          <w:p>
            <w:pPr>
              <w:jc w:val="right"/>
            </w:pPr>
            <w:r>
              <w:rPr>
                <w:color w:val="000000"/>
                <w:sz w:val="24"/>
                <w:szCs w:val="24"/>
              </w:rPr>
              <w:t>4.32</w:t>
            </w:r>
          </w:p>
        </w:tc>
      </w:tr>
      <w:tr>
        <w:tc>
          <w:tcPr>
            <w:vAlign w:val="center"/>
          </w:tcPr>
          <w:p>
            <w:pPr>
              <w:jc w:val="center"/>
            </w:pPr>
            <w:r>
              <w:rPr>
                <w:color w:val="000000"/>
                <w:sz w:val="24"/>
                <w:szCs w:val="24"/>
              </w:rPr>
              <w:t>9</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20,556,729</w:t>
            </w:r>
          </w:p>
        </w:tc>
        <w:tc>
          <w:tcPr>
            <w:vAlign w:val="center"/>
          </w:tcPr>
          <w:p>
            <w:pPr>
              <w:jc w:val="right"/>
            </w:pPr>
            <w:r>
              <w:rPr>
                <w:color w:val="000000"/>
                <w:sz w:val="24"/>
                <w:szCs w:val="24"/>
              </w:rPr>
              <w:t>456,359,383.80</w:t>
            </w:r>
          </w:p>
        </w:tc>
        <w:tc>
          <w:tcPr>
            <w:vAlign w:val="center"/>
          </w:tcPr>
          <w:p>
            <w:pPr>
              <w:jc w:val="right"/>
            </w:pPr>
            <w:r>
              <w:rPr>
                <w:color w:val="000000"/>
                <w:sz w:val="24"/>
                <w:szCs w:val="24"/>
              </w:rPr>
              <w:t>3.13</w:t>
            </w:r>
          </w:p>
        </w:tc>
      </w:tr>
      <w:tr>
        <w:tc>
          <w:tcPr>
            <w:vAlign w:val="center"/>
          </w:tcPr>
          <w:p>
            <w:pPr>
              <w:jc w:val="center"/>
            </w:pPr>
            <w:r>
              <w:rPr>
                <w:color w:val="000000"/>
                <w:sz w:val="24"/>
                <w:szCs w:val="24"/>
              </w:rPr>
              <w:t>10</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11,147,100</w:t>
            </w:r>
          </w:p>
        </w:tc>
        <w:tc>
          <w:tcPr>
            <w:vAlign w:val="center"/>
          </w:tcPr>
          <w:p>
            <w:pPr>
              <w:jc w:val="right"/>
            </w:pPr>
            <w:r>
              <w:rPr>
                <w:color w:val="000000"/>
                <w:sz w:val="24"/>
                <w:szCs w:val="24"/>
              </w:rPr>
              <w:t>440,478,399.00</w:t>
            </w:r>
          </w:p>
        </w:tc>
        <w:tc>
          <w:tcPr>
            <w:vAlign w:val="center"/>
          </w:tcPr>
          <w:p>
            <w:pPr>
              <w:jc w:val="right"/>
            </w:pPr>
            <w:r>
              <w:rPr>
                <w:color w:val="000000"/>
                <w:sz w:val="24"/>
                <w:szCs w:val="24"/>
              </w:rPr>
              <w:t>3.02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647,981,000.00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647,981,000.00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10,142,001.06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0.07</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658,123,001.06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3,200,000</w:t>
            </w:r>
          </w:p>
        </w:tc>
        <w:tc>
          <w:tcPr>
            <w:vAlign w:val="center"/>
          </w:tcPr>
          <w:p>
            <w:pPr>
              <w:jc w:val="right"/>
            </w:pPr>
            <w:r>
              <w:rPr>
                <w:color w:val="000000"/>
                <w:sz w:val="24"/>
                <w:szCs w:val="24"/>
              </w:rPr>
              <w:t>320,096,000.00</w:t>
            </w:r>
          </w:p>
        </w:tc>
        <w:tc>
          <w:tcPr>
            <w:vAlign w:val="center"/>
          </w:tcPr>
          <w:p>
            <w:pPr>
              <w:jc w:val="right"/>
            </w:pPr>
            <w:r>
              <w:rPr>
                <w:color w:val="000000"/>
                <w:sz w:val="24"/>
                <w:szCs w:val="24"/>
              </w:rPr>
              <w:t>2.19</w:t>
            </w:r>
          </w:p>
        </w:tc>
      </w:tr>
      <w:tr>
        <w:tc>
          <w:tcPr>
            <w:vAlign w:val="center"/>
          </w:tcPr>
          <w:p>
            <w:pPr>
              <w:jc w:val="center"/>
            </w:pPr>
            <w:r>
              <w:rPr>
                <w:color w:val="000000"/>
                <w:sz w:val="24"/>
                <w:szCs w:val="24"/>
              </w:rPr>
              <w:t>2</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1,500,000</w:t>
            </w:r>
          </w:p>
        </w:tc>
        <w:tc>
          <w:tcPr>
            <w:vAlign w:val="center"/>
          </w:tcPr>
          <w:p>
            <w:pPr>
              <w:jc w:val="right"/>
            </w:pPr>
            <w:r>
              <w:rPr>
                <w:color w:val="000000"/>
                <w:sz w:val="24"/>
                <w:szCs w:val="24"/>
              </w:rPr>
              <w:t>148,605,000.00</w:t>
            </w:r>
          </w:p>
        </w:tc>
        <w:tc>
          <w:tcPr>
            <w:vAlign w:val="center"/>
          </w:tcPr>
          <w:p>
            <w:pPr>
              <w:jc w:val="right"/>
            </w:pPr>
            <w:r>
              <w:rPr>
                <w:color w:val="000000"/>
                <w:sz w:val="24"/>
                <w:szCs w:val="24"/>
              </w:rPr>
              <w:t>1.02</w:t>
            </w:r>
          </w:p>
        </w:tc>
      </w:tr>
      <w:tr>
        <w:tc>
          <w:tcPr>
            <w:vAlign w:val="center"/>
          </w:tcPr>
          <w:p>
            <w:pPr>
              <w:jc w:val="center"/>
            </w:pPr>
            <w:r>
              <w:rPr>
                <w:color w:val="000000"/>
                <w:sz w:val="24"/>
                <w:szCs w:val="24"/>
              </w:rPr>
              <w:t>3</w:t>
            </w:r>
          </w:p>
        </w:tc>
        <w:tc>
          <w:tcPr>
            <w:vAlign w:val="center"/>
          </w:tcPr>
          <w:p>
            <w:pPr>
              <w:jc w:val="center"/>
            </w:pPr>
            <w:r>
              <w:rPr>
                <w:color w:val="000000"/>
                <w:sz w:val="24"/>
                <w:szCs w:val="24"/>
              </w:rPr>
              <w:t>200406</w:t>
            </w:r>
          </w:p>
        </w:tc>
        <w:tc>
          <w:tcPr>
            <w:vAlign w:val="center"/>
          </w:tcPr>
          <w:p>
            <w:pPr>
              <w:jc w:val="center"/>
            </w:pPr>
            <w:r>
              <w:rPr>
                <w:color w:val="000000"/>
                <w:sz w:val="24"/>
                <w:szCs w:val="24"/>
              </w:rPr>
              <w:t>20农发06</w:t>
            </w:r>
          </w:p>
        </w:tc>
        <w:tc>
          <w:tcPr>
            <w:vAlign w:val="center"/>
          </w:tcPr>
          <w:p>
            <w:pPr>
              <w:jc w:val="right"/>
            </w:pPr>
            <w:r>
              <w:rPr>
                <w:color w:val="000000"/>
                <w:sz w:val="24"/>
                <w:szCs w:val="24"/>
              </w:rPr>
              <w:t>900,000</w:t>
            </w:r>
          </w:p>
        </w:tc>
        <w:tc>
          <w:tcPr>
            <w:vAlign w:val="center"/>
          </w:tcPr>
          <w:p>
            <w:pPr>
              <w:jc w:val="right"/>
            </w:pPr>
            <w:r>
              <w:rPr>
                <w:color w:val="000000"/>
                <w:sz w:val="24"/>
                <w:szCs w:val="24"/>
              </w:rPr>
              <w:t>89,523,000.00</w:t>
            </w:r>
          </w:p>
        </w:tc>
        <w:tc>
          <w:tcPr>
            <w:vAlign w:val="center"/>
          </w:tcPr>
          <w:p>
            <w:pPr>
              <w:jc w:val="right"/>
            </w:pPr>
            <w:r>
              <w:rPr>
                <w:color w:val="000000"/>
                <w:sz w:val="24"/>
                <w:szCs w:val="24"/>
              </w:rPr>
              <w:t>0.61</w:t>
            </w:r>
          </w:p>
        </w:tc>
      </w:tr>
      <w:tr>
        <w:tc>
          <w:tcPr>
            <w:vAlign w:val="center"/>
          </w:tcPr>
          <w:p>
            <w:pPr>
              <w:jc w:val="center"/>
            </w:pPr>
            <w:r>
              <w:rPr>
                <w:color w:val="000000"/>
                <w:sz w:val="24"/>
                <w:szCs w:val="24"/>
              </w:rPr>
              <w:t>4</w:t>
            </w:r>
          </w:p>
        </w:tc>
        <w:tc>
          <w:tcPr>
            <w:vAlign w:val="center"/>
          </w:tcPr>
          <w:p>
            <w:pPr>
              <w:jc w:val="center"/>
            </w:pPr>
            <w:r>
              <w:rPr>
                <w:color w:val="000000"/>
                <w:sz w:val="24"/>
                <w:szCs w:val="24"/>
              </w:rPr>
              <w:t>200309</w:t>
            </w:r>
          </w:p>
        </w:tc>
        <w:tc>
          <w:tcPr>
            <w:vAlign w:val="center"/>
          </w:tcPr>
          <w:p>
            <w:pPr>
              <w:jc w:val="center"/>
            </w:pPr>
            <w:r>
              <w:rPr>
                <w:color w:val="000000"/>
                <w:sz w:val="24"/>
                <w:szCs w:val="24"/>
              </w:rPr>
              <w:t>20进出09</w:t>
            </w:r>
          </w:p>
        </w:tc>
        <w:tc>
          <w:tcPr>
            <w:vAlign w:val="center"/>
          </w:tcPr>
          <w:p>
            <w:pPr>
              <w:jc w:val="right"/>
            </w:pPr>
            <w:r>
              <w:rPr>
                <w:color w:val="000000"/>
                <w:sz w:val="24"/>
                <w:szCs w:val="24"/>
              </w:rPr>
              <w:t>600,000</w:t>
            </w:r>
          </w:p>
        </w:tc>
        <w:tc>
          <w:tcPr>
            <w:vAlign w:val="center"/>
          </w:tcPr>
          <w:p>
            <w:pPr>
              <w:jc w:val="right"/>
            </w:pPr>
            <w:r>
              <w:rPr>
                <w:color w:val="000000"/>
                <w:sz w:val="24"/>
                <w:szCs w:val="24"/>
              </w:rPr>
              <w:t>59,850,000.00</w:t>
            </w:r>
          </w:p>
        </w:tc>
        <w:tc>
          <w:tcPr>
            <w:vAlign w:val="center"/>
          </w:tcPr>
          <w:p>
            <w:pPr>
              <w:jc w:val="right"/>
            </w:pPr>
            <w:r>
              <w:rPr>
                <w:color w:val="000000"/>
                <w:sz w:val="24"/>
                <w:szCs w:val="24"/>
              </w:rPr>
              <w:t>0.41</w:t>
            </w:r>
          </w:p>
        </w:tc>
      </w:tr>
      <w:tr>
        <w:tc>
          <w:tcPr>
            <w:vAlign w:val="center"/>
          </w:tcPr>
          <w:p>
            <w:pPr>
              <w:jc w:val="center"/>
            </w:pPr>
            <w:r>
              <w:rPr>
                <w:color w:val="000000"/>
                <w:sz w:val="24"/>
                <w:szCs w:val="24"/>
              </w:rPr>
              <w:t>5</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300,000</w:t>
            </w:r>
          </w:p>
        </w:tc>
        <w:tc>
          <w:tcPr>
            <w:vAlign w:val="center"/>
          </w:tcPr>
          <w:p>
            <w:pPr>
              <w:jc w:val="right"/>
            </w:pPr>
            <w:r>
              <w:rPr>
                <w:color w:val="000000"/>
                <w:sz w:val="24"/>
                <w:szCs w:val="24"/>
              </w:rPr>
              <w:t>29,907,000.00</w:t>
            </w:r>
          </w:p>
        </w:tc>
        <w:tc>
          <w:tcPr>
            <w:vAlign w:val="center"/>
          </w:tcPr>
          <w:p>
            <w:pPr>
              <w:jc w:val="right"/>
            </w:pPr>
            <w:r>
              <w:rPr>
                <w:color w:val="000000"/>
                <w:sz w:val="24"/>
                <w:szCs w:val="24"/>
              </w:rPr>
              <w:t>0.20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4,393,977.79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70,000,000.50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9,740,301.08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29,621,721.53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113,756,000.90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5,368,754.16</w:t>
            </w:r>
          </w:p>
        </w:tc>
        <w:tc>
          <w:tcPr>
            <w:vAlign w:val="center"/>
          </w:tcPr>
          <w:p>
            <w:pPr>
              <w:jc w:val="right"/>
            </w:pPr>
            <w:r>
              <w:rPr>
                <w:color w:val="000000"/>
                <w:sz w:val="24"/>
                <w:szCs w:val="24"/>
              </w:rPr>
              <w:t>0.04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204,739,000.00</w:t>
            </w:r>
          </w:p>
        </w:tc>
        <w:tc>
          <w:tcPr>
            <w:vAlign w:val="center"/>
          </w:tcPr>
          <w:p>
            <w:pPr>
              <w:jc w:val="right"/>
            </w:pPr>
            <w:r>
              <w:rPr>
                <w:color w:val="000000"/>
                <w:sz w:val="24"/>
                <w:szCs w:val="24"/>
              </w:rPr>
              <w:t>1.40</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603816</w:t>
            </w:r>
          </w:p>
        </w:tc>
        <w:tc>
          <w:tcPr>
            <w:vAlign w:val="center"/>
          </w:tcPr>
          <w:p>
            <w:pPr>
              <w:jc w:val="center"/>
            </w:pPr>
            <w:r>
              <w:rPr>
                <w:color w:val="000000"/>
                <w:sz w:val="24"/>
                <w:szCs w:val="24"/>
              </w:rPr>
              <w:t>顾家家居</w:t>
            </w:r>
          </w:p>
        </w:tc>
        <w:tc>
          <w:tcPr>
            <w:vAlign w:val="center"/>
          </w:tcPr>
          <w:p>
            <w:pPr>
              <w:jc w:val="right"/>
            </w:pPr>
            <w:r>
              <w:rPr>
                <w:color w:val="000000"/>
                <w:sz w:val="24"/>
                <w:szCs w:val="24"/>
              </w:rPr>
              <w:t>102,798,000.00</w:t>
            </w:r>
          </w:p>
        </w:tc>
        <w:tc>
          <w:tcPr>
            <w:vAlign w:val="center"/>
          </w:tcPr>
          <w:p>
            <w:pPr>
              <w:jc w:val="right"/>
            </w:pPr>
            <w:r>
              <w:rPr>
                <w:color w:val="000000"/>
                <w:sz w:val="24"/>
                <w:szCs w:val="24"/>
              </w:rPr>
              <w:t>0.70</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3</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57,585,000.00</w:t>
            </w:r>
          </w:p>
        </w:tc>
        <w:tc>
          <w:tcPr>
            <w:vAlign w:val="center"/>
          </w:tcPr>
          <w:p>
            <w:pPr>
              <w:jc w:val="right"/>
            </w:pPr>
            <w:r>
              <w:rPr>
                <w:color w:val="000000"/>
                <w:sz w:val="24"/>
                <w:szCs w:val="24"/>
              </w:rPr>
              <w:t>0.39</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4,250,365,307.13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2,084,980,728.45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1,337,883,136.47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4,997,462,899.11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    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1、中国证监会准予交银施罗德新生活力灵活配置混合型证券投资基金募集注册的文件；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2、《交银施罗德新生活力灵活配置混合型证券投资基金基金合同》；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3、《交银施罗德新生活力灵活配置混合型证券投资基金招募说明书》；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4、《交银施罗德新生活力灵活配置混合型证券投资基金托管协议》；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5、关于申请募集注册交银施罗德新生活力灵活配置混合型证券投资基金的法律意见书；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8、报告期内交银施罗德新生活力灵活配置混合型证券投资基金在指定报刊上各项公告的原稿。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交银施罗德新生活力灵活配置混合型证券投资基金2020年第3季度报告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