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交银施罗德成长混合型证券投资基金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10E1A" w:rsidRDefault="00E227F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10E1A" w:rsidRDefault="00E227F9">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10E1A" w:rsidRDefault="00E227F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10E1A" w:rsidRDefault="00E227F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10E1A" w:rsidRDefault="00E227F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交银成长混合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519692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2006</w:t>
            </w:r>
            <w:r w:rsidRPr="007F52FA">
              <w:rPr>
                <w:color w:val="000000"/>
                <w:kern w:val="0"/>
                <w:sz w:val="24"/>
              </w:rPr>
              <w:t>年</w:t>
            </w:r>
            <w:r w:rsidRPr="007F52FA">
              <w:rPr>
                <w:color w:val="000000"/>
                <w:kern w:val="0"/>
                <w:sz w:val="24"/>
              </w:rPr>
              <w:t>10</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543,667,872.93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75%×</w:t>
            </w:r>
            <w:r w:rsidRPr="007F52FA">
              <w:rPr>
                <w:color w:val="000000"/>
                <w:kern w:val="0"/>
                <w:sz w:val="24"/>
              </w:rPr>
              <w:t>富时中国</w:t>
            </w:r>
            <w:r w:rsidRPr="007F52FA">
              <w:rPr>
                <w:color w:val="000000"/>
                <w:kern w:val="0"/>
                <w:sz w:val="24"/>
              </w:rPr>
              <w:t>A600</w:t>
            </w:r>
            <w:r w:rsidRPr="007F52FA">
              <w:rPr>
                <w:color w:val="000000"/>
                <w:kern w:val="0"/>
                <w:sz w:val="24"/>
              </w:rPr>
              <w:t>成长指数＋</w:t>
            </w:r>
            <w:r w:rsidRPr="007F52FA">
              <w:rPr>
                <w:color w:val="000000"/>
                <w:kern w:val="0"/>
                <w:sz w:val="24"/>
              </w:rPr>
              <w:t>25%×</w:t>
            </w:r>
            <w:r w:rsidRPr="007F52FA">
              <w:rPr>
                <w:color w:val="000000"/>
                <w:kern w:val="0"/>
                <w:sz w:val="24"/>
              </w:rPr>
              <w:t>富时中国国债指数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本基金是一只混合型基金，以具有良好成长性的公司为</w:t>
            </w:r>
            <w:r w:rsidRPr="007F52FA">
              <w:rPr>
                <w:color w:val="000000"/>
                <w:kern w:val="0"/>
                <w:sz w:val="24"/>
              </w:rPr>
              <w:lastRenderedPageBreak/>
              <w:t>主要投资对象，追求超额收益，其风险和预期收益高于债券型基金和货币市场基金，低于股票型基金。属于承担较高风险、预期收益较高的证券投资基金品种。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H</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519692</w:t>
            </w:r>
            <w:r w:rsidRPr="007F52FA">
              <w:rPr>
                <w:color w:val="000000" w:themeColor="text1"/>
                <w:sz w:val="24"/>
              </w:rPr>
              <w:t>（前端）、</w:t>
            </w:r>
            <w:r w:rsidRPr="007F52FA">
              <w:rPr>
                <w:color w:val="000000" w:themeColor="text1"/>
                <w:sz w:val="24"/>
              </w:rPr>
              <w:t>519693</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960016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541,831,584.26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1,836,288.67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交银成长混合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交银成长混合</w:t>
            </w:r>
            <w:r w:rsidRPr="007F52FA">
              <w:rPr>
                <w:sz w:val="24"/>
              </w:rPr>
              <w:t>H</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363,272,847.23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969,815.09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455,907,067.70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1,169,224.76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0.8374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0.8164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3,797,612,712.79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12,934,418.64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7.0088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7.0438</w:t>
            </w:r>
          </w:p>
        </w:tc>
      </w:tr>
    </w:tbl>
    <w:p w:rsidR="00D10E1A" w:rsidRDefault="00E227F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交银成长混合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10E1A">
        <w:trPr>
          <w:jc w:val="center"/>
        </w:trPr>
        <w:tc>
          <w:tcPr>
            <w:tcW w:w="1266" w:type="dxa"/>
            <w:vAlign w:val="center"/>
          </w:tcPr>
          <w:p w:rsidR="00D10E1A" w:rsidRDefault="00E227F9">
            <w:pPr>
              <w:jc w:val="left"/>
            </w:pPr>
            <w:r>
              <w:rPr>
                <w:color w:val="000000"/>
                <w:sz w:val="24"/>
              </w:rPr>
              <w:t>过去三个月</w:t>
            </w:r>
          </w:p>
        </w:tc>
        <w:tc>
          <w:tcPr>
            <w:tcW w:w="1267" w:type="dxa"/>
            <w:vAlign w:val="center"/>
          </w:tcPr>
          <w:p w:rsidR="00D10E1A" w:rsidRDefault="00E227F9">
            <w:pPr>
              <w:jc w:val="center"/>
            </w:pPr>
            <w:r>
              <w:rPr>
                <w:color w:val="000000"/>
                <w:sz w:val="24"/>
              </w:rPr>
              <w:t>13.50%</w:t>
            </w:r>
          </w:p>
        </w:tc>
        <w:tc>
          <w:tcPr>
            <w:tcW w:w="1267" w:type="dxa"/>
            <w:vAlign w:val="center"/>
          </w:tcPr>
          <w:p w:rsidR="00D10E1A" w:rsidRDefault="00E227F9">
            <w:pPr>
              <w:jc w:val="center"/>
            </w:pPr>
            <w:r>
              <w:rPr>
                <w:color w:val="000000"/>
                <w:sz w:val="24"/>
              </w:rPr>
              <w:t>1.76%</w:t>
            </w:r>
          </w:p>
        </w:tc>
        <w:tc>
          <w:tcPr>
            <w:tcW w:w="1267" w:type="dxa"/>
            <w:vAlign w:val="center"/>
          </w:tcPr>
          <w:p w:rsidR="00D10E1A" w:rsidRDefault="00E227F9">
            <w:pPr>
              <w:jc w:val="center"/>
            </w:pPr>
            <w:r>
              <w:rPr>
                <w:color w:val="000000"/>
                <w:sz w:val="24"/>
              </w:rPr>
              <w:t>7.35%</w:t>
            </w:r>
          </w:p>
        </w:tc>
        <w:tc>
          <w:tcPr>
            <w:tcW w:w="1267" w:type="dxa"/>
            <w:vAlign w:val="center"/>
          </w:tcPr>
          <w:p w:rsidR="00D10E1A" w:rsidRDefault="00E227F9">
            <w:pPr>
              <w:jc w:val="center"/>
            </w:pPr>
            <w:r>
              <w:rPr>
                <w:color w:val="000000"/>
                <w:sz w:val="24"/>
              </w:rPr>
              <w:t>1.26%</w:t>
            </w:r>
          </w:p>
        </w:tc>
        <w:tc>
          <w:tcPr>
            <w:tcW w:w="1267" w:type="dxa"/>
            <w:vAlign w:val="center"/>
          </w:tcPr>
          <w:p w:rsidR="00D10E1A" w:rsidRDefault="00E227F9">
            <w:pPr>
              <w:jc w:val="center"/>
            </w:pPr>
            <w:r>
              <w:rPr>
                <w:color w:val="000000"/>
                <w:sz w:val="24"/>
              </w:rPr>
              <w:t>6.15%</w:t>
            </w:r>
          </w:p>
        </w:tc>
        <w:tc>
          <w:tcPr>
            <w:tcW w:w="1267" w:type="dxa"/>
            <w:vAlign w:val="center"/>
          </w:tcPr>
          <w:p w:rsidR="00D10E1A" w:rsidRDefault="00E227F9">
            <w:pPr>
              <w:jc w:val="center"/>
            </w:pPr>
            <w:r>
              <w:rPr>
                <w:color w:val="000000"/>
                <w:sz w:val="24"/>
              </w:rPr>
              <w:t>0.50%</w:t>
            </w:r>
          </w:p>
        </w:tc>
      </w:tr>
      <w:tr w:rsidR="00D10E1A">
        <w:trPr>
          <w:jc w:val="center"/>
        </w:trPr>
        <w:tc>
          <w:tcPr>
            <w:tcW w:w="1266" w:type="dxa"/>
            <w:vAlign w:val="center"/>
          </w:tcPr>
          <w:p w:rsidR="00D10E1A" w:rsidRDefault="00E227F9">
            <w:pPr>
              <w:jc w:val="left"/>
            </w:pPr>
            <w:r>
              <w:rPr>
                <w:color w:val="000000"/>
                <w:sz w:val="24"/>
              </w:rPr>
              <w:t>过去六个月</w:t>
            </w:r>
          </w:p>
        </w:tc>
        <w:tc>
          <w:tcPr>
            <w:tcW w:w="1267" w:type="dxa"/>
            <w:vAlign w:val="center"/>
          </w:tcPr>
          <w:p w:rsidR="00D10E1A" w:rsidRDefault="00E227F9">
            <w:pPr>
              <w:jc w:val="center"/>
            </w:pPr>
            <w:r>
              <w:rPr>
                <w:color w:val="000000"/>
                <w:sz w:val="24"/>
              </w:rPr>
              <w:t>36.70%</w:t>
            </w:r>
          </w:p>
        </w:tc>
        <w:tc>
          <w:tcPr>
            <w:tcW w:w="1267" w:type="dxa"/>
            <w:vAlign w:val="center"/>
          </w:tcPr>
          <w:p w:rsidR="00D10E1A" w:rsidRDefault="00E227F9">
            <w:pPr>
              <w:jc w:val="center"/>
            </w:pPr>
            <w:r>
              <w:rPr>
                <w:color w:val="000000"/>
                <w:sz w:val="24"/>
              </w:rPr>
              <w:t>1.56%</w:t>
            </w:r>
          </w:p>
        </w:tc>
        <w:tc>
          <w:tcPr>
            <w:tcW w:w="1267" w:type="dxa"/>
            <w:vAlign w:val="center"/>
          </w:tcPr>
          <w:p w:rsidR="00D10E1A" w:rsidRDefault="00E227F9">
            <w:pPr>
              <w:jc w:val="center"/>
            </w:pPr>
            <w:r>
              <w:rPr>
                <w:color w:val="000000"/>
                <w:sz w:val="24"/>
              </w:rPr>
              <w:t>24.19%</w:t>
            </w:r>
          </w:p>
        </w:tc>
        <w:tc>
          <w:tcPr>
            <w:tcW w:w="1267" w:type="dxa"/>
            <w:vAlign w:val="center"/>
          </w:tcPr>
          <w:p w:rsidR="00D10E1A" w:rsidRDefault="00E227F9">
            <w:pPr>
              <w:jc w:val="center"/>
            </w:pPr>
            <w:r>
              <w:rPr>
                <w:color w:val="000000"/>
                <w:sz w:val="24"/>
              </w:rPr>
              <w:t>1.06%</w:t>
            </w:r>
          </w:p>
        </w:tc>
        <w:tc>
          <w:tcPr>
            <w:tcW w:w="1267" w:type="dxa"/>
            <w:vAlign w:val="center"/>
          </w:tcPr>
          <w:p w:rsidR="00D10E1A" w:rsidRDefault="00E227F9">
            <w:pPr>
              <w:jc w:val="center"/>
            </w:pPr>
            <w:r>
              <w:rPr>
                <w:color w:val="000000"/>
                <w:sz w:val="24"/>
              </w:rPr>
              <w:t>12.51%</w:t>
            </w:r>
          </w:p>
        </w:tc>
        <w:tc>
          <w:tcPr>
            <w:tcW w:w="1267" w:type="dxa"/>
            <w:vAlign w:val="center"/>
          </w:tcPr>
          <w:p w:rsidR="00D10E1A" w:rsidRDefault="00E227F9">
            <w:pPr>
              <w:jc w:val="center"/>
            </w:pPr>
            <w:r>
              <w:rPr>
                <w:color w:val="000000"/>
                <w:sz w:val="24"/>
              </w:rPr>
              <w:t>0.50%</w:t>
            </w:r>
          </w:p>
        </w:tc>
      </w:tr>
      <w:tr w:rsidR="00D10E1A">
        <w:trPr>
          <w:jc w:val="center"/>
        </w:trPr>
        <w:tc>
          <w:tcPr>
            <w:tcW w:w="1266" w:type="dxa"/>
            <w:vAlign w:val="center"/>
          </w:tcPr>
          <w:p w:rsidR="00D10E1A" w:rsidRDefault="00E227F9">
            <w:pPr>
              <w:jc w:val="left"/>
            </w:pPr>
            <w:r>
              <w:rPr>
                <w:color w:val="000000"/>
                <w:sz w:val="24"/>
              </w:rPr>
              <w:t>过去一年</w:t>
            </w:r>
          </w:p>
        </w:tc>
        <w:tc>
          <w:tcPr>
            <w:tcW w:w="1267" w:type="dxa"/>
            <w:vAlign w:val="center"/>
          </w:tcPr>
          <w:p w:rsidR="00D10E1A" w:rsidRDefault="00E227F9">
            <w:pPr>
              <w:jc w:val="center"/>
            </w:pPr>
            <w:r>
              <w:rPr>
                <w:color w:val="000000"/>
                <w:sz w:val="24"/>
              </w:rPr>
              <w:t>74.16%</w:t>
            </w:r>
          </w:p>
        </w:tc>
        <w:tc>
          <w:tcPr>
            <w:tcW w:w="1267" w:type="dxa"/>
            <w:vAlign w:val="center"/>
          </w:tcPr>
          <w:p w:rsidR="00D10E1A" w:rsidRDefault="00E227F9">
            <w:pPr>
              <w:jc w:val="center"/>
            </w:pPr>
            <w:r>
              <w:rPr>
                <w:color w:val="000000"/>
                <w:sz w:val="24"/>
              </w:rPr>
              <w:t>1.55%</w:t>
            </w:r>
          </w:p>
        </w:tc>
        <w:tc>
          <w:tcPr>
            <w:tcW w:w="1267" w:type="dxa"/>
            <w:vAlign w:val="center"/>
          </w:tcPr>
          <w:p w:rsidR="00D10E1A" w:rsidRDefault="00E227F9">
            <w:pPr>
              <w:jc w:val="center"/>
            </w:pPr>
            <w:r>
              <w:rPr>
                <w:color w:val="000000"/>
                <w:sz w:val="24"/>
              </w:rPr>
              <w:t>24.80%</w:t>
            </w:r>
          </w:p>
        </w:tc>
        <w:tc>
          <w:tcPr>
            <w:tcW w:w="1267" w:type="dxa"/>
            <w:vAlign w:val="center"/>
          </w:tcPr>
          <w:p w:rsidR="00D10E1A" w:rsidRDefault="00E227F9">
            <w:pPr>
              <w:jc w:val="center"/>
            </w:pPr>
            <w:r>
              <w:rPr>
                <w:color w:val="000000"/>
                <w:sz w:val="24"/>
              </w:rPr>
              <w:t>1.10%</w:t>
            </w:r>
          </w:p>
        </w:tc>
        <w:tc>
          <w:tcPr>
            <w:tcW w:w="1267" w:type="dxa"/>
            <w:vAlign w:val="center"/>
          </w:tcPr>
          <w:p w:rsidR="00D10E1A" w:rsidRDefault="00E227F9">
            <w:pPr>
              <w:jc w:val="center"/>
            </w:pPr>
            <w:r>
              <w:rPr>
                <w:color w:val="000000"/>
                <w:sz w:val="24"/>
              </w:rPr>
              <w:t>49.36%</w:t>
            </w:r>
          </w:p>
        </w:tc>
        <w:tc>
          <w:tcPr>
            <w:tcW w:w="1267" w:type="dxa"/>
            <w:vAlign w:val="center"/>
          </w:tcPr>
          <w:p w:rsidR="00D10E1A" w:rsidRDefault="00E227F9">
            <w:pPr>
              <w:jc w:val="center"/>
            </w:pPr>
            <w:r>
              <w:rPr>
                <w:color w:val="000000"/>
                <w:sz w:val="24"/>
              </w:rPr>
              <w:t>0.45%</w:t>
            </w:r>
          </w:p>
        </w:tc>
      </w:tr>
      <w:tr w:rsidR="00D10E1A">
        <w:trPr>
          <w:jc w:val="center"/>
        </w:trPr>
        <w:tc>
          <w:tcPr>
            <w:tcW w:w="1266" w:type="dxa"/>
            <w:vAlign w:val="center"/>
          </w:tcPr>
          <w:p w:rsidR="00D10E1A" w:rsidRDefault="00E227F9">
            <w:pPr>
              <w:jc w:val="left"/>
            </w:pPr>
            <w:r>
              <w:rPr>
                <w:color w:val="000000"/>
                <w:sz w:val="24"/>
              </w:rPr>
              <w:t>过去三年</w:t>
            </w:r>
          </w:p>
        </w:tc>
        <w:tc>
          <w:tcPr>
            <w:tcW w:w="1267" w:type="dxa"/>
            <w:vAlign w:val="center"/>
          </w:tcPr>
          <w:p w:rsidR="00D10E1A" w:rsidRDefault="00E227F9">
            <w:pPr>
              <w:jc w:val="center"/>
            </w:pPr>
            <w:r>
              <w:rPr>
                <w:color w:val="000000"/>
                <w:sz w:val="24"/>
              </w:rPr>
              <w:t>59.47%</w:t>
            </w:r>
          </w:p>
        </w:tc>
        <w:tc>
          <w:tcPr>
            <w:tcW w:w="1267" w:type="dxa"/>
            <w:vAlign w:val="center"/>
          </w:tcPr>
          <w:p w:rsidR="00D10E1A" w:rsidRDefault="00E227F9">
            <w:pPr>
              <w:jc w:val="center"/>
            </w:pPr>
            <w:r>
              <w:rPr>
                <w:color w:val="000000"/>
                <w:sz w:val="24"/>
              </w:rPr>
              <w:t>1.40%</w:t>
            </w:r>
          </w:p>
        </w:tc>
        <w:tc>
          <w:tcPr>
            <w:tcW w:w="1267" w:type="dxa"/>
            <w:vAlign w:val="center"/>
          </w:tcPr>
          <w:p w:rsidR="00D10E1A" w:rsidRDefault="00E227F9">
            <w:pPr>
              <w:jc w:val="center"/>
            </w:pPr>
            <w:r>
              <w:rPr>
                <w:color w:val="000000"/>
                <w:sz w:val="24"/>
              </w:rPr>
              <w:t>23.80%</w:t>
            </w:r>
          </w:p>
        </w:tc>
        <w:tc>
          <w:tcPr>
            <w:tcW w:w="1267" w:type="dxa"/>
            <w:vAlign w:val="center"/>
          </w:tcPr>
          <w:p w:rsidR="00D10E1A" w:rsidRDefault="00E227F9">
            <w:pPr>
              <w:jc w:val="center"/>
            </w:pPr>
            <w:r>
              <w:rPr>
                <w:color w:val="000000"/>
                <w:sz w:val="24"/>
              </w:rPr>
              <w:t>1.09%</w:t>
            </w:r>
          </w:p>
        </w:tc>
        <w:tc>
          <w:tcPr>
            <w:tcW w:w="1267" w:type="dxa"/>
            <w:vAlign w:val="center"/>
          </w:tcPr>
          <w:p w:rsidR="00D10E1A" w:rsidRDefault="00E227F9">
            <w:pPr>
              <w:jc w:val="center"/>
            </w:pPr>
            <w:r>
              <w:rPr>
                <w:color w:val="000000"/>
                <w:sz w:val="24"/>
              </w:rPr>
              <w:t>35.67%</w:t>
            </w:r>
          </w:p>
        </w:tc>
        <w:tc>
          <w:tcPr>
            <w:tcW w:w="1267" w:type="dxa"/>
            <w:vAlign w:val="center"/>
          </w:tcPr>
          <w:p w:rsidR="00D10E1A" w:rsidRDefault="00E227F9">
            <w:pPr>
              <w:jc w:val="center"/>
            </w:pPr>
            <w:r>
              <w:rPr>
                <w:color w:val="000000"/>
                <w:sz w:val="24"/>
              </w:rPr>
              <w:t>0.31%</w:t>
            </w:r>
          </w:p>
        </w:tc>
      </w:tr>
      <w:tr w:rsidR="00D10E1A">
        <w:trPr>
          <w:jc w:val="center"/>
        </w:trPr>
        <w:tc>
          <w:tcPr>
            <w:tcW w:w="1266" w:type="dxa"/>
            <w:vAlign w:val="center"/>
          </w:tcPr>
          <w:p w:rsidR="00D10E1A" w:rsidRDefault="00E227F9">
            <w:pPr>
              <w:jc w:val="left"/>
            </w:pPr>
            <w:r>
              <w:rPr>
                <w:color w:val="000000"/>
                <w:sz w:val="24"/>
              </w:rPr>
              <w:t>过去五年</w:t>
            </w:r>
          </w:p>
        </w:tc>
        <w:tc>
          <w:tcPr>
            <w:tcW w:w="1267" w:type="dxa"/>
            <w:vAlign w:val="center"/>
          </w:tcPr>
          <w:p w:rsidR="00D10E1A" w:rsidRDefault="00E227F9">
            <w:pPr>
              <w:jc w:val="center"/>
            </w:pPr>
            <w:r>
              <w:rPr>
                <w:color w:val="000000"/>
                <w:sz w:val="24"/>
              </w:rPr>
              <w:t>86.48%</w:t>
            </w:r>
          </w:p>
        </w:tc>
        <w:tc>
          <w:tcPr>
            <w:tcW w:w="1267" w:type="dxa"/>
            <w:vAlign w:val="center"/>
          </w:tcPr>
          <w:p w:rsidR="00D10E1A" w:rsidRDefault="00E227F9">
            <w:pPr>
              <w:jc w:val="center"/>
            </w:pPr>
            <w:r>
              <w:rPr>
                <w:color w:val="000000"/>
                <w:sz w:val="24"/>
              </w:rPr>
              <w:t>1.40%</w:t>
            </w:r>
          </w:p>
        </w:tc>
        <w:tc>
          <w:tcPr>
            <w:tcW w:w="1267" w:type="dxa"/>
            <w:vAlign w:val="center"/>
          </w:tcPr>
          <w:p w:rsidR="00D10E1A" w:rsidRDefault="00E227F9">
            <w:pPr>
              <w:jc w:val="center"/>
            </w:pPr>
            <w:r>
              <w:rPr>
                <w:color w:val="000000"/>
                <w:sz w:val="24"/>
              </w:rPr>
              <w:t>29.40%</w:t>
            </w:r>
          </w:p>
        </w:tc>
        <w:tc>
          <w:tcPr>
            <w:tcW w:w="1267" w:type="dxa"/>
            <w:vAlign w:val="center"/>
          </w:tcPr>
          <w:p w:rsidR="00D10E1A" w:rsidRDefault="00E227F9">
            <w:pPr>
              <w:jc w:val="center"/>
            </w:pPr>
            <w:r>
              <w:rPr>
                <w:color w:val="000000"/>
                <w:sz w:val="24"/>
              </w:rPr>
              <w:t>1.09%</w:t>
            </w:r>
          </w:p>
        </w:tc>
        <w:tc>
          <w:tcPr>
            <w:tcW w:w="1267" w:type="dxa"/>
            <w:vAlign w:val="center"/>
          </w:tcPr>
          <w:p w:rsidR="00D10E1A" w:rsidRDefault="00E227F9">
            <w:pPr>
              <w:jc w:val="center"/>
            </w:pPr>
            <w:r>
              <w:rPr>
                <w:color w:val="000000"/>
                <w:sz w:val="24"/>
              </w:rPr>
              <w:t>57.08%</w:t>
            </w:r>
          </w:p>
        </w:tc>
        <w:tc>
          <w:tcPr>
            <w:tcW w:w="1267" w:type="dxa"/>
            <w:vAlign w:val="center"/>
          </w:tcPr>
          <w:p w:rsidR="00D10E1A" w:rsidRDefault="00E227F9">
            <w:pPr>
              <w:jc w:val="center"/>
            </w:pPr>
            <w:r>
              <w:rPr>
                <w:color w:val="000000"/>
                <w:sz w:val="24"/>
              </w:rPr>
              <w:t>0.31%</w:t>
            </w:r>
          </w:p>
        </w:tc>
      </w:tr>
      <w:tr w:rsidR="00D10E1A">
        <w:trPr>
          <w:jc w:val="center"/>
        </w:trPr>
        <w:tc>
          <w:tcPr>
            <w:tcW w:w="1266" w:type="dxa"/>
            <w:vAlign w:val="center"/>
          </w:tcPr>
          <w:p w:rsidR="00D10E1A" w:rsidRDefault="00E227F9">
            <w:pPr>
              <w:jc w:val="left"/>
            </w:pPr>
            <w:r>
              <w:rPr>
                <w:color w:val="000000"/>
                <w:sz w:val="24"/>
              </w:rPr>
              <w:t>自基金合同生效起至今</w:t>
            </w:r>
          </w:p>
        </w:tc>
        <w:tc>
          <w:tcPr>
            <w:tcW w:w="1267" w:type="dxa"/>
            <w:vAlign w:val="center"/>
          </w:tcPr>
          <w:p w:rsidR="00D10E1A" w:rsidRDefault="00E227F9">
            <w:pPr>
              <w:jc w:val="center"/>
            </w:pPr>
            <w:r>
              <w:rPr>
                <w:color w:val="000000"/>
                <w:sz w:val="24"/>
              </w:rPr>
              <w:t>798.85%</w:t>
            </w:r>
          </w:p>
        </w:tc>
        <w:tc>
          <w:tcPr>
            <w:tcW w:w="1267" w:type="dxa"/>
            <w:vAlign w:val="center"/>
          </w:tcPr>
          <w:p w:rsidR="00D10E1A" w:rsidRDefault="00E227F9">
            <w:pPr>
              <w:jc w:val="center"/>
            </w:pPr>
            <w:r>
              <w:rPr>
                <w:color w:val="000000"/>
                <w:sz w:val="24"/>
              </w:rPr>
              <w:t>1.62%</w:t>
            </w:r>
          </w:p>
        </w:tc>
        <w:tc>
          <w:tcPr>
            <w:tcW w:w="1267" w:type="dxa"/>
            <w:vAlign w:val="center"/>
          </w:tcPr>
          <w:p w:rsidR="00D10E1A" w:rsidRDefault="00E227F9">
            <w:pPr>
              <w:jc w:val="center"/>
            </w:pPr>
            <w:r>
              <w:rPr>
                <w:color w:val="000000"/>
                <w:sz w:val="24"/>
              </w:rPr>
              <w:t>126.36%</w:t>
            </w:r>
          </w:p>
        </w:tc>
        <w:tc>
          <w:tcPr>
            <w:tcW w:w="1267" w:type="dxa"/>
            <w:vAlign w:val="center"/>
          </w:tcPr>
          <w:p w:rsidR="00D10E1A" w:rsidRDefault="00E227F9">
            <w:pPr>
              <w:jc w:val="center"/>
            </w:pPr>
            <w:r>
              <w:rPr>
                <w:color w:val="000000"/>
                <w:sz w:val="24"/>
              </w:rPr>
              <w:t>1.35%</w:t>
            </w:r>
          </w:p>
        </w:tc>
        <w:tc>
          <w:tcPr>
            <w:tcW w:w="1267" w:type="dxa"/>
            <w:vAlign w:val="center"/>
          </w:tcPr>
          <w:p w:rsidR="00D10E1A" w:rsidRDefault="00E227F9">
            <w:pPr>
              <w:jc w:val="center"/>
            </w:pPr>
            <w:r>
              <w:rPr>
                <w:color w:val="000000"/>
                <w:sz w:val="24"/>
              </w:rPr>
              <w:t>672.49%</w:t>
            </w:r>
          </w:p>
        </w:tc>
        <w:tc>
          <w:tcPr>
            <w:tcW w:w="1267" w:type="dxa"/>
            <w:vAlign w:val="center"/>
          </w:tcPr>
          <w:p w:rsidR="00D10E1A" w:rsidRDefault="00E227F9">
            <w:pPr>
              <w:jc w:val="center"/>
            </w:pPr>
            <w:r>
              <w:rPr>
                <w:color w:val="000000"/>
                <w:sz w:val="24"/>
              </w:rPr>
              <w:t>0.27%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交银成长混合</w:t>
      </w:r>
      <w:r w:rsidR="00FE7FBD" w:rsidRPr="007F52FA">
        <w:rPr>
          <w:b/>
          <w:color w:val="000000"/>
          <w:kern w:val="0"/>
          <w:sz w:val="24"/>
        </w:rPr>
        <w:t>H</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10E1A">
        <w:trPr>
          <w:jc w:val="center"/>
        </w:trPr>
        <w:tc>
          <w:tcPr>
            <w:tcW w:w="1266" w:type="dxa"/>
            <w:vAlign w:val="center"/>
          </w:tcPr>
          <w:p w:rsidR="00D10E1A" w:rsidRDefault="00E227F9">
            <w:pPr>
              <w:jc w:val="left"/>
            </w:pPr>
            <w:r>
              <w:rPr>
                <w:color w:val="000000"/>
                <w:sz w:val="24"/>
              </w:rPr>
              <w:t>过去三个月</w:t>
            </w:r>
          </w:p>
        </w:tc>
        <w:tc>
          <w:tcPr>
            <w:tcW w:w="1267" w:type="dxa"/>
            <w:vAlign w:val="center"/>
          </w:tcPr>
          <w:p w:rsidR="00D10E1A" w:rsidRDefault="00E227F9">
            <w:pPr>
              <w:jc w:val="center"/>
            </w:pPr>
            <w:r>
              <w:rPr>
                <w:color w:val="000000"/>
                <w:sz w:val="24"/>
              </w:rPr>
              <w:t>13.48%</w:t>
            </w:r>
          </w:p>
        </w:tc>
        <w:tc>
          <w:tcPr>
            <w:tcW w:w="1267" w:type="dxa"/>
            <w:vAlign w:val="center"/>
          </w:tcPr>
          <w:p w:rsidR="00D10E1A" w:rsidRDefault="00E227F9">
            <w:pPr>
              <w:jc w:val="center"/>
            </w:pPr>
            <w:r>
              <w:rPr>
                <w:color w:val="000000"/>
                <w:sz w:val="24"/>
              </w:rPr>
              <w:t>1.76%</w:t>
            </w:r>
          </w:p>
        </w:tc>
        <w:tc>
          <w:tcPr>
            <w:tcW w:w="1267" w:type="dxa"/>
            <w:vAlign w:val="center"/>
          </w:tcPr>
          <w:p w:rsidR="00D10E1A" w:rsidRDefault="00E227F9">
            <w:pPr>
              <w:jc w:val="center"/>
            </w:pPr>
            <w:r>
              <w:rPr>
                <w:color w:val="000000"/>
                <w:sz w:val="24"/>
              </w:rPr>
              <w:t>7.35%</w:t>
            </w:r>
          </w:p>
        </w:tc>
        <w:tc>
          <w:tcPr>
            <w:tcW w:w="1267" w:type="dxa"/>
            <w:vAlign w:val="center"/>
          </w:tcPr>
          <w:p w:rsidR="00D10E1A" w:rsidRDefault="00E227F9">
            <w:pPr>
              <w:jc w:val="center"/>
            </w:pPr>
            <w:r>
              <w:rPr>
                <w:color w:val="000000"/>
                <w:sz w:val="24"/>
              </w:rPr>
              <w:t>1.26%</w:t>
            </w:r>
          </w:p>
        </w:tc>
        <w:tc>
          <w:tcPr>
            <w:tcW w:w="1267" w:type="dxa"/>
            <w:vAlign w:val="center"/>
          </w:tcPr>
          <w:p w:rsidR="00D10E1A" w:rsidRDefault="00E227F9">
            <w:pPr>
              <w:jc w:val="center"/>
            </w:pPr>
            <w:r>
              <w:rPr>
                <w:color w:val="000000"/>
                <w:sz w:val="24"/>
              </w:rPr>
              <w:t>6.13%</w:t>
            </w:r>
          </w:p>
        </w:tc>
        <w:tc>
          <w:tcPr>
            <w:tcW w:w="1267" w:type="dxa"/>
            <w:vAlign w:val="center"/>
          </w:tcPr>
          <w:p w:rsidR="00D10E1A" w:rsidRDefault="00E227F9">
            <w:pPr>
              <w:jc w:val="center"/>
            </w:pPr>
            <w:r>
              <w:rPr>
                <w:color w:val="000000"/>
                <w:sz w:val="24"/>
              </w:rPr>
              <w:t>0.50%</w:t>
            </w:r>
          </w:p>
        </w:tc>
      </w:tr>
      <w:tr w:rsidR="00D10E1A">
        <w:trPr>
          <w:jc w:val="center"/>
        </w:trPr>
        <w:tc>
          <w:tcPr>
            <w:tcW w:w="1266" w:type="dxa"/>
            <w:vAlign w:val="center"/>
          </w:tcPr>
          <w:p w:rsidR="00D10E1A" w:rsidRDefault="00E227F9">
            <w:pPr>
              <w:jc w:val="left"/>
            </w:pPr>
            <w:r>
              <w:rPr>
                <w:color w:val="000000"/>
                <w:sz w:val="24"/>
              </w:rPr>
              <w:t>过去六个月</w:t>
            </w:r>
          </w:p>
        </w:tc>
        <w:tc>
          <w:tcPr>
            <w:tcW w:w="1267" w:type="dxa"/>
            <w:vAlign w:val="center"/>
          </w:tcPr>
          <w:p w:rsidR="00D10E1A" w:rsidRDefault="00E227F9">
            <w:pPr>
              <w:jc w:val="center"/>
            </w:pPr>
            <w:r>
              <w:rPr>
                <w:color w:val="000000"/>
                <w:sz w:val="24"/>
              </w:rPr>
              <w:t>36.70%</w:t>
            </w:r>
          </w:p>
        </w:tc>
        <w:tc>
          <w:tcPr>
            <w:tcW w:w="1267" w:type="dxa"/>
            <w:vAlign w:val="center"/>
          </w:tcPr>
          <w:p w:rsidR="00D10E1A" w:rsidRDefault="00E227F9">
            <w:pPr>
              <w:jc w:val="center"/>
            </w:pPr>
            <w:r>
              <w:rPr>
                <w:color w:val="000000"/>
                <w:sz w:val="24"/>
              </w:rPr>
              <w:t>1.56%</w:t>
            </w:r>
          </w:p>
        </w:tc>
        <w:tc>
          <w:tcPr>
            <w:tcW w:w="1267" w:type="dxa"/>
            <w:vAlign w:val="center"/>
          </w:tcPr>
          <w:p w:rsidR="00D10E1A" w:rsidRDefault="00E227F9">
            <w:pPr>
              <w:jc w:val="center"/>
            </w:pPr>
            <w:r>
              <w:rPr>
                <w:color w:val="000000"/>
                <w:sz w:val="24"/>
              </w:rPr>
              <w:t>24.19%</w:t>
            </w:r>
          </w:p>
        </w:tc>
        <w:tc>
          <w:tcPr>
            <w:tcW w:w="1267" w:type="dxa"/>
            <w:vAlign w:val="center"/>
          </w:tcPr>
          <w:p w:rsidR="00D10E1A" w:rsidRDefault="00E227F9">
            <w:pPr>
              <w:jc w:val="center"/>
            </w:pPr>
            <w:r>
              <w:rPr>
                <w:color w:val="000000"/>
                <w:sz w:val="24"/>
              </w:rPr>
              <w:t>1.06%</w:t>
            </w:r>
          </w:p>
        </w:tc>
        <w:tc>
          <w:tcPr>
            <w:tcW w:w="1267" w:type="dxa"/>
            <w:vAlign w:val="center"/>
          </w:tcPr>
          <w:p w:rsidR="00D10E1A" w:rsidRDefault="00E227F9">
            <w:pPr>
              <w:jc w:val="center"/>
            </w:pPr>
            <w:r>
              <w:rPr>
                <w:color w:val="000000"/>
                <w:sz w:val="24"/>
              </w:rPr>
              <w:t>12.51%</w:t>
            </w:r>
          </w:p>
        </w:tc>
        <w:tc>
          <w:tcPr>
            <w:tcW w:w="1267" w:type="dxa"/>
            <w:vAlign w:val="center"/>
          </w:tcPr>
          <w:p w:rsidR="00D10E1A" w:rsidRDefault="00E227F9">
            <w:pPr>
              <w:jc w:val="center"/>
            </w:pPr>
            <w:r>
              <w:rPr>
                <w:color w:val="000000"/>
                <w:sz w:val="24"/>
              </w:rPr>
              <w:t>0.50%</w:t>
            </w:r>
          </w:p>
        </w:tc>
      </w:tr>
      <w:tr w:rsidR="00D10E1A">
        <w:trPr>
          <w:jc w:val="center"/>
        </w:trPr>
        <w:tc>
          <w:tcPr>
            <w:tcW w:w="1266" w:type="dxa"/>
            <w:vAlign w:val="center"/>
          </w:tcPr>
          <w:p w:rsidR="00D10E1A" w:rsidRDefault="00E227F9">
            <w:pPr>
              <w:jc w:val="left"/>
            </w:pPr>
            <w:r>
              <w:rPr>
                <w:color w:val="000000"/>
                <w:sz w:val="24"/>
              </w:rPr>
              <w:t>过去一年</w:t>
            </w:r>
          </w:p>
        </w:tc>
        <w:tc>
          <w:tcPr>
            <w:tcW w:w="1267" w:type="dxa"/>
            <w:vAlign w:val="center"/>
          </w:tcPr>
          <w:p w:rsidR="00D10E1A" w:rsidRDefault="00E227F9">
            <w:pPr>
              <w:jc w:val="center"/>
            </w:pPr>
            <w:r>
              <w:rPr>
                <w:color w:val="000000"/>
                <w:sz w:val="24"/>
              </w:rPr>
              <w:t>74.18%</w:t>
            </w:r>
          </w:p>
        </w:tc>
        <w:tc>
          <w:tcPr>
            <w:tcW w:w="1267" w:type="dxa"/>
            <w:vAlign w:val="center"/>
          </w:tcPr>
          <w:p w:rsidR="00D10E1A" w:rsidRDefault="00E227F9">
            <w:pPr>
              <w:jc w:val="center"/>
            </w:pPr>
            <w:r>
              <w:rPr>
                <w:color w:val="000000"/>
                <w:sz w:val="24"/>
              </w:rPr>
              <w:t>1.55%</w:t>
            </w:r>
          </w:p>
        </w:tc>
        <w:tc>
          <w:tcPr>
            <w:tcW w:w="1267" w:type="dxa"/>
            <w:vAlign w:val="center"/>
          </w:tcPr>
          <w:p w:rsidR="00D10E1A" w:rsidRDefault="00E227F9">
            <w:pPr>
              <w:jc w:val="center"/>
            </w:pPr>
            <w:r>
              <w:rPr>
                <w:color w:val="000000"/>
                <w:sz w:val="24"/>
              </w:rPr>
              <w:t>24.80%</w:t>
            </w:r>
          </w:p>
        </w:tc>
        <w:tc>
          <w:tcPr>
            <w:tcW w:w="1267" w:type="dxa"/>
            <w:vAlign w:val="center"/>
          </w:tcPr>
          <w:p w:rsidR="00D10E1A" w:rsidRDefault="00E227F9">
            <w:pPr>
              <w:jc w:val="center"/>
            </w:pPr>
            <w:r>
              <w:rPr>
                <w:color w:val="000000"/>
                <w:sz w:val="24"/>
              </w:rPr>
              <w:t>1.10%</w:t>
            </w:r>
          </w:p>
        </w:tc>
        <w:tc>
          <w:tcPr>
            <w:tcW w:w="1267" w:type="dxa"/>
            <w:vAlign w:val="center"/>
          </w:tcPr>
          <w:p w:rsidR="00D10E1A" w:rsidRDefault="00E227F9">
            <w:pPr>
              <w:jc w:val="center"/>
            </w:pPr>
            <w:r>
              <w:rPr>
                <w:color w:val="000000"/>
                <w:sz w:val="24"/>
              </w:rPr>
              <w:t>49.38%</w:t>
            </w:r>
          </w:p>
        </w:tc>
        <w:tc>
          <w:tcPr>
            <w:tcW w:w="1267" w:type="dxa"/>
            <w:vAlign w:val="center"/>
          </w:tcPr>
          <w:p w:rsidR="00D10E1A" w:rsidRDefault="00E227F9">
            <w:pPr>
              <w:jc w:val="center"/>
            </w:pPr>
            <w:r>
              <w:rPr>
                <w:color w:val="000000"/>
                <w:sz w:val="24"/>
              </w:rPr>
              <w:t>0.45%</w:t>
            </w:r>
          </w:p>
        </w:tc>
      </w:tr>
      <w:tr w:rsidR="00D10E1A">
        <w:trPr>
          <w:jc w:val="center"/>
        </w:trPr>
        <w:tc>
          <w:tcPr>
            <w:tcW w:w="1266" w:type="dxa"/>
            <w:vAlign w:val="center"/>
          </w:tcPr>
          <w:p w:rsidR="00D10E1A" w:rsidRDefault="00E227F9">
            <w:pPr>
              <w:jc w:val="left"/>
            </w:pPr>
            <w:r>
              <w:rPr>
                <w:color w:val="000000"/>
                <w:sz w:val="24"/>
              </w:rPr>
              <w:t>过去三年</w:t>
            </w:r>
          </w:p>
        </w:tc>
        <w:tc>
          <w:tcPr>
            <w:tcW w:w="1267" w:type="dxa"/>
            <w:vAlign w:val="center"/>
          </w:tcPr>
          <w:p w:rsidR="00D10E1A" w:rsidRDefault="00E227F9">
            <w:pPr>
              <w:jc w:val="center"/>
            </w:pPr>
            <w:r>
              <w:rPr>
                <w:color w:val="000000"/>
                <w:sz w:val="24"/>
              </w:rPr>
              <w:t>59.31%</w:t>
            </w:r>
          </w:p>
        </w:tc>
        <w:tc>
          <w:tcPr>
            <w:tcW w:w="1267" w:type="dxa"/>
            <w:vAlign w:val="center"/>
          </w:tcPr>
          <w:p w:rsidR="00D10E1A" w:rsidRDefault="00E227F9">
            <w:pPr>
              <w:jc w:val="center"/>
            </w:pPr>
            <w:r>
              <w:rPr>
                <w:color w:val="000000"/>
                <w:sz w:val="24"/>
              </w:rPr>
              <w:t>1.40%</w:t>
            </w:r>
          </w:p>
        </w:tc>
        <w:tc>
          <w:tcPr>
            <w:tcW w:w="1267" w:type="dxa"/>
            <w:vAlign w:val="center"/>
          </w:tcPr>
          <w:p w:rsidR="00D10E1A" w:rsidRDefault="00E227F9">
            <w:pPr>
              <w:jc w:val="center"/>
            </w:pPr>
            <w:r>
              <w:rPr>
                <w:color w:val="000000"/>
                <w:sz w:val="24"/>
              </w:rPr>
              <w:t>23.80%</w:t>
            </w:r>
          </w:p>
        </w:tc>
        <w:tc>
          <w:tcPr>
            <w:tcW w:w="1267" w:type="dxa"/>
            <w:vAlign w:val="center"/>
          </w:tcPr>
          <w:p w:rsidR="00D10E1A" w:rsidRDefault="00E227F9">
            <w:pPr>
              <w:jc w:val="center"/>
            </w:pPr>
            <w:r>
              <w:rPr>
                <w:color w:val="000000"/>
                <w:sz w:val="24"/>
              </w:rPr>
              <w:t>1.09%</w:t>
            </w:r>
          </w:p>
        </w:tc>
        <w:tc>
          <w:tcPr>
            <w:tcW w:w="1267" w:type="dxa"/>
            <w:vAlign w:val="center"/>
          </w:tcPr>
          <w:p w:rsidR="00D10E1A" w:rsidRDefault="00E227F9">
            <w:pPr>
              <w:jc w:val="center"/>
            </w:pPr>
            <w:r>
              <w:rPr>
                <w:color w:val="000000"/>
                <w:sz w:val="24"/>
              </w:rPr>
              <w:t>35.51%</w:t>
            </w:r>
          </w:p>
        </w:tc>
        <w:tc>
          <w:tcPr>
            <w:tcW w:w="1267" w:type="dxa"/>
            <w:vAlign w:val="center"/>
          </w:tcPr>
          <w:p w:rsidR="00D10E1A" w:rsidRDefault="00E227F9">
            <w:pPr>
              <w:jc w:val="center"/>
            </w:pPr>
            <w:r>
              <w:rPr>
                <w:color w:val="000000"/>
                <w:sz w:val="24"/>
              </w:rPr>
              <w:t>0.31%</w:t>
            </w:r>
          </w:p>
        </w:tc>
      </w:tr>
      <w:tr w:rsidR="00D10E1A">
        <w:trPr>
          <w:jc w:val="center"/>
        </w:trPr>
        <w:tc>
          <w:tcPr>
            <w:tcW w:w="1266" w:type="dxa"/>
            <w:vAlign w:val="center"/>
          </w:tcPr>
          <w:p w:rsidR="00D10E1A" w:rsidRDefault="00E227F9">
            <w:pPr>
              <w:jc w:val="left"/>
            </w:pPr>
            <w:r w:rsidRPr="00E227F9">
              <w:rPr>
                <w:rFonts w:hint="eastAsia"/>
                <w:color w:val="000000"/>
                <w:sz w:val="24"/>
              </w:rPr>
              <w:t>自基金类别首次确认起至今</w:t>
            </w:r>
          </w:p>
        </w:tc>
        <w:tc>
          <w:tcPr>
            <w:tcW w:w="1267" w:type="dxa"/>
            <w:vAlign w:val="center"/>
          </w:tcPr>
          <w:p w:rsidR="00D10E1A" w:rsidRDefault="00E227F9">
            <w:pPr>
              <w:jc w:val="center"/>
            </w:pPr>
            <w:r>
              <w:rPr>
                <w:color w:val="000000"/>
                <w:sz w:val="24"/>
              </w:rPr>
              <w:t>95.30%</w:t>
            </w:r>
          </w:p>
        </w:tc>
        <w:tc>
          <w:tcPr>
            <w:tcW w:w="1267" w:type="dxa"/>
            <w:vAlign w:val="center"/>
          </w:tcPr>
          <w:p w:rsidR="00D10E1A" w:rsidRDefault="00E227F9">
            <w:pPr>
              <w:jc w:val="center"/>
            </w:pPr>
            <w:r>
              <w:rPr>
                <w:color w:val="000000"/>
                <w:sz w:val="24"/>
              </w:rPr>
              <w:t>1.28%</w:t>
            </w:r>
          </w:p>
        </w:tc>
        <w:tc>
          <w:tcPr>
            <w:tcW w:w="1267" w:type="dxa"/>
            <w:vAlign w:val="center"/>
          </w:tcPr>
          <w:p w:rsidR="00D10E1A" w:rsidRDefault="00E227F9">
            <w:pPr>
              <w:jc w:val="center"/>
            </w:pPr>
            <w:r>
              <w:rPr>
                <w:color w:val="000000"/>
                <w:sz w:val="24"/>
              </w:rPr>
              <w:t>35.51%</w:t>
            </w:r>
          </w:p>
        </w:tc>
        <w:tc>
          <w:tcPr>
            <w:tcW w:w="1267" w:type="dxa"/>
            <w:vAlign w:val="center"/>
          </w:tcPr>
          <w:p w:rsidR="00D10E1A" w:rsidRDefault="00E227F9">
            <w:pPr>
              <w:jc w:val="center"/>
            </w:pPr>
            <w:r>
              <w:rPr>
                <w:color w:val="000000"/>
                <w:sz w:val="24"/>
              </w:rPr>
              <w:t>0.97%</w:t>
            </w:r>
          </w:p>
        </w:tc>
        <w:tc>
          <w:tcPr>
            <w:tcW w:w="1267" w:type="dxa"/>
            <w:vAlign w:val="center"/>
          </w:tcPr>
          <w:p w:rsidR="00D10E1A" w:rsidRDefault="00E227F9">
            <w:pPr>
              <w:jc w:val="center"/>
            </w:pPr>
            <w:r>
              <w:rPr>
                <w:color w:val="000000"/>
                <w:sz w:val="24"/>
              </w:rPr>
              <w:t>59.79%</w:t>
            </w:r>
          </w:p>
        </w:tc>
        <w:tc>
          <w:tcPr>
            <w:tcW w:w="1267" w:type="dxa"/>
            <w:vAlign w:val="center"/>
          </w:tcPr>
          <w:p w:rsidR="00D10E1A" w:rsidRDefault="00E227F9">
            <w:pPr>
              <w:jc w:val="center"/>
            </w:pPr>
            <w:r>
              <w:rPr>
                <w:color w:val="000000"/>
                <w:sz w:val="24"/>
              </w:rPr>
              <w:t>0.31%</w:t>
            </w:r>
          </w:p>
        </w:tc>
      </w:tr>
    </w:tbl>
    <w:p w:rsidR="00D10E1A" w:rsidRDefault="00E227F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、富时中国国债指数（</w:t>
      </w:r>
      <w:r>
        <w:rPr>
          <w:color w:val="000000"/>
          <w:sz w:val="24"/>
        </w:rPr>
        <w:t>FTSE China Government Bond Index</w:t>
      </w:r>
      <w:r>
        <w:rPr>
          <w:color w:val="000000"/>
          <w:sz w:val="24"/>
        </w:rPr>
        <w:t>）在</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日收盘后停止计算编制，该指数正式变更为富时中国国债指数（</w:t>
      </w:r>
      <w:r>
        <w:rPr>
          <w:color w:val="000000"/>
          <w:sz w:val="24"/>
        </w:rPr>
        <w:t>FTSE Chinese Government Bond Index</w:t>
      </w:r>
      <w:r>
        <w:rPr>
          <w:color w:val="000000"/>
          <w:sz w:val="24"/>
        </w:rPr>
        <w:t>），本基金据此调整业绩比较基准，本次调整业绩比较基准不涉及指数中文名称更改，变更内容自</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日起生效，</w:t>
      </w:r>
      <w:r>
        <w:rPr>
          <w:color w:val="000000"/>
          <w:sz w:val="24"/>
        </w:rPr>
        <w:t>3.2.2</w:t>
      </w:r>
      <w:r>
        <w:rPr>
          <w:color w:val="000000"/>
          <w:sz w:val="24"/>
        </w:rPr>
        <w:t>同。详情请查阅本基金管理人于</w:t>
      </w:r>
      <w:r>
        <w:rPr>
          <w:color w:val="000000"/>
          <w:sz w:val="24"/>
        </w:rPr>
        <w:t>2019</w:t>
      </w:r>
      <w:r>
        <w:rPr>
          <w:color w:val="000000"/>
          <w:sz w:val="24"/>
        </w:rPr>
        <w:t>年</w:t>
      </w:r>
      <w:r>
        <w:rPr>
          <w:color w:val="000000"/>
          <w:sz w:val="24"/>
        </w:rPr>
        <w:t>12</w:t>
      </w:r>
      <w:r>
        <w:rPr>
          <w:color w:val="000000"/>
          <w:sz w:val="24"/>
        </w:rPr>
        <w:t>月</w:t>
      </w:r>
      <w:r>
        <w:rPr>
          <w:color w:val="000000"/>
          <w:sz w:val="24"/>
        </w:rPr>
        <w:t>21</w:t>
      </w:r>
      <w:r>
        <w:rPr>
          <w:color w:val="000000"/>
          <w:sz w:val="24"/>
        </w:rPr>
        <w:t>日发布的《交银施罗德基金管理有限公司关于交银施罗德成长混合型证券投资基金业绩比较基准变更的公告》。</w:t>
      </w:r>
    </w:p>
    <w:p w:rsidR="009238DB" w:rsidRPr="007F52FA" w:rsidRDefault="00973B57" w:rsidP="007C14DF">
      <w:pPr>
        <w:autoSpaceDE w:val="0"/>
        <w:autoSpaceDN w:val="0"/>
        <w:adjustRightInd w:val="0"/>
        <w:spacing w:before="29" w:line="288" w:lineRule="auto"/>
        <w:jc w:val="left"/>
        <w:rPr>
          <w:color w:val="000000"/>
          <w:sz w:val="24"/>
        </w:rPr>
      </w:pPr>
      <w:r w:rsidRPr="007F52FA">
        <w:rPr>
          <w:color w:val="000000"/>
          <w:sz w:val="24"/>
        </w:rPr>
        <w:t>2</w:t>
      </w:r>
      <w:r w:rsidRPr="007F52FA">
        <w:rPr>
          <w:color w:val="000000"/>
          <w:sz w:val="24"/>
        </w:rPr>
        <w:t>、本基金自</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7</w:t>
      </w:r>
      <w:r w:rsidRPr="007F52FA">
        <w:rPr>
          <w:color w:val="000000"/>
          <w:sz w:val="24"/>
        </w:rPr>
        <w:t>日起，开始销售</w:t>
      </w:r>
      <w:r w:rsidRPr="007F52FA">
        <w:rPr>
          <w:color w:val="000000"/>
          <w:sz w:val="24"/>
        </w:rPr>
        <w:t>H</w:t>
      </w:r>
      <w:r w:rsidRPr="007F52FA">
        <w:rPr>
          <w:color w:val="000000"/>
          <w:sz w:val="24"/>
        </w:rPr>
        <w:t>类份额，当日投资者提交的申购申请于</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日被确认并将有效份额登记在册。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交银施罗德成长混合型证券投资基金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2006</w:t>
      </w:r>
      <w:r w:rsidR="00D04410" w:rsidRPr="007F52FA">
        <w:rPr>
          <w:rFonts w:ascii="Times New Roman" w:hAnsi="Times New Roman"/>
          <w:sz w:val="24"/>
          <w:szCs w:val="24"/>
        </w:rPr>
        <w:t>年</w:t>
      </w:r>
      <w:r w:rsidR="00D04410" w:rsidRPr="007F52FA">
        <w:rPr>
          <w:rFonts w:ascii="Times New Roman" w:hAnsi="Times New Roman"/>
          <w:sz w:val="24"/>
          <w:szCs w:val="24"/>
        </w:rPr>
        <w:t>10</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交银成长混合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2006</w:t>
      </w:r>
      <w:r w:rsidRPr="007F52FA">
        <w:rPr>
          <w:color w:val="000000"/>
          <w:sz w:val="24"/>
        </w:rPr>
        <w:t>年</w:t>
      </w:r>
      <w:r w:rsidRPr="007F52FA">
        <w:rPr>
          <w:color w:val="000000"/>
          <w:sz w:val="24"/>
        </w:rPr>
        <w:t>10</w:t>
      </w:r>
      <w:r w:rsidRPr="007F52FA">
        <w:rPr>
          <w:color w:val="000000"/>
          <w:sz w:val="24"/>
        </w:rPr>
        <w:t>月</w:t>
      </w:r>
      <w:r w:rsidRPr="007F52FA">
        <w:rPr>
          <w:color w:val="000000"/>
          <w:sz w:val="24"/>
        </w:rPr>
        <w:t>23</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交银成长混合</w:t>
      </w:r>
      <w:r w:rsidR="00FE7FBD" w:rsidRPr="007F52FA">
        <w:rPr>
          <w:color w:val="000000"/>
          <w:sz w:val="24"/>
        </w:rPr>
        <w:t>H</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7</w:t>
      </w:r>
      <w:r w:rsidRPr="007F52FA">
        <w:rPr>
          <w:color w:val="000000"/>
          <w:sz w:val="24"/>
        </w:rPr>
        <w:t>日起，开始销售</w:t>
      </w:r>
      <w:r w:rsidRPr="007F52FA">
        <w:rPr>
          <w:color w:val="000000"/>
          <w:sz w:val="24"/>
        </w:rPr>
        <w:t>H</w:t>
      </w:r>
      <w:r w:rsidRPr="007F52FA">
        <w:rPr>
          <w:color w:val="000000"/>
          <w:sz w:val="24"/>
        </w:rPr>
        <w:t>类份额，投资者提交的申购申请于</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10E1A">
        <w:trPr>
          <w:jc w:val="center"/>
        </w:trPr>
        <w:tc>
          <w:tcPr>
            <w:tcW w:w="946" w:type="dxa"/>
            <w:vAlign w:val="center"/>
          </w:tcPr>
          <w:p w:rsidR="00D10E1A" w:rsidRDefault="00E227F9">
            <w:pPr>
              <w:jc w:val="center"/>
            </w:pPr>
            <w:r>
              <w:rPr>
                <w:color w:val="000000"/>
                <w:sz w:val="24"/>
              </w:rPr>
              <w:t>王少成</w:t>
            </w:r>
          </w:p>
        </w:tc>
        <w:tc>
          <w:tcPr>
            <w:tcW w:w="924" w:type="dxa"/>
            <w:vAlign w:val="center"/>
          </w:tcPr>
          <w:p w:rsidR="00D10E1A" w:rsidRDefault="00E227F9">
            <w:pPr>
              <w:jc w:val="center"/>
            </w:pPr>
            <w:r>
              <w:rPr>
                <w:color w:val="000000"/>
                <w:sz w:val="24"/>
              </w:rPr>
              <w:t>交银成长混合、交银蓝筹混合的基金经理，公司权</w:t>
            </w:r>
            <w:r>
              <w:rPr>
                <w:color w:val="000000"/>
                <w:sz w:val="24"/>
              </w:rPr>
              <w:lastRenderedPageBreak/>
              <w:t>益投资总监</w:t>
            </w:r>
          </w:p>
        </w:tc>
        <w:tc>
          <w:tcPr>
            <w:tcW w:w="1202" w:type="dxa"/>
            <w:vAlign w:val="center"/>
          </w:tcPr>
          <w:p w:rsidR="00D10E1A" w:rsidRDefault="00E227F9">
            <w:pPr>
              <w:jc w:val="center"/>
            </w:pPr>
            <w:r>
              <w:rPr>
                <w:color w:val="000000"/>
                <w:sz w:val="24"/>
              </w:rPr>
              <w:lastRenderedPageBreak/>
              <w:t>2015-03-24</w:t>
            </w:r>
          </w:p>
        </w:tc>
        <w:tc>
          <w:tcPr>
            <w:tcW w:w="1300" w:type="dxa"/>
            <w:vAlign w:val="center"/>
          </w:tcPr>
          <w:p w:rsidR="00D10E1A" w:rsidRDefault="00E227F9">
            <w:pPr>
              <w:jc w:val="center"/>
            </w:pPr>
            <w:r>
              <w:rPr>
                <w:color w:val="000000"/>
                <w:sz w:val="24"/>
              </w:rPr>
              <w:t>-</w:t>
            </w:r>
          </w:p>
        </w:tc>
        <w:tc>
          <w:tcPr>
            <w:tcW w:w="1245" w:type="dxa"/>
            <w:vAlign w:val="center"/>
          </w:tcPr>
          <w:p w:rsidR="00D10E1A" w:rsidRDefault="00E227F9">
            <w:pPr>
              <w:jc w:val="center"/>
            </w:pPr>
            <w:r>
              <w:rPr>
                <w:color w:val="000000"/>
                <w:sz w:val="24"/>
              </w:rPr>
              <w:t>16</w:t>
            </w:r>
            <w:r>
              <w:rPr>
                <w:color w:val="000000"/>
                <w:sz w:val="24"/>
              </w:rPr>
              <w:t>年</w:t>
            </w:r>
          </w:p>
        </w:tc>
        <w:tc>
          <w:tcPr>
            <w:tcW w:w="3251" w:type="dxa"/>
            <w:vAlign w:val="center"/>
          </w:tcPr>
          <w:p w:rsidR="00D10E1A" w:rsidRDefault="00E227F9">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lastRenderedPageBreak/>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r>
              <w:rPr>
                <w:color w:val="000000"/>
                <w:sz w:val="24"/>
              </w:rPr>
              <w:t>2013</w:t>
            </w:r>
            <w:r>
              <w:rPr>
                <w:color w:val="000000"/>
                <w:sz w:val="24"/>
              </w:rPr>
              <w:t>年</w:t>
            </w:r>
            <w:r>
              <w:rPr>
                <w:color w:val="000000"/>
                <w:sz w:val="24"/>
              </w:rPr>
              <w:t>7</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17</w:t>
            </w:r>
            <w:r>
              <w:rPr>
                <w:color w:val="000000"/>
                <w:sz w:val="24"/>
              </w:rPr>
              <w:t>日担任交银施罗德成长</w:t>
            </w:r>
            <w:r>
              <w:rPr>
                <w:color w:val="000000"/>
                <w:sz w:val="24"/>
              </w:rPr>
              <w:t>30</w:t>
            </w:r>
            <w:r>
              <w:rPr>
                <w:color w:val="000000"/>
                <w:sz w:val="24"/>
              </w:rPr>
              <w:t>混合型证券投资基金的基金经理。</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日担任交银施罗德恒益灵活配置混合型证券投资基金的基金经理。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lastRenderedPageBreak/>
          <w:t>4.3.1</w:t>
        </w:r>
      </w:smartTag>
      <w:r w:rsidRPr="007F52FA">
        <w:rPr>
          <w:sz w:val="24"/>
        </w:rPr>
        <w:t>公平交易制度的执行情况</w:t>
      </w:r>
    </w:p>
    <w:p w:rsidR="00D10E1A" w:rsidRDefault="00E227F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10E1A" w:rsidRDefault="00E227F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10E1A" w:rsidRDefault="00E227F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D10E1A" w:rsidRDefault="00E227F9">
      <w:pPr>
        <w:spacing w:before="29" w:line="288" w:lineRule="auto"/>
        <w:ind w:firstLineChars="200" w:firstLine="480"/>
        <w:rPr>
          <w:color w:val="000000"/>
          <w:sz w:val="24"/>
        </w:rPr>
      </w:pPr>
      <w:r>
        <w:rPr>
          <w:color w:val="000000"/>
          <w:sz w:val="24"/>
        </w:rPr>
        <w:t>2020</w:t>
      </w:r>
      <w:r>
        <w:rPr>
          <w:color w:val="000000"/>
          <w:sz w:val="24"/>
        </w:rPr>
        <w:t>年三季度国内流动性弱平衡，金融政策定向收紧，金融机构超储率降至历史低位，对股票和债券市场流动性同时带来冲击。四季度政府债券发行见顶、财政支出重新提速、财政存款回流金融体系后大概率流动性环境将出现改善。长期的低利率和疫情驱动美联储极端宽松货币政策共同驱动了资产价格上涨。以美国科技股代表</w:t>
      </w:r>
      <w:r>
        <w:rPr>
          <w:color w:val="000000"/>
          <w:sz w:val="24"/>
        </w:rPr>
        <w:t>FAAMG</w:t>
      </w:r>
      <w:r>
        <w:rPr>
          <w:color w:val="000000"/>
          <w:sz w:val="24"/>
        </w:rPr>
        <w:t>为例</w:t>
      </w:r>
      <w:r w:rsidR="00E32DB5">
        <w:rPr>
          <w:rFonts w:hint="eastAsia"/>
          <w:color w:val="000000"/>
          <w:sz w:val="24"/>
        </w:rPr>
        <w:t>，</w:t>
      </w:r>
      <w:bookmarkStart w:id="0" w:name="_GoBack"/>
      <w:bookmarkEnd w:id="0"/>
      <w:r>
        <w:rPr>
          <w:color w:val="000000"/>
          <w:sz w:val="24"/>
        </w:rPr>
        <w:t>其合计市值占</w:t>
      </w:r>
      <w:r>
        <w:rPr>
          <w:color w:val="000000"/>
          <w:sz w:val="24"/>
        </w:rPr>
        <w:t>SP500</w:t>
      </w:r>
      <w:r>
        <w:rPr>
          <w:color w:val="000000"/>
          <w:sz w:val="24"/>
        </w:rPr>
        <w:t>市值权重</w:t>
      </w:r>
      <w:r>
        <w:rPr>
          <w:color w:val="000000"/>
          <w:sz w:val="24"/>
        </w:rPr>
        <w:t>23%</w:t>
      </w:r>
      <w:r>
        <w:rPr>
          <w:color w:val="000000"/>
          <w:sz w:val="24"/>
        </w:rPr>
        <w:t>，占罗素</w:t>
      </w:r>
      <w:r>
        <w:rPr>
          <w:color w:val="000000"/>
          <w:sz w:val="24"/>
        </w:rPr>
        <w:t>1000</w:t>
      </w:r>
      <w:r>
        <w:rPr>
          <w:color w:val="000000"/>
          <w:sz w:val="24"/>
        </w:rPr>
        <w:t>成长指数的</w:t>
      </w:r>
      <w:r>
        <w:rPr>
          <w:color w:val="000000"/>
          <w:sz w:val="24"/>
        </w:rPr>
        <w:t>39%</w:t>
      </w:r>
      <w:r>
        <w:rPr>
          <w:color w:val="000000"/>
          <w:sz w:val="24"/>
        </w:rPr>
        <w:t>，其集中度已经显著高于</w:t>
      </w:r>
      <w:r>
        <w:rPr>
          <w:color w:val="000000"/>
          <w:sz w:val="24"/>
        </w:rPr>
        <w:t>2000</w:t>
      </w:r>
      <w:r>
        <w:rPr>
          <w:color w:val="000000"/>
          <w:sz w:val="24"/>
        </w:rPr>
        <w:t>年科网泡沫峰值水平，达到过去</w:t>
      </w:r>
      <w:r>
        <w:rPr>
          <w:color w:val="000000"/>
          <w:sz w:val="24"/>
        </w:rPr>
        <w:t>40</w:t>
      </w:r>
      <w:r>
        <w:rPr>
          <w:color w:val="000000"/>
          <w:sz w:val="24"/>
        </w:rPr>
        <w:t>年最高值。一旦美联储极端宽松货币政策边际收缩</w:t>
      </w:r>
      <w:r>
        <w:rPr>
          <w:color w:val="000000"/>
          <w:sz w:val="24"/>
        </w:rPr>
        <w:t>,</w:t>
      </w:r>
      <w:r>
        <w:rPr>
          <w:color w:val="000000"/>
          <w:sz w:val="24"/>
        </w:rPr>
        <w:t>风险资产价格预计会有明显的均值回归压力。</w:t>
      </w:r>
    </w:p>
    <w:p w:rsidR="00952A72" w:rsidRPr="007F52FA" w:rsidRDefault="00323F25" w:rsidP="007C14DF">
      <w:pPr>
        <w:spacing w:before="29" w:line="288" w:lineRule="auto"/>
        <w:ind w:firstLineChars="200" w:firstLine="480"/>
        <w:rPr>
          <w:color w:val="000000"/>
          <w:sz w:val="24"/>
        </w:rPr>
      </w:pPr>
      <w:r w:rsidRPr="007F52FA">
        <w:rPr>
          <w:color w:val="000000"/>
          <w:sz w:val="24"/>
        </w:rPr>
        <w:t>随着国内外对疫情认知、检测、治疗与疫苗研制进度的普遍推进，疫情对经济冲击的高峰预计接近后半段，对于货币政策刺激退出的预期暗流涌动，并且已经使得部分金融资产出现波折，包括美元、美债、贵金属与全球市场成长板块，四季度这一冲击发生的概率较大。对于</w:t>
      </w:r>
      <w:r w:rsidRPr="007F52FA">
        <w:rPr>
          <w:color w:val="000000"/>
          <w:sz w:val="24"/>
        </w:rPr>
        <w:t>A</w:t>
      </w:r>
      <w:r w:rsidRPr="007F52FA">
        <w:rPr>
          <w:color w:val="000000"/>
          <w:sz w:val="24"/>
        </w:rPr>
        <w:t>股市场来说，宏观经济依然处于复苏通道，流动性总量性宽松持续，我们将关注景气向上周期板块和中长期具有成长动能的消费和科技龙头上市公司，特别是在数字化转型上有先发优势企业。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3,556,897,046.07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92.74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3,556,897,046.07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92.74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213,337,944.85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5.56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213,337,944.85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5.56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62,092,773.09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3,148,143.78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0.08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3,835,475,907.79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226,645,977.22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5.95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2,148,304,006.98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56.38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159,728,844.72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4.19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28,264.03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18,653.36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524,880,884.21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13.77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63,357,042.00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1.66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14,813.40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199,125.57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433,674,301.32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11.38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45,133.26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3,556,897,046.07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93.34</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w:t>
            </w:r>
            <w:r w:rsidRPr="007F52FA">
              <w:rPr>
                <w:color w:val="000000"/>
                <w:sz w:val="24"/>
              </w:rPr>
              <w:lastRenderedPageBreak/>
              <w:t>值比例</w:t>
            </w:r>
            <w:r w:rsidR="00C44F1F" w:rsidRPr="007F52FA">
              <w:rPr>
                <w:sz w:val="24"/>
              </w:rPr>
              <w:t>（</w:t>
            </w:r>
            <w:r w:rsidRPr="007F52FA">
              <w:rPr>
                <w:color w:val="000000"/>
                <w:sz w:val="24"/>
              </w:rPr>
              <w:t>％</w:t>
            </w:r>
            <w:r w:rsidR="00C44F1F" w:rsidRPr="007F52FA">
              <w:rPr>
                <w:sz w:val="24"/>
              </w:rPr>
              <w:t>）</w:t>
            </w:r>
          </w:p>
        </w:tc>
      </w:tr>
      <w:tr w:rsidR="00D10E1A">
        <w:trPr>
          <w:jc w:val="center"/>
        </w:trPr>
        <w:tc>
          <w:tcPr>
            <w:tcW w:w="850" w:type="dxa"/>
            <w:vAlign w:val="center"/>
          </w:tcPr>
          <w:p w:rsidR="00D10E1A" w:rsidRDefault="00E227F9">
            <w:pPr>
              <w:jc w:val="center"/>
            </w:pPr>
            <w:r>
              <w:rPr>
                <w:color w:val="000000"/>
                <w:sz w:val="24"/>
              </w:rPr>
              <w:lastRenderedPageBreak/>
              <w:t>1</w:t>
            </w:r>
          </w:p>
        </w:tc>
        <w:tc>
          <w:tcPr>
            <w:tcW w:w="1327" w:type="dxa"/>
            <w:vAlign w:val="center"/>
          </w:tcPr>
          <w:p w:rsidR="00D10E1A" w:rsidRDefault="00E227F9">
            <w:pPr>
              <w:jc w:val="center"/>
            </w:pPr>
            <w:r>
              <w:rPr>
                <w:color w:val="000000"/>
                <w:sz w:val="24"/>
              </w:rPr>
              <w:t>002216</w:t>
            </w:r>
          </w:p>
        </w:tc>
        <w:tc>
          <w:tcPr>
            <w:tcW w:w="1769" w:type="dxa"/>
            <w:vAlign w:val="center"/>
          </w:tcPr>
          <w:p w:rsidR="00D10E1A" w:rsidRDefault="00E227F9">
            <w:pPr>
              <w:jc w:val="center"/>
            </w:pPr>
            <w:r>
              <w:rPr>
                <w:color w:val="000000"/>
                <w:sz w:val="24"/>
              </w:rPr>
              <w:t>三全食品</w:t>
            </w:r>
          </w:p>
        </w:tc>
        <w:tc>
          <w:tcPr>
            <w:tcW w:w="1327" w:type="dxa"/>
            <w:vAlign w:val="center"/>
          </w:tcPr>
          <w:p w:rsidR="00D10E1A" w:rsidRDefault="00E227F9">
            <w:pPr>
              <w:jc w:val="right"/>
            </w:pPr>
            <w:r>
              <w:rPr>
                <w:color w:val="000000"/>
                <w:sz w:val="24"/>
              </w:rPr>
              <w:t>10,804,043</w:t>
            </w:r>
          </w:p>
        </w:tc>
        <w:tc>
          <w:tcPr>
            <w:tcW w:w="1915" w:type="dxa"/>
            <w:vAlign w:val="center"/>
          </w:tcPr>
          <w:p w:rsidR="00D10E1A" w:rsidRDefault="00E227F9">
            <w:pPr>
              <w:jc w:val="right"/>
            </w:pPr>
            <w:r>
              <w:rPr>
                <w:color w:val="000000"/>
                <w:sz w:val="24"/>
              </w:rPr>
              <w:t>375,656,575.11</w:t>
            </w:r>
          </w:p>
        </w:tc>
        <w:tc>
          <w:tcPr>
            <w:tcW w:w="1680" w:type="dxa"/>
            <w:vAlign w:val="center"/>
          </w:tcPr>
          <w:p w:rsidR="00D10E1A" w:rsidRDefault="00E227F9">
            <w:pPr>
              <w:jc w:val="right"/>
            </w:pPr>
            <w:r>
              <w:rPr>
                <w:color w:val="000000"/>
                <w:sz w:val="24"/>
              </w:rPr>
              <w:t>9.86</w:t>
            </w:r>
          </w:p>
        </w:tc>
      </w:tr>
      <w:tr w:rsidR="00D10E1A">
        <w:trPr>
          <w:jc w:val="center"/>
        </w:trPr>
        <w:tc>
          <w:tcPr>
            <w:tcW w:w="850" w:type="dxa"/>
            <w:vAlign w:val="center"/>
          </w:tcPr>
          <w:p w:rsidR="00D10E1A" w:rsidRDefault="00E227F9">
            <w:pPr>
              <w:jc w:val="center"/>
            </w:pPr>
            <w:r>
              <w:rPr>
                <w:color w:val="000000"/>
                <w:sz w:val="24"/>
              </w:rPr>
              <w:t>2</w:t>
            </w:r>
          </w:p>
        </w:tc>
        <w:tc>
          <w:tcPr>
            <w:tcW w:w="1327" w:type="dxa"/>
            <w:vAlign w:val="center"/>
          </w:tcPr>
          <w:p w:rsidR="00D10E1A" w:rsidRDefault="00E227F9">
            <w:pPr>
              <w:jc w:val="center"/>
            </w:pPr>
            <w:r>
              <w:rPr>
                <w:color w:val="000000"/>
                <w:sz w:val="24"/>
              </w:rPr>
              <w:t>603517</w:t>
            </w:r>
          </w:p>
        </w:tc>
        <w:tc>
          <w:tcPr>
            <w:tcW w:w="1769" w:type="dxa"/>
            <w:vAlign w:val="center"/>
          </w:tcPr>
          <w:p w:rsidR="00D10E1A" w:rsidRDefault="00E227F9">
            <w:pPr>
              <w:jc w:val="center"/>
            </w:pPr>
            <w:r>
              <w:rPr>
                <w:color w:val="000000"/>
                <w:sz w:val="24"/>
              </w:rPr>
              <w:t>绝味食品</w:t>
            </w:r>
          </w:p>
        </w:tc>
        <w:tc>
          <w:tcPr>
            <w:tcW w:w="1327" w:type="dxa"/>
            <w:vAlign w:val="center"/>
          </w:tcPr>
          <w:p w:rsidR="00D10E1A" w:rsidRDefault="00E227F9">
            <w:pPr>
              <w:jc w:val="right"/>
            </w:pPr>
            <w:r>
              <w:rPr>
                <w:color w:val="000000"/>
                <w:sz w:val="24"/>
              </w:rPr>
              <w:t>4,389,843</w:t>
            </w:r>
          </w:p>
        </w:tc>
        <w:tc>
          <w:tcPr>
            <w:tcW w:w="1915" w:type="dxa"/>
            <w:vAlign w:val="center"/>
          </w:tcPr>
          <w:p w:rsidR="00D10E1A" w:rsidRDefault="00E227F9">
            <w:pPr>
              <w:jc w:val="right"/>
            </w:pPr>
            <w:r>
              <w:rPr>
                <w:color w:val="000000"/>
                <w:sz w:val="24"/>
              </w:rPr>
              <w:t>360,054,922.86</w:t>
            </w:r>
          </w:p>
        </w:tc>
        <w:tc>
          <w:tcPr>
            <w:tcW w:w="1680" w:type="dxa"/>
            <w:vAlign w:val="center"/>
          </w:tcPr>
          <w:p w:rsidR="00D10E1A" w:rsidRDefault="00E227F9">
            <w:pPr>
              <w:jc w:val="right"/>
            </w:pPr>
            <w:r>
              <w:rPr>
                <w:color w:val="000000"/>
                <w:sz w:val="24"/>
              </w:rPr>
              <w:t>9.45</w:t>
            </w:r>
          </w:p>
        </w:tc>
      </w:tr>
      <w:tr w:rsidR="00D10E1A">
        <w:trPr>
          <w:jc w:val="center"/>
        </w:trPr>
        <w:tc>
          <w:tcPr>
            <w:tcW w:w="850" w:type="dxa"/>
            <w:vAlign w:val="center"/>
          </w:tcPr>
          <w:p w:rsidR="00D10E1A" w:rsidRDefault="00E227F9">
            <w:pPr>
              <w:jc w:val="center"/>
            </w:pPr>
            <w:r>
              <w:rPr>
                <w:color w:val="000000"/>
                <w:sz w:val="24"/>
              </w:rPr>
              <w:t>3</w:t>
            </w:r>
          </w:p>
        </w:tc>
        <w:tc>
          <w:tcPr>
            <w:tcW w:w="1327" w:type="dxa"/>
            <w:vAlign w:val="center"/>
          </w:tcPr>
          <w:p w:rsidR="00D10E1A" w:rsidRDefault="00E227F9">
            <w:pPr>
              <w:jc w:val="center"/>
            </w:pPr>
            <w:r>
              <w:rPr>
                <w:color w:val="000000"/>
                <w:sz w:val="24"/>
              </w:rPr>
              <w:t>002607</w:t>
            </w:r>
          </w:p>
        </w:tc>
        <w:tc>
          <w:tcPr>
            <w:tcW w:w="1769" w:type="dxa"/>
            <w:vAlign w:val="center"/>
          </w:tcPr>
          <w:p w:rsidR="00D10E1A" w:rsidRDefault="00E227F9">
            <w:pPr>
              <w:jc w:val="center"/>
            </w:pPr>
            <w:r>
              <w:rPr>
                <w:color w:val="000000"/>
                <w:sz w:val="24"/>
              </w:rPr>
              <w:t>中公教育</w:t>
            </w:r>
          </w:p>
        </w:tc>
        <w:tc>
          <w:tcPr>
            <w:tcW w:w="1327" w:type="dxa"/>
            <w:vAlign w:val="center"/>
          </w:tcPr>
          <w:p w:rsidR="00D10E1A" w:rsidRDefault="00E227F9">
            <w:pPr>
              <w:jc w:val="right"/>
            </w:pPr>
            <w:r>
              <w:rPr>
                <w:color w:val="000000"/>
                <w:sz w:val="24"/>
              </w:rPr>
              <w:t>10,163,856</w:t>
            </w:r>
          </w:p>
        </w:tc>
        <w:tc>
          <w:tcPr>
            <w:tcW w:w="1915" w:type="dxa"/>
            <w:vAlign w:val="center"/>
          </w:tcPr>
          <w:p w:rsidR="00D10E1A" w:rsidRDefault="00E227F9">
            <w:pPr>
              <w:jc w:val="right"/>
            </w:pPr>
            <w:r>
              <w:rPr>
                <w:color w:val="000000"/>
                <w:sz w:val="24"/>
              </w:rPr>
              <w:t>331,646,621.28</w:t>
            </w:r>
          </w:p>
        </w:tc>
        <w:tc>
          <w:tcPr>
            <w:tcW w:w="1680" w:type="dxa"/>
            <w:vAlign w:val="center"/>
          </w:tcPr>
          <w:p w:rsidR="00D10E1A" w:rsidRDefault="00E227F9">
            <w:pPr>
              <w:jc w:val="right"/>
            </w:pPr>
            <w:r>
              <w:rPr>
                <w:color w:val="000000"/>
                <w:sz w:val="24"/>
              </w:rPr>
              <w:t>8.70</w:t>
            </w:r>
          </w:p>
        </w:tc>
      </w:tr>
      <w:tr w:rsidR="00D10E1A">
        <w:trPr>
          <w:jc w:val="center"/>
        </w:trPr>
        <w:tc>
          <w:tcPr>
            <w:tcW w:w="850" w:type="dxa"/>
            <w:vAlign w:val="center"/>
          </w:tcPr>
          <w:p w:rsidR="00D10E1A" w:rsidRDefault="00E227F9">
            <w:pPr>
              <w:jc w:val="center"/>
            </w:pPr>
            <w:r>
              <w:rPr>
                <w:color w:val="000000"/>
                <w:sz w:val="24"/>
              </w:rPr>
              <w:t>4</w:t>
            </w:r>
          </w:p>
        </w:tc>
        <w:tc>
          <w:tcPr>
            <w:tcW w:w="1327" w:type="dxa"/>
            <w:vAlign w:val="center"/>
          </w:tcPr>
          <w:p w:rsidR="00D10E1A" w:rsidRDefault="00E227F9">
            <w:pPr>
              <w:jc w:val="center"/>
            </w:pPr>
            <w:r>
              <w:rPr>
                <w:color w:val="000000"/>
                <w:sz w:val="24"/>
              </w:rPr>
              <w:t>603707</w:t>
            </w:r>
          </w:p>
        </w:tc>
        <w:tc>
          <w:tcPr>
            <w:tcW w:w="1769" w:type="dxa"/>
            <w:vAlign w:val="center"/>
          </w:tcPr>
          <w:p w:rsidR="00D10E1A" w:rsidRDefault="00E227F9">
            <w:pPr>
              <w:jc w:val="center"/>
            </w:pPr>
            <w:r>
              <w:rPr>
                <w:color w:val="000000"/>
                <w:sz w:val="24"/>
              </w:rPr>
              <w:t>健友股份</w:t>
            </w:r>
          </w:p>
        </w:tc>
        <w:tc>
          <w:tcPr>
            <w:tcW w:w="1327" w:type="dxa"/>
            <w:vAlign w:val="center"/>
          </w:tcPr>
          <w:p w:rsidR="00D10E1A" w:rsidRDefault="00E227F9">
            <w:pPr>
              <w:jc w:val="right"/>
            </w:pPr>
            <w:r>
              <w:rPr>
                <w:color w:val="000000"/>
                <w:sz w:val="24"/>
              </w:rPr>
              <w:t>6,973,194</w:t>
            </w:r>
          </w:p>
        </w:tc>
        <w:tc>
          <w:tcPr>
            <w:tcW w:w="1915" w:type="dxa"/>
            <w:vAlign w:val="center"/>
          </w:tcPr>
          <w:p w:rsidR="00D10E1A" w:rsidRDefault="00E227F9">
            <w:pPr>
              <w:jc w:val="right"/>
            </w:pPr>
            <w:r>
              <w:rPr>
                <w:color w:val="000000"/>
                <w:sz w:val="24"/>
              </w:rPr>
              <w:t>312,468,823.14</w:t>
            </w:r>
          </w:p>
        </w:tc>
        <w:tc>
          <w:tcPr>
            <w:tcW w:w="1680" w:type="dxa"/>
            <w:vAlign w:val="center"/>
          </w:tcPr>
          <w:p w:rsidR="00D10E1A" w:rsidRDefault="00E227F9">
            <w:pPr>
              <w:jc w:val="right"/>
            </w:pPr>
            <w:r>
              <w:rPr>
                <w:color w:val="000000"/>
                <w:sz w:val="24"/>
              </w:rPr>
              <w:t>8.20</w:t>
            </w:r>
          </w:p>
        </w:tc>
      </w:tr>
      <w:tr w:rsidR="00D10E1A">
        <w:trPr>
          <w:jc w:val="center"/>
        </w:trPr>
        <w:tc>
          <w:tcPr>
            <w:tcW w:w="850" w:type="dxa"/>
            <w:vAlign w:val="center"/>
          </w:tcPr>
          <w:p w:rsidR="00D10E1A" w:rsidRDefault="00E227F9">
            <w:pPr>
              <w:jc w:val="center"/>
            </w:pPr>
            <w:r>
              <w:rPr>
                <w:color w:val="000000"/>
                <w:sz w:val="24"/>
              </w:rPr>
              <w:t>5</w:t>
            </w:r>
          </w:p>
        </w:tc>
        <w:tc>
          <w:tcPr>
            <w:tcW w:w="1327" w:type="dxa"/>
            <w:vAlign w:val="center"/>
          </w:tcPr>
          <w:p w:rsidR="00D10E1A" w:rsidRDefault="00E227F9">
            <w:pPr>
              <w:jc w:val="center"/>
            </w:pPr>
            <w:r>
              <w:rPr>
                <w:color w:val="000000"/>
                <w:sz w:val="24"/>
              </w:rPr>
              <w:t>002049</w:t>
            </w:r>
          </w:p>
        </w:tc>
        <w:tc>
          <w:tcPr>
            <w:tcW w:w="1769" w:type="dxa"/>
            <w:vAlign w:val="center"/>
          </w:tcPr>
          <w:p w:rsidR="00D10E1A" w:rsidRDefault="00E227F9">
            <w:pPr>
              <w:jc w:val="center"/>
            </w:pPr>
            <w:r>
              <w:rPr>
                <w:color w:val="000000"/>
                <w:sz w:val="24"/>
              </w:rPr>
              <w:t>紫光国微</w:t>
            </w:r>
          </w:p>
        </w:tc>
        <w:tc>
          <w:tcPr>
            <w:tcW w:w="1327" w:type="dxa"/>
            <w:vAlign w:val="center"/>
          </w:tcPr>
          <w:p w:rsidR="00D10E1A" w:rsidRDefault="00E227F9">
            <w:pPr>
              <w:jc w:val="right"/>
            </w:pPr>
            <w:r>
              <w:rPr>
                <w:color w:val="000000"/>
                <w:sz w:val="24"/>
              </w:rPr>
              <w:t>2,571,621</w:t>
            </w:r>
          </w:p>
        </w:tc>
        <w:tc>
          <w:tcPr>
            <w:tcW w:w="1915" w:type="dxa"/>
            <w:vAlign w:val="center"/>
          </w:tcPr>
          <w:p w:rsidR="00D10E1A" w:rsidRDefault="00E227F9">
            <w:pPr>
              <w:jc w:val="right"/>
            </w:pPr>
            <w:r>
              <w:rPr>
                <w:color w:val="000000"/>
                <w:sz w:val="24"/>
              </w:rPr>
              <w:t>305,457,142.38</w:t>
            </w:r>
          </w:p>
        </w:tc>
        <w:tc>
          <w:tcPr>
            <w:tcW w:w="1680" w:type="dxa"/>
            <w:vAlign w:val="center"/>
          </w:tcPr>
          <w:p w:rsidR="00D10E1A" w:rsidRDefault="00E227F9">
            <w:pPr>
              <w:jc w:val="right"/>
            </w:pPr>
            <w:r>
              <w:rPr>
                <w:color w:val="000000"/>
                <w:sz w:val="24"/>
              </w:rPr>
              <w:t>8.02</w:t>
            </w:r>
          </w:p>
        </w:tc>
      </w:tr>
      <w:tr w:rsidR="00D10E1A">
        <w:trPr>
          <w:jc w:val="center"/>
        </w:trPr>
        <w:tc>
          <w:tcPr>
            <w:tcW w:w="850" w:type="dxa"/>
            <w:vAlign w:val="center"/>
          </w:tcPr>
          <w:p w:rsidR="00D10E1A" w:rsidRDefault="00E227F9">
            <w:pPr>
              <w:jc w:val="center"/>
            </w:pPr>
            <w:r>
              <w:rPr>
                <w:color w:val="000000"/>
                <w:sz w:val="24"/>
              </w:rPr>
              <w:t>6</w:t>
            </w:r>
          </w:p>
        </w:tc>
        <w:tc>
          <w:tcPr>
            <w:tcW w:w="1327" w:type="dxa"/>
            <w:vAlign w:val="center"/>
          </w:tcPr>
          <w:p w:rsidR="00D10E1A" w:rsidRDefault="00E227F9">
            <w:pPr>
              <w:jc w:val="center"/>
            </w:pPr>
            <w:r>
              <w:rPr>
                <w:color w:val="000000"/>
                <w:sz w:val="24"/>
              </w:rPr>
              <w:t>002230</w:t>
            </w:r>
          </w:p>
        </w:tc>
        <w:tc>
          <w:tcPr>
            <w:tcW w:w="1769" w:type="dxa"/>
            <w:vAlign w:val="center"/>
          </w:tcPr>
          <w:p w:rsidR="00D10E1A" w:rsidRDefault="00E227F9">
            <w:pPr>
              <w:jc w:val="center"/>
            </w:pPr>
            <w:r>
              <w:rPr>
                <w:color w:val="000000"/>
                <w:sz w:val="24"/>
              </w:rPr>
              <w:t>科大讯飞</w:t>
            </w:r>
          </w:p>
        </w:tc>
        <w:tc>
          <w:tcPr>
            <w:tcW w:w="1327" w:type="dxa"/>
            <w:vAlign w:val="center"/>
          </w:tcPr>
          <w:p w:rsidR="00D10E1A" w:rsidRDefault="00E227F9">
            <w:pPr>
              <w:jc w:val="right"/>
            </w:pPr>
            <w:r>
              <w:rPr>
                <w:color w:val="000000"/>
                <w:sz w:val="24"/>
              </w:rPr>
              <w:t>8,786,822</w:t>
            </w:r>
          </w:p>
        </w:tc>
        <w:tc>
          <w:tcPr>
            <w:tcW w:w="1915" w:type="dxa"/>
            <w:vAlign w:val="center"/>
          </w:tcPr>
          <w:p w:rsidR="00D10E1A" w:rsidRDefault="00E227F9">
            <w:pPr>
              <w:jc w:val="right"/>
            </w:pPr>
            <w:r>
              <w:rPr>
                <w:color w:val="000000"/>
                <w:sz w:val="24"/>
              </w:rPr>
              <w:t>301,124,389.94</w:t>
            </w:r>
          </w:p>
        </w:tc>
        <w:tc>
          <w:tcPr>
            <w:tcW w:w="1680" w:type="dxa"/>
            <w:vAlign w:val="center"/>
          </w:tcPr>
          <w:p w:rsidR="00D10E1A" w:rsidRDefault="00E227F9">
            <w:pPr>
              <w:jc w:val="right"/>
            </w:pPr>
            <w:r>
              <w:rPr>
                <w:color w:val="000000"/>
                <w:sz w:val="24"/>
              </w:rPr>
              <w:t>7.90</w:t>
            </w:r>
          </w:p>
        </w:tc>
      </w:tr>
      <w:tr w:rsidR="00D10E1A">
        <w:trPr>
          <w:jc w:val="center"/>
        </w:trPr>
        <w:tc>
          <w:tcPr>
            <w:tcW w:w="850" w:type="dxa"/>
            <w:vAlign w:val="center"/>
          </w:tcPr>
          <w:p w:rsidR="00D10E1A" w:rsidRDefault="00E227F9">
            <w:pPr>
              <w:jc w:val="center"/>
            </w:pPr>
            <w:r>
              <w:rPr>
                <w:color w:val="000000"/>
                <w:sz w:val="24"/>
              </w:rPr>
              <w:t>7</w:t>
            </w:r>
          </w:p>
        </w:tc>
        <w:tc>
          <w:tcPr>
            <w:tcW w:w="1327" w:type="dxa"/>
            <w:vAlign w:val="center"/>
          </w:tcPr>
          <w:p w:rsidR="00D10E1A" w:rsidRDefault="00E227F9">
            <w:pPr>
              <w:jc w:val="center"/>
            </w:pPr>
            <w:r>
              <w:rPr>
                <w:color w:val="000000"/>
                <w:sz w:val="24"/>
              </w:rPr>
              <w:t>000998</w:t>
            </w:r>
          </w:p>
        </w:tc>
        <w:tc>
          <w:tcPr>
            <w:tcW w:w="1769" w:type="dxa"/>
            <w:vAlign w:val="center"/>
          </w:tcPr>
          <w:p w:rsidR="00D10E1A" w:rsidRDefault="00E227F9">
            <w:pPr>
              <w:jc w:val="center"/>
            </w:pPr>
            <w:r>
              <w:rPr>
                <w:color w:val="000000"/>
                <w:sz w:val="24"/>
              </w:rPr>
              <w:t>隆平高科</w:t>
            </w:r>
          </w:p>
        </w:tc>
        <w:tc>
          <w:tcPr>
            <w:tcW w:w="1327" w:type="dxa"/>
            <w:vAlign w:val="center"/>
          </w:tcPr>
          <w:p w:rsidR="00D10E1A" w:rsidRDefault="00E227F9">
            <w:pPr>
              <w:jc w:val="right"/>
            </w:pPr>
            <w:r>
              <w:rPr>
                <w:color w:val="000000"/>
                <w:sz w:val="24"/>
              </w:rPr>
              <w:t>12,378,262</w:t>
            </w:r>
          </w:p>
        </w:tc>
        <w:tc>
          <w:tcPr>
            <w:tcW w:w="1915" w:type="dxa"/>
            <w:vAlign w:val="center"/>
          </w:tcPr>
          <w:p w:rsidR="00D10E1A" w:rsidRDefault="00E227F9">
            <w:pPr>
              <w:jc w:val="right"/>
            </w:pPr>
            <w:r>
              <w:rPr>
                <w:color w:val="000000"/>
                <w:sz w:val="24"/>
              </w:rPr>
              <w:t>226,645,977.22</w:t>
            </w:r>
          </w:p>
        </w:tc>
        <w:tc>
          <w:tcPr>
            <w:tcW w:w="1680" w:type="dxa"/>
            <w:vAlign w:val="center"/>
          </w:tcPr>
          <w:p w:rsidR="00D10E1A" w:rsidRDefault="00E227F9">
            <w:pPr>
              <w:jc w:val="right"/>
            </w:pPr>
            <w:r>
              <w:rPr>
                <w:color w:val="000000"/>
                <w:sz w:val="24"/>
              </w:rPr>
              <w:t>5.95</w:t>
            </w:r>
          </w:p>
        </w:tc>
      </w:tr>
      <w:tr w:rsidR="00D10E1A">
        <w:trPr>
          <w:jc w:val="center"/>
        </w:trPr>
        <w:tc>
          <w:tcPr>
            <w:tcW w:w="850" w:type="dxa"/>
            <w:vAlign w:val="center"/>
          </w:tcPr>
          <w:p w:rsidR="00D10E1A" w:rsidRDefault="00E227F9">
            <w:pPr>
              <w:jc w:val="center"/>
            </w:pPr>
            <w:r>
              <w:rPr>
                <w:color w:val="000000"/>
                <w:sz w:val="24"/>
              </w:rPr>
              <w:t>8</w:t>
            </w:r>
          </w:p>
        </w:tc>
        <w:tc>
          <w:tcPr>
            <w:tcW w:w="1327" w:type="dxa"/>
            <w:vAlign w:val="center"/>
          </w:tcPr>
          <w:p w:rsidR="00D10E1A" w:rsidRDefault="00E227F9">
            <w:pPr>
              <w:jc w:val="center"/>
            </w:pPr>
            <w:r>
              <w:rPr>
                <w:color w:val="000000"/>
                <w:sz w:val="24"/>
              </w:rPr>
              <w:t>603866</w:t>
            </w:r>
          </w:p>
        </w:tc>
        <w:tc>
          <w:tcPr>
            <w:tcW w:w="1769" w:type="dxa"/>
            <w:vAlign w:val="center"/>
          </w:tcPr>
          <w:p w:rsidR="00D10E1A" w:rsidRDefault="00E227F9">
            <w:pPr>
              <w:jc w:val="center"/>
            </w:pPr>
            <w:r>
              <w:rPr>
                <w:color w:val="000000"/>
                <w:sz w:val="24"/>
              </w:rPr>
              <w:t>桃李面包</w:t>
            </w:r>
          </w:p>
        </w:tc>
        <w:tc>
          <w:tcPr>
            <w:tcW w:w="1327" w:type="dxa"/>
            <w:vAlign w:val="center"/>
          </w:tcPr>
          <w:p w:rsidR="00D10E1A" w:rsidRDefault="00E227F9">
            <w:pPr>
              <w:jc w:val="right"/>
            </w:pPr>
            <w:r>
              <w:rPr>
                <w:color w:val="000000"/>
                <w:sz w:val="24"/>
              </w:rPr>
              <w:t>2,991,495</w:t>
            </w:r>
          </w:p>
        </w:tc>
        <w:tc>
          <w:tcPr>
            <w:tcW w:w="1915" w:type="dxa"/>
            <w:vAlign w:val="center"/>
          </w:tcPr>
          <w:p w:rsidR="00D10E1A" w:rsidRDefault="00E227F9">
            <w:pPr>
              <w:jc w:val="right"/>
            </w:pPr>
            <w:r>
              <w:rPr>
                <w:color w:val="000000"/>
                <w:sz w:val="24"/>
              </w:rPr>
              <w:t>178,263,187.05</w:t>
            </w:r>
          </w:p>
        </w:tc>
        <w:tc>
          <w:tcPr>
            <w:tcW w:w="1680" w:type="dxa"/>
            <w:vAlign w:val="center"/>
          </w:tcPr>
          <w:p w:rsidR="00D10E1A" w:rsidRDefault="00E227F9">
            <w:pPr>
              <w:jc w:val="right"/>
            </w:pPr>
            <w:r>
              <w:rPr>
                <w:color w:val="000000"/>
                <w:sz w:val="24"/>
              </w:rPr>
              <w:t>4.68</w:t>
            </w:r>
          </w:p>
        </w:tc>
      </w:tr>
      <w:tr w:rsidR="00D10E1A">
        <w:trPr>
          <w:jc w:val="center"/>
        </w:trPr>
        <w:tc>
          <w:tcPr>
            <w:tcW w:w="850" w:type="dxa"/>
            <w:vAlign w:val="center"/>
          </w:tcPr>
          <w:p w:rsidR="00D10E1A" w:rsidRDefault="00E227F9">
            <w:pPr>
              <w:jc w:val="center"/>
            </w:pPr>
            <w:r>
              <w:rPr>
                <w:color w:val="000000"/>
                <w:sz w:val="24"/>
              </w:rPr>
              <w:t>9</w:t>
            </w:r>
          </w:p>
        </w:tc>
        <w:tc>
          <w:tcPr>
            <w:tcW w:w="1327" w:type="dxa"/>
            <w:vAlign w:val="center"/>
          </w:tcPr>
          <w:p w:rsidR="00D10E1A" w:rsidRDefault="00E227F9">
            <w:pPr>
              <w:jc w:val="center"/>
            </w:pPr>
            <w:r>
              <w:rPr>
                <w:color w:val="000000"/>
                <w:sz w:val="24"/>
              </w:rPr>
              <w:t>002311</w:t>
            </w:r>
          </w:p>
        </w:tc>
        <w:tc>
          <w:tcPr>
            <w:tcW w:w="1769" w:type="dxa"/>
            <w:vAlign w:val="center"/>
          </w:tcPr>
          <w:p w:rsidR="00D10E1A" w:rsidRDefault="00E227F9">
            <w:pPr>
              <w:jc w:val="center"/>
            </w:pPr>
            <w:r>
              <w:rPr>
                <w:color w:val="000000"/>
                <w:sz w:val="24"/>
              </w:rPr>
              <w:t>海大集团</w:t>
            </w:r>
          </w:p>
        </w:tc>
        <w:tc>
          <w:tcPr>
            <w:tcW w:w="1327" w:type="dxa"/>
            <w:vAlign w:val="center"/>
          </w:tcPr>
          <w:p w:rsidR="00D10E1A" w:rsidRDefault="00E227F9">
            <w:pPr>
              <w:jc w:val="right"/>
            </w:pPr>
            <w:r>
              <w:rPr>
                <w:color w:val="000000"/>
                <w:sz w:val="24"/>
              </w:rPr>
              <w:t>2,897,310</w:t>
            </w:r>
          </w:p>
        </w:tc>
        <w:tc>
          <w:tcPr>
            <w:tcW w:w="1915" w:type="dxa"/>
            <w:vAlign w:val="center"/>
          </w:tcPr>
          <w:p w:rsidR="00D10E1A" w:rsidRDefault="00E227F9">
            <w:pPr>
              <w:jc w:val="right"/>
            </w:pPr>
            <w:r>
              <w:rPr>
                <w:color w:val="000000"/>
                <w:sz w:val="24"/>
              </w:rPr>
              <w:t>177,692,022.30</w:t>
            </w:r>
          </w:p>
        </w:tc>
        <w:tc>
          <w:tcPr>
            <w:tcW w:w="1680" w:type="dxa"/>
            <w:vAlign w:val="center"/>
          </w:tcPr>
          <w:p w:rsidR="00D10E1A" w:rsidRDefault="00E227F9">
            <w:pPr>
              <w:jc w:val="right"/>
            </w:pPr>
            <w:r>
              <w:rPr>
                <w:color w:val="000000"/>
                <w:sz w:val="24"/>
              </w:rPr>
              <w:t>4.66</w:t>
            </w:r>
          </w:p>
        </w:tc>
      </w:tr>
      <w:tr w:rsidR="00D10E1A">
        <w:trPr>
          <w:jc w:val="center"/>
        </w:trPr>
        <w:tc>
          <w:tcPr>
            <w:tcW w:w="850" w:type="dxa"/>
            <w:vAlign w:val="center"/>
          </w:tcPr>
          <w:p w:rsidR="00D10E1A" w:rsidRDefault="00E227F9">
            <w:pPr>
              <w:jc w:val="center"/>
            </w:pPr>
            <w:r>
              <w:rPr>
                <w:color w:val="000000"/>
                <w:sz w:val="24"/>
              </w:rPr>
              <w:t>10</w:t>
            </w:r>
          </w:p>
        </w:tc>
        <w:tc>
          <w:tcPr>
            <w:tcW w:w="1327" w:type="dxa"/>
            <w:vAlign w:val="center"/>
          </w:tcPr>
          <w:p w:rsidR="00D10E1A" w:rsidRDefault="00E227F9">
            <w:pPr>
              <w:jc w:val="center"/>
            </w:pPr>
            <w:r>
              <w:rPr>
                <w:color w:val="000000"/>
                <w:sz w:val="24"/>
              </w:rPr>
              <w:t>002989</w:t>
            </w:r>
          </w:p>
        </w:tc>
        <w:tc>
          <w:tcPr>
            <w:tcW w:w="1769" w:type="dxa"/>
            <w:vAlign w:val="center"/>
          </w:tcPr>
          <w:p w:rsidR="00D10E1A" w:rsidRDefault="00E227F9">
            <w:pPr>
              <w:jc w:val="center"/>
            </w:pPr>
            <w:r>
              <w:rPr>
                <w:color w:val="000000"/>
                <w:sz w:val="24"/>
              </w:rPr>
              <w:t>中天精装</w:t>
            </w:r>
          </w:p>
        </w:tc>
        <w:tc>
          <w:tcPr>
            <w:tcW w:w="1327" w:type="dxa"/>
            <w:vAlign w:val="center"/>
          </w:tcPr>
          <w:p w:rsidR="00D10E1A" w:rsidRDefault="00E227F9">
            <w:pPr>
              <w:jc w:val="right"/>
            </w:pPr>
            <w:r>
              <w:rPr>
                <w:color w:val="000000"/>
                <w:sz w:val="24"/>
              </w:rPr>
              <w:t>2,744,258</w:t>
            </w:r>
          </w:p>
        </w:tc>
        <w:tc>
          <w:tcPr>
            <w:tcW w:w="1915" w:type="dxa"/>
            <w:vAlign w:val="center"/>
          </w:tcPr>
          <w:p w:rsidR="00D10E1A" w:rsidRDefault="00E227F9">
            <w:pPr>
              <w:jc w:val="right"/>
            </w:pPr>
            <w:r>
              <w:rPr>
                <w:color w:val="000000"/>
                <w:sz w:val="24"/>
              </w:rPr>
              <w:t>159,715,815.60</w:t>
            </w:r>
          </w:p>
        </w:tc>
        <w:tc>
          <w:tcPr>
            <w:tcW w:w="1680" w:type="dxa"/>
            <w:vAlign w:val="center"/>
          </w:tcPr>
          <w:p w:rsidR="00D10E1A" w:rsidRDefault="00E227F9">
            <w:pPr>
              <w:jc w:val="right"/>
            </w:pPr>
            <w:r>
              <w:rPr>
                <w:color w:val="000000"/>
                <w:sz w:val="24"/>
              </w:rPr>
              <w:t>4.19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198,454,000.00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198,454,000.00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14,883,944.85</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0.39</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213,337,944.85</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5.60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10E1A">
        <w:trPr>
          <w:jc w:val="center"/>
        </w:trPr>
        <w:tc>
          <w:tcPr>
            <w:tcW w:w="1075" w:type="dxa"/>
            <w:vAlign w:val="center"/>
          </w:tcPr>
          <w:p w:rsidR="00D10E1A" w:rsidRDefault="00E227F9">
            <w:pPr>
              <w:jc w:val="center"/>
            </w:pPr>
            <w:r>
              <w:rPr>
                <w:color w:val="000000"/>
                <w:sz w:val="24"/>
              </w:rPr>
              <w:lastRenderedPageBreak/>
              <w:t>1</w:t>
            </w:r>
          </w:p>
        </w:tc>
        <w:tc>
          <w:tcPr>
            <w:tcW w:w="1533" w:type="dxa"/>
            <w:vAlign w:val="center"/>
          </w:tcPr>
          <w:p w:rsidR="00D10E1A" w:rsidRDefault="00E227F9">
            <w:pPr>
              <w:jc w:val="center"/>
            </w:pPr>
            <w:r>
              <w:rPr>
                <w:color w:val="000000"/>
                <w:sz w:val="24"/>
              </w:rPr>
              <w:t>200211</w:t>
            </w:r>
          </w:p>
        </w:tc>
        <w:tc>
          <w:tcPr>
            <w:tcW w:w="1533" w:type="dxa"/>
            <w:vAlign w:val="center"/>
          </w:tcPr>
          <w:p w:rsidR="00D10E1A" w:rsidRDefault="00E227F9">
            <w:pPr>
              <w:jc w:val="center"/>
            </w:pPr>
            <w:r>
              <w:rPr>
                <w:color w:val="000000"/>
                <w:sz w:val="24"/>
              </w:rPr>
              <w:t>20</w:t>
            </w:r>
            <w:r>
              <w:rPr>
                <w:color w:val="000000"/>
                <w:sz w:val="24"/>
              </w:rPr>
              <w:t>国开</w:t>
            </w:r>
            <w:r>
              <w:rPr>
                <w:color w:val="000000"/>
                <w:sz w:val="24"/>
              </w:rPr>
              <w:t>11</w:t>
            </w:r>
          </w:p>
        </w:tc>
        <w:tc>
          <w:tcPr>
            <w:tcW w:w="1394" w:type="dxa"/>
            <w:vAlign w:val="center"/>
          </w:tcPr>
          <w:p w:rsidR="00D10E1A" w:rsidRDefault="00E227F9">
            <w:pPr>
              <w:jc w:val="right"/>
            </w:pPr>
            <w:r>
              <w:rPr>
                <w:color w:val="000000"/>
                <w:sz w:val="24"/>
              </w:rPr>
              <w:t>1,300,000</w:t>
            </w:r>
          </w:p>
        </w:tc>
        <w:tc>
          <w:tcPr>
            <w:tcW w:w="1944" w:type="dxa"/>
            <w:vAlign w:val="center"/>
          </w:tcPr>
          <w:p w:rsidR="00D10E1A" w:rsidRDefault="00E227F9">
            <w:pPr>
              <w:jc w:val="right"/>
            </w:pPr>
            <w:r>
              <w:rPr>
                <w:color w:val="000000"/>
                <w:sz w:val="24"/>
              </w:rPr>
              <w:t>128,791,000.00</w:t>
            </w:r>
          </w:p>
        </w:tc>
        <w:tc>
          <w:tcPr>
            <w:tcW w:w="1389" w:type="dxa"/>
            <w:vAlign w:val="center"/>
          </w:tcPr>
          <w:p w:rsidR="00D10E1A" w:rsidRDefault="00E227F9">
            <w:pPr>
              <w:jc w:val="right"/>
            </w:pPr>
            <w:r>
              <w:rPr>
                <w:color w:val="000000"/>
                <w:sz w:val="24"/>
              </w:rPr>
              <w:t>3.38</w:t>
            </w:r>
          </w:p>
        </w:tc>
      </w:tr>
      <w:tr w:rsidR="00D10E1A">
        <w:trPr>
          <w:jc w:val="center"/>
        </w:trPr>
        <w:tc>
          <w:tcPr>
            <w:tcW w:w="1075" w:type="dxa"/>
            <w:vAlign w:val="center"/>
          </w:tcPr>
          <w:p w:rsidR="00D10E1A" w:rsidRDefault="00E227F9">
            <w:pPr>
              <w:jc w:val="center"/>
            </w:pPr>
            <w:r>
              <w:rPr>
                <w:color w:val="000000"/>
                <w:sz w:val="24"/>
              </w:rPr>
              <w:t>2</w:t>
            </w:r>
          </w:p>
        </w:tc>
        <w:tc>
          <w:tcPr>
            <w:tcW w:w="1533" w:type="dxa"/>
            <w:vAlign w:val="center"/>
          </w:tcPr>
          <w:p w:rsidR="00D10E1A" w:rsidRDefault="00E227F9">
            <w:pPr>
              <w:jc w:val="center"/>
            </w:pPr>
            <w:r>
              <w:rPr>
                <w:color w:val="000000"/>
                <w:sz w:val="24"/>
              </w:rPr>
              <w:t>207703</w:t>
            </w:r>
          </w:p>
        </w:tc>
        <w:tc>
          <w:tcPr>
            <w:tcW w:w="1533" w:type="dxa"/>
            <w:vAlign w:val="center"/>
          </w:tcPr>
          <w:p w:rsidR="00D10E1A" w:rsidRDefault="00E227F9">
            <w:pPr>
              <w:jc w:val="center"/>
            </w:pPr>
            <w:r>
              <w:rPr>
                <w:color w:val="000000"/>
                <w:sz w:val="24"/>
              </w:rPr>
              <w:t>20</w:t>
            </w:r>
            <w:r>
              <w:rPr>
                <w:color w:val="000000"/>
                <w:sz w:val="24"/>
              </w:rPr>
              <w:t>贴现国开</w:t>
            </w:r>
            <w:r>
              <w:rPr>
                <w:color w:val="000000"/>
                <w:sz w:val="24"/>
              </w:rPr>
              <w:t>03</w:t>
            </w:r>
          </w:p>
        </w:tc>
        <w:tc>
          <w:tcPr>
            <w:tcW w:w="1394" w:type="dxa"/>
            <w:vAlign w:val="center"/>
          </w:tcPr>
          <w:p w:rsidR="00D10E1A" w:rsidRDefault="00E227F9">
            <w:pPr>
              <w:jc w:val="right"/>
            </w:pPr>
            <w:r>
              <w:rPr>
                <w:color w:val="000000"/>
                <w:sz w:val="24"/>
              </w:rPr>
              <w:t>500,000</w:t>
            </w:r>
          </w:p>
        </w:tc>
        <w:tc>
          <w:tcPr>
            <w:tcW w:w="1944" w:type="dxa"/>
            <w:vAlign w:val="center"/>
          </w:tcPr>
          <w:p w:rsidR="00D10E1A" w:rsidRDefault="00E227F9">
            <w:pPr>
              <w:jc w:val="right"/>
            </w:pPr>
            <w:r>
              <w:rPr>
                <w:color w:val="000000"/>
                <w:sz w:val="24"/>
              </w:rPr>
              <w:t>49,725,000.00</w:t>
            </w:r>
          </w:p>
        </w:tc>
        <w:tc>
          <w:tcPr>
            <w:tcW w:w="1389" w:type="dxa"/>
            <w:vAlign w:val="center"/>
          </w:tcPr>
          <w:p w:rsidR="00D10E1A" w:rsidRDefault="00E227F9">
            <w:pPr>
              <w:jc w:val="right"/>
            </w:pPr>
            <w:r>
              <w:rPr>
                <w:color w:val="000000"/>
                <w:sz w:val="24"/>
              </w:rPr>
              <w:t>1.30</w:t>
            </w:r>
          </w:p>
        </w:tc>
      </w:tr>
      <w:tr w:rsidR="00D10E1A">
        <w:trPr>
          <w:jc w:val="center"/>
        </w:trPr>
        <w:tc>
          <w:tcPr>
            <w:tcW w:w="1075" w:type="dxa"/>
            <w:vAlign w:val="center"/>
          </w:tcPr>
          <w:p w:rsidR="00D10E1A" w:rsidRDefault="00E227F9">
            <w:pPr>
              <w:jc w:val="center"/>
            </w:pPr>
            <w:r>
              <w:rPr>
                <w:color w:val="000000"/>
                <w:sz w:val="24"/>
              </w:rPr>
              <w:t>3</w:t>
            </w:r>
          </w:p>
        </w:tc>
        <w:tc>
          <w:tcPr>
            <w:tcW w:w="1533" w:type="dxa"/>
            <w:vAlign w:val="center"/>
          </w:tcPr>
          <w:p w:rsidR="00D10E1A" w:rsidRDefault="00E227F9">
            <w:pPr>
              <w:jc w:val="center"/>
            </w:pPr>
            <w:r>
              <w:rPr>
                <w:color w:val="000000"/>
                <w:sz w:val="24"/>
              </w:rPr>
              <w:t>200304</w:t>
            </w:r>
          </w:p>
        </w:tc>
        <w:tc>
          <w:tcPr>
            <w:tcW w:w="1533" w:type="dxa"/>
            <w:vAlign w:val="center"/>
          </w:tcPr>
          <w:p w:rsidR="00D10E1A" w:rsidRDefault="00E227F9">
            <w:pPr>
              <w:jc w:val="center"/>
            </w:pPr>
            <w:r>
              <w:rPr>
                <w:color w:val="000000"/>
                <w:sz w:val="24"/>
              </w:rPr>
              <w:t>20</w:t>
            </w:r>
            <w:r>
              <w:rPr>
                <w:color w:val="000000"/>
                <w:sz w:val="24"/>
              </w:rPr>
              <w:t>进出</w:t>
            </w:r>
            <w:r>
              <w:rPr>
                <w:color w:val="000000"/>
                <w:sz w:val="24"/>
              </w:rPr>
              <w:t>04</w:t>
            </w:r>
          </w:p>
        </w:tc>
        <w:tc>
          <w:tcPr>
            <w:tcW w:w="1394" w:type="dxa"/>
            <w:vAlign w:val="center"/>
          </w:tcPr>
          <w:p w:rsidR="00D10E1A" w:rsidRDefault="00E227F9">
            <w:pPr>
              <w:jc w:val="right"/>
            </w:pPr>
            <w:r>
              <w:rPr>
                <w:color w:val="000000"/>
                <w:sz w:val="24"/>
              </w:rPr>
              <w:t>200,000</w:t>
            </w:r>
          </w:p>
        </w:tc>
        <w:tc>
          <w:tcPr>
            <w:tcW w:w="1944" w:type="dxa"/>
            <w:vAlign w:val="center"/>
          </w:tcPr>
          <w:p w:rsidR="00D10E1A" w:rsidRDefault="00E227F9">
            <w:pPr>
              <w:jc w:val="right"/>
            </w:pPr>
            <w:r>
              <w:rPr>
                <w:color w:val="000000"/>
                <w:sz w:val="24"/>
              </w:rPr>
              <w:t>19,938,000.00</w:t>
            </w:r>
          </w:p>
        </w:tc>
        <w:tc>
          <w:tcPr>
            <w:tcW w:w="1389" w:type="dxa"/>
            <w:vAlign w:val="center"/>
          </w:tcPr>
          <w:p w:rsidR="00D10E1A" w:rsidRDefault="00E227F9">
            <w:pPr>
              <w:jc w:val="right"/>
            </w:pPr>
            <w:r>
              <w:rPr>
                <w:color w:val="000000"/>
                <w:sz w:val="24"/>
              </w:rPr>
              <w:t>0.52</w:t>
            </w:r>
          </w:p>
        </w:tc>
      </w:tr>
      <w:tr w:rsidR="00D10E1A">
        <w:trPr>
          <w:jc w:val="center"/>
        </w:trPr>
        <w:tc>
          <w:tcPr>
            <w:tcW w:w="1075" w:type="dxa"/>
            <w:vAlign w:val="center"/>
          </w:tcPr>
          <w:p w:rsidR="00D10E1A" w:rsidRDefault="00E227F9">
            <w:pPr>
              <w:jc w:val="center"/>
            </w:pPr>
            <w:r>
              <w:rPr>
                <w:color w:val="000000"/>
                <w:sz w:val="24"/>
              </w:rPr>
              <w:t>4</w:t>
            </w:r>
          </w:p>
        </w:tc>
        <w:tc>
          <w:tcPr>
            <w:tcW w:w="1533" w:type="dxa"/>
            <w:vAlign w:val="center"/>
          </w:tcPr>
          <w:p w:rsidR="00D10E1A" w:rsidRDefault="00E227F9">
            <w:pPr>
              <w:jc w:val="center"/>
            </w:pPr>
            <w:r>
              <w:rPr>
                <w:color w:val="000000"/>
                <w:sz w:val="24"/>
              </w:rPr>
              <w:t>128102</w:t>
            </w:r>
          </w:p>
        </w:tc>
        <w:tc>
          <w:tcPr>
            <w:tcW w:w="1533" w:type="dxa"/>
            <w:vAlign w:val="center"/>
          </w:tcPr>
          <w:p w:rsidR="00D10E1A" w:rsidRDefault="00E227F9">
            <w:pPr>
              <w:jc w:val="center"/>
            </w:pPr>
            <w:r>
              <w:rPr>
                <w:color w:val="000000"/>
                <w:sz w:val="24"/>
              </w:rPr>
              <w:t>海大转债</w:t>
            </w:r>
          </w:p>
        </w:tc>
        <w:tc>
          <w:tcPr>
            <w:tcW w:w="1394" w:type="dxa"/>
            <w:vAlign w:val="center"/>
          </w:tcPr>
          <w:p w:rsidR="00D10E1A" w:rsidRDefault="00E227F9">
            <w:pPr>
              <w:jc w:val="right"/>
            </w:pPr>
            <w:r>
              <w:rPr>
                <w:color w:val="000000"/>
                <w:sz w:val="24"/>
              </w:rPr>
              <w:t>60,545</w:t>
            </w:r>
          </w:p>
        </w:tc>
        <w:tc>
          <w:tcPr>
            <w:tcW w:w="1944" w:type="dxa"/>
            <w:vAlign w:val="center"/>
          </w:tcPr>
          <w:p w:rsidR="00D10E1A" w:rsidRDefault="00E227F9">
            <w:pPr>
              <w:jc w:val="right"/>
            </w:pPr>
            <w:r>
              <w:rPr>
                <w:color w:val="000000"/>
                <w:sz w:val="24"/>
              </w:rPr>
              <w:t>10,729,179.45</w:t>
            </w:r>
          </w:p>
        </w:tc>
        <w:tc>
          <w:tcPr>
            <w:tcW w:w="1389" w:type="dxa"/>
            <w:vAlign w:val="center"/>
          </w:tcPr>
          <w:p w:rsidR="00D10E1A" w:rsidRDefault="00E227F9">
            <w:pPr>
              <w:jc w:val="right"/>
            </w:pPr>
            <w:r>
              <w:rPr>
                <w:color w:val="000000"/>
                <w:sz w:val="24"/>
              </w:rPr>
              <w:t>0.28</w:t>
            </w:r>
          </w:p>
        </w:tc>
      </w:tr>
      <w:tr w:rsidR="00D10E1A">
        <w:trPr>
          <w:jc w:val="center"/>
        </w:trPr>
        <w:tc>
          <w:tcPr>
            <w:tcW w:w="1075" w:type="dxa"/>
            <w:vAlign w:val="center"/>
          </w:tcPr>
          <w:p w:rsidR="00D10E1A" w:rsidRDefault="00E227F9">
            <w:pPr>
              <w:jc w:val="center"/>
            </w:pPr>
            <w:r>
              <w:rPr>
                <w:color w:val="000000"/>
                <w:sz w:val="24"/>
              </w:rPr>
              <w:t>5</w:t>
            </w:r>
          </w:p>
        </w:tc>
        <w:tc>
          <w:tcPr>
            <w:tcW w:w="1533" w:type="dxa"/>
            <w:vAlign w:val="center"/>
          </w:tcPr>
          <w:p w:rsidR="00D10E1A" w:rsidRDefault="00E227F9">
            <w:pPr>
              <w:jc w:val="center"/>
            </w:pPr>
            <w:r>
              <w:rPr>
                <w:color w:val="000000"/>
                <w:sz w:val="24"/>
              </w:rPr>
              <w:t>113579</w:t>
            </w:r>
          </w:p>
        </w:tc>
        <w:tc>
          <w:tcPr>
            <w:tcW w:w="1533" w:type="dxa"/>
            <w:vAlign w:val="center"/>
          </w:tcPr>
          <w:p w:rsidR="00D10E1A" w:rsidRDefault="00E227F9">
            <w:pPr>
              <w:jc w:val="center"/>
            </w:pPr>
            <w:r>
              <w:rPr>
                <w:color w:val="000000"/>
                <w:sz w:val="24"/>
              </w:rPr>
              <w:t>健友转债</w:t>
            </w:r>
          </w:p>
        </w:tc>
        <w:tc>
          <w:tcPr>
            <w:tcW w:w="1394" w:type="dxa"/>
            <w:vAlign w:val="center"/>
          </w:tcPr>
          <w:p w:rsidR="00D10E1A" w:rsidRDefault="00E227F9">
            <w:pPr>
              <w:jc w:val="right"/>
            </w:pPr>
            <w:r>
              <w:rPr>
                <w:color w:val="000000"/>
                <w:sz w:val="24"/>
              </w:rPr>
              <w:t>32,260</w:t>
            </w:r>
          </w:p>
        </w:tc>
        <w:tc>
          <w:tcPr>
            <w:tcW w:w="1944" w:type="dxa"/>
            <w:vAlign w:val="center"/>
          </w:tcPr>
          <w:p w:rsidR="00D10E1A" w:rsidRDefault="00E227F9">
            <w:pPr>
              <w:jc w:val="right"/>
            </w:pPr>
            <w:r>
              <w:rPr>
                <w:color w:val="000000"/>
                <w:sz w:val="24"/>
              </w:rPr>
              <w:t>4,154,765.40</w:t>
            </w:r>
          </w:p>
        </w:tc>
        <w:tc>
          <w:tcPr>
            <w:tcW w:w="1389" w:type="dxa"/>
            <w:vAlign w:val="center"/>
          </w:tcPr>
          <w:p w:rsidR="00D10E1A" w:rsidRDefault="00E227F9">
            <w:pPr>
              <w:jc w:val="right"/>
            </w:pPr>
            <w:r>
              <w:rPr>
                <w:color w:val="000000"/>
                <w:sz w:val="24"/>
              </w:rPr>
              <w:t>0.11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636,615.86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1,087,102.63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1,424,425.29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3,148,143.78</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D10E1A">
        <w:trPr>
          <w:jc w:val="center"/>
        </w:trPr>
        <w:tc>
          <w:tcPr>
            <w:tcW w:w="0" w:type="auto"/>
            <w:vAlign w:val="center"/>
          </w:tcPr>
          <w:p w:rsidR="00D10E1A" w:rsidRDefault="00E227F9">
            <w:pPr>
              <w:jc w:val="center"/>
            </w:pPr>
            <w:r>
              <w:rPr>
                <w:rFonts w:eastAsiaTheme="minorEastAsia"/>
                <w:color w:val="000000"/>
                <w:sz w:val="24"/>
              </w:rPr>
              <w:t>1</w:t>
            </w:r>
          </w:p>
        </w:tc>
        <w:tc>
          <w:tcPr>
            <w:tcW w:w="0" w:type="auto"/>
            <w:vAlign w:val="center"/>
          </w:tcPr>
          <w:p w:rsidR="00D10E1A" w:rsidRDefault="00E227F9">
            <w:pPr>
              <w:jc w:val="center"/>
            </w:pPr>
            <w:r>
              <w:rPr>
                <w:rFonts w:eastAsiaTheme="minorEastAsia"/>
                <w:color w:val="000000"/>
                <w:sz w:val="24"/>
              </w:rPr>
              <w:t>128102</w:t>
            </w:r>
          </w:p>
        </w:tc>
        <w:tc>
          <w:tcPr>
            <w:tcW w:w="0" w:type="auto"/>
            <w:vAlign w:val="center"/>
          </w:tcPr>
          <w:p w:rsidR="00D10E1A" w:rsidRDefault="00E227F9">
            <w:pPr>
              <w:jc w:val="center"/>
            </w:pPr>
            <w:r>
              <w:rPr>
                <w:rFonts w:eastAsiaTheme="minorEastAsia"/>
                <w:color w:val="000000"/>
                <w:sz w:val="24"/>
              </w:rPr>
              <w:t>海大转债</w:t>
            </w:r>
          </w:p>
        </w:tc>
        <w:tc>
          <w:tcPr>
            <w:tcW w:w="0" w:type="auto"/>
            <w:vAlign w:val="center"/>
          </w:tcPr>
          <w:p w:rsidR="00D10E1A" w:rsidRDefault="00E227F9">
            <w:pPr>
              <w:jc w:val="right"/>
            </w:pPr>
            <w:r>
              <w:rPr>
                <w:rFonts w:eastAsiaTheme="minorEastAsia"/>
                <w:color w:val="000000"/>
                <w:sz w:val="24"/>
              </w:rPr>
              <w:t>10,729,179.45</w:t>
            </w:r>
          </w:p>
        </w:tc>
        <w:tc>
          <w:tcPr>
            <w:tcW w:w="0" w:type="auto"/>
            <w:vAlign w:val="center"/>
          </w:tcPr>
          <w:p w:rsidR="00D10E1A" w:rsidRDefault="00E227F9">
            <w:pPr>
              <w:jc w:val="right"/>
            </w:pPr>
            <w:r>
              <w:rPr>
                <w:rFonts w:eastAsiaTheme="minorEastAsia"/>
                <w:color w:val="000000"/>
                <w:sz w:val="24"/>
              </w:rPr>
              <w:t>0.28</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H</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571,490,022.45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1,823,977.54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51,722,870.61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1,877,447.27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81,381,308.80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1,865,136.14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541,831,584.26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1,836,288.67</w:t>
            </w:r>
          </w:p>
        </w:tc>
      </w:tr>
    </w:tbl>
    <w:p w:rsidR="00D10E1A" w:rsidRDefault="00E227F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lastRenderedPageBreak/>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D10E1A" w:rsidRDefault="00E227F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、中国证监会批准交银施罗德成长股票证券投资基金募集的文件；</w:t>
      </w:r>
      <w:r>
        <w:rPr>
          <w:rFonts w:eastAsiaTheme="minorEastAsia"/>
          <w:color w:val="000000"/>
          <w:sz w:val="24"/>
        </w:rPr>
        <w:t xml:space="preserve"> </w:t>
      </w:r>
    </w:p>
    <w:p w:rsidR="00D10E1A" w:rsidRDefault="00E227F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、《交银施罗德成长混合型证券投资基金基金合同》；</w:t>
      </w:r>
      <w:r>
        <w:rPr>
          <w:rFonts w:eastAsiaTheme="minorEastAsia"/>
          <w:color w:val="000000"/>
          <w:sz w:val="24"/>
        </w:rPr>
        <w:t xml:space="preserve"> </w:t>
      </w:r>
    </w:p>
    <w:p w:rsidR="00D10E1A" w:rsidRDefault="00E227F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、《交银施罗德成长混合型证券投资基金招募说明书》；</w:t>
      </w:r>
      <w:r>
        <w:rPr>
          <w:rFonts w:eastAsiaTheme="minorEastAsia"/>
          <w:color w:val="000000"/>
          <w:sz w:val="24"/>
        </w:rPr>
        <w:t xml:space="preserve"> </w:t>
      </w:r>
    </w:p>
    <w:p w:rsidR="00D10E1A" w:rsidRDefault="00E227F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、《交银施罗德成长混合型证券投资基金托管协议》；</w:t>
      </w:r>
      <w:r>
        <w:rPr>
          <w:rFonts w:eastAsiaTheme="minorEastAsia"/>
          <w:color w:val="000000"/>
          <w:sz w:val="24"/>
        </w:rPr>
        <w:t xml:space="preserve"> </w:t>
      </w:r>
    </w:p>
    <w:p w:rsidR="00D10E1A" w:rsidRDefault="00E227F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、关于募集交银施罗德成长股票证券投资基金之法律意见书；</w:t>
      </w:r>
      <w:r>
        <w:rPr>
          <w:rFonts w:eastAsiaTheme="minorEastAsia"/>
          <w:color w:val="000000"/>
          <w:sz w:val="24"/>
        </w:rPr>
        <w:t xml:space="preserve"> </w:t>
      </w:r>
    </w:p>
    <w:p w:rsidR="00D10E1A" w:rsidRDefault="00E227F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10E1A" w:rsidRDefault="00E227F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、报告期内交银施罗德成长混合型证券投资基金在指定报刊上各项公告的原稿。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D10E1A" w:rsidRDefault="00E227F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78B" w:rsidRDefault="0070678B">
      <w:r>
        <w:separator/>
      </w:r>
    </w:p>
  </w:endnote>
  <w:endnote w:type="continuationSeparator" w:id="0">
    <w:p w:rsidR="0070678B" w:rsidRDefault="0070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E32DB5">
      <w:rPr>
        <w:noProof/>
        <w:kern w:val="0"/>
        <w:szCs w:val="21"/>
      </w:rPr>
      <w:t>8</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E32DB5">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78B" w:rsidRDefault="0070678B">
      <w:r>
        <w:separator/>
      </w:r>
    </w:p>
  </w:footnote>
  <w:footnote w:type="continuationSeparator" w:id="0">
    <w:p w:rsidR="0070678B" w:rsidRDefault="00706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交银施罗德成长混合型证券投资基金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0678B"/>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0E1A"/>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27F9"/>
    <w:rsid w:val="00E27360"/>
    <w:rsid w:val="00E27C04"/>
    <w:rsid w:val="00E30713"/>
    <w:rsid w:val="00E30D0E"/>
    <w:rsid w:val="00E30EDF"/>
    <w:rsid w:val="00E31FBA"/>
    <w:rsid w:val="00E328E2"/>
    <w:rsid w:val="00E32DB5"/>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0E053-2C44-438E-BFBE-8084FC7A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242</TotalTime>
  <Pages>1</Pages>
  <Words>1297</Words>
  <Characters>7399</Characters>
  <Application>Microsoft Office Word</Application>
  <DocSecurity>0</DocSecurity>
  <Lines>61</Lines>
  <Paragraphs>17</Paragraphs>
  <ScaleCrop>false</ScaleCrop>
  <Company>TRT. Ltd. Co.</Company>
  <LinksUpToDate>false</LinksUpToDate>
  <CharactersWithSpaces>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407</cp:revision>
  <cp:lastPrinted>2007-07-19T00:46:00Z</cp:lastPrinted>
  <dcterms:created xsi:type="dcterms:W3CDTF">2014-01-17T06:19:00Z</dcterms:created>
  <dcterms:modified xsi:type="dcterms:W3CDTF">2020-10-23T09:27:00Z</dcterms:modified>
</cp:coreProperties>
</file>