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78,119,721.82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3,746,235.01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3,362,921.60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84,302,428.02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1.0791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1.71%</w:t>
            </w:r>
          </w:p>
        </w:tc>
        <w:tc>
          <w:tcPr>
            <w:vAlign w:val="center"/>
          </w:tcPr>
          <w:p>
            <w:pPr>
              <w:jc w:val="center"/>
            </w:pPr>
            <w:r>
              <w:rPr>
                <w:color w:val="000000"/>
                <w:sz w:val="24"/>
                <w:szCs w:val="24"/>
              </w:rPr>
              <w:t>0.32%</w:t>
            </w:r>
          </w:p>
        </w:tc>
        <w:tc>
          <w:tcPr>
            <w:vAlign w:val="center"/>
          </w:tcPr>
          <w:p>
            <w:pPr>
              <w:jc w:val="center"/>
            </w:pPr>
            <w:r>
              <w:rPr>
                <w:color w:val="000000"/>
                <w:sz w:val="24"/>
                <w:szCs w:val="24"/>
              </w:rPr>
              <w:t>-1.48%</w:t>
            </w:r>
          </w:p>
        </w:tc>
        <w:tc>
          <w:tcPr>
            <w:vAlign w:val="center"/>
          </w:tcPr>
          <w:p>
            <w:pPr>
              <w:jc w:val="center"/>
            </w:pPr>
            <w:r>
              <w:rPr>
                <w:color w:val="000000"/>
                <w:sz w:val="24"/>
                <w:szCs w:val="24"/>
              </w:rPr>
              <w:t>0.08%</w:t>
            </w:r>
          </w:p>
        </w:tc>
        <w:tc>
          <w:tcPr>
            <w:vAlign w:val="center"/>
          </w:tcPr>
          <w:p>
            <w:pPr>
              <w:jc w:val="center"/>
            </w:pPr>
            <w:r>
              <w:rPr>
                <w:color w:val="000000"/>
                <w:sz w:val="24"/>
                <w:szCs w:val="24"/>
              </w:rPr>
              <w:t>3.19%</w:t>
            </w:r>
          </w:p>
        </w:tc>
        <w:tc>
          <w:tcPr>
            <w:vAlign w:val="center"/>
          </w:tcPr>
          <w:p>
            <w:pPr>
              <w:jc w:val="center"/>
            </w:pPr>
            <w:r>
              <w:rPr>
                <w:color w:val="000000"/>
                <w:sz w:val="24"/>
                <w:szCs w:val="24"/>
              </w:rPr>
              <w:t>0.24%</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2.28%</w:t>
            </w:r>
          </w:p>
        </w:tc>
        <w:tc>
          <w:tcPr>
            <w:vAlign w:val="center"/>
          </w:tcPr>
          <w:p>
            <w:pPr>
              <w:jc w:val="center"/>
            </w:pPr>
            <w:r>
              <w:rPr>
                <w:color w:val="000000"/>
                <w:sz w:val="24"/>
                <w:szCs w:val="24"/>
              </w:rPr>
              <w:t>0.26%</w:t>
            </w:r>
          </w:p>
        </w:tc>
        <w:tc>
          <w:tcPr>
            <w:vAlign w:val="center"/>
          </w:tcPr>
          <w:p>
            <w:pPr>
              <w:jc w:val="center"/>
            </w:pPr>
            <w:r>
              <w:rPr>
                <w:color w:val="000000"/>
                <w:sz w:val="24"/>
                <w:szCs w:val="24"/>
              </w:rPr>
              <w:t>-2.50%</w:t>
            </w:r>
          </w:p>
        </w:tc>
        <w:tc>
          <w:tcPr>
            <w:vAlign w:val="center"/>
          </w:tcPr>
          <w:p>
            <w:pPr>
              <w:jc w:val="center"/>
            </w:pPr>
            <w:r>
              <w:rPr>
                <w:color w:val="000000"/>
                <w:sz w:val="24"/>
                <w:szCs w:val="24"/>
              </w:rPr>
              <w:t>0.10%</w:t>
            </w:r>
          </w:p>
        </w:tc>
        <w:tc>
          <w:tcPr>
            <w:vAlign w:val="center"/>
          </w:tcPr>
          <w:p>
            <w:pPr>
              <w:jc w:val="center"/>
            </w:pPr>
            <w:r>
              <w:rPr>
                <w:color w:val="000000"/>
                <w:sz w:val="24"/>
                <w:szCs w:val="24"/>
              </w:rPr>
              <w:t>4.78%</w:t>
            </w:r>
          </w:p>
        </w:tc>
        <w:tc>
          <w:tcPr>
            <w:vAlign w:val="center"/>
          </w:tcPr>
          <w:p>
            <w:pPr>
              <w:jc w:val="center"/>
            </w:pPr>
            <w:r>
              <w:rPr>
                <w:color w:val="000000"/>
                <w:sz w:val="24"/>
                <w:szCs w:val="24"/>
              </w:rPr>
              <w:t>0.16%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3.36%</w:t>
            </w:r>
          </w:p>
        </w:tc>
        <w:tc>
          <w:tcPr>
            <w:vAlign w:val="center"/>
          </w:tcPr>
          <w:p>
            <w:pPr>
              <w:jc w:val="center"/>
            </w:pPr>
            <w:r>
              <w:rPr>
                <w:color w:val="000000"/>
                <w:sz w:val="24"/>
                <w:szCs w:val="24"/>
              </w:rPr>
              <w:t>0.23%</w:t>
            </w:r>
          </w:p>
        </w:tc>
        <w:tc>
          <w:tcPr>
            <w:vAlign w:val="center"/>
          </w:tcPr>
          <w:p>
            <w:pPr>
              <w:jc w:val="center"/>
            </w:pPr>
            <w:r>
              <w:rPr>
                <w:color w:val="000000"/>
                <w:sz w:val="24"/>
                <w:szCs w:val="24"/>
              </w:rPr>
              <w:t>-0.08%</w:t>
            </w:r>
          </w:p>
        </w:tc>
        <w:tc>
          <w:tcPr>
            <w:vAlign w:val="center"/>
          </w:tcPr>
          <w:p>
            <w:pPr>
              <w:jc w:val="center"/>
            </w:pPr>
            <w:r>
              <w:rPr>
                <w:color w:val="000000"/>
                <w:sz w:val="24"/>
                <w:szCs w:val="24"/>
              </w:rPr>
              <w:t>0.09%</w:t>
            </w:r>
          </w:p>
        </w:tc>
        <w:tc>
          <w:tcPr>
            <w:vAlign w:val="center"/>
          </w:tcPr>
          <w:p>
            <w:pPr>
              <w:jc w:val="center"/>
            </w:pPr>
            <w:r>
              <w:rPr>
                <w:color w:val="000000"/>
                <w:sz w:val="24"/>
                <w:szCs w:val="24"/>
              </w:rPr>
              <w:t>3.44%</w:t>
            </w:r>
          </w:p>
        </w:tc>
        <w:tc>
          <w:tcPr>
            <w:vAlign w:val="center"/>
          </w:tcPr>
          <w:p>
            <w:pPr>
              <w:jc w:val="center"/>
            </w:pPr>
            <w:r>
              <w:rPr>
                <w:color w:val="000000"/>
                <w:sz w:val="24"/>
                <w:szCs w:val="24"/>
              </w:rPr>
              <w:t>0.14%</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6.11%</w:t>
            </w:r>
          </w:p>
        </w:tc>
        <w:tc>
          <w:tcPr>
            <w:vAlign w:val="center"/>
          </w:tcPr>
          <w:p>
            <w:pPr>
              <w:jc w:val="center"/>
            </w:pPr>
            <w:r>
              <w:rPr>
                <w:color w:val="000000"/>
                <w:sz w:val="24"/>
                <w:szCs w:val="24"/>
              </w:rPr>
              <w:t>0.20%</w:t>
            </w:r>
          </w:p>
        </w:tc>
        <w:tc>
          <w:tcPr>
            <w:vAlign w:val="center"/>
          </w:tcPr>
          <w:p>
            <w:pPr>
              <w:jc w:val="center"/>
            </w:pPr>
            <w:r>
              <w:rPr>
                <w:color w:val="000000"/>
                <w:sz w:val="24"/>
                <w:szCs w:val="24"/>
              </w:rPr>
              <w:t>3.58%</w:t>
            </w:r>
          </w:p>
        </w:tc>
        <w:tc>
          <w:tcPr>
            <w:vAlign w:val="center"/>
          </w:tcPr>
          <w:p>
            <w:pPr>
              <w:jc w:val="center"/>
            </w:pPr>
            <w:r>
              <w:rPr>
                <w:color w:val="000000"/>
                <w:sz w:val="24"/>
                <w:szCs w:val="24"/>
              </w:rPr>
              <w:t>0.07%</w:t>
            </w:r>
          </w:p>
        </w:tc>
        <w:tc>
          <w:tcPr>
            <w:vAlign w:val="center"/>
          </w:tcPr>
          <w:p>
            <w:pPr>
              <w:jc w:val="center"/>
            </w:pPr>
            <w:r>
              <w:rPr>
                <w:color w:val="000000"/>
                <w:sz w:val="24"/>
                <w:szCs w:val="24"/>
              </w:rPr>
              <w:t>2.53%</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szCs w:val="24"/>
        </w:rPr>
      </w:pPr>
      <w:r>
        <w:rPr>
          <w:color w:val="000000"/>
          <w:sz w:val="24"/>
          <w:szCs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szCs w:val="24"/>
        </w:rPr>
      </w:pPr>
      <w:r>
        <w:rPr>
          <w:color w:val="000000"/>
          <w:sz w:val="24"/>
          <w:szCs w:val="24"/>
        </w:rPr>
        <w:t>在基金操作中，债券部分我们以中短久期交易所利率债为底仓，并通过部分长端利率债波段操作平滑权益底仓波动风险。权益方面，二季度我们提升了消费电子、军工以及新能源等方向的仓位。三季度我们根据持仓标的的估值情况，降仓了部分纯beta的仓位，并在低估值板块内部根据基本面做了置换。</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我们预计经济将会继续磨底，随着货币政策回归中性，债券市场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在配置金融等盈利稳定的品种同时，继续关注成长赛道中业绩能够持续改善的优质标的，努力为持有人增厚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13,451,856.97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13,451,856.97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69,657,627.72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69,657,627.72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1,180,877.17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727,778.09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86,018,139.95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9,058,917.59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326,511.00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823,932.70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1,377,823.68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1,864,672.00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13,451,856.97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15.96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601838</w:t>
            </w:r>
          </w:p>
        </w:tc>
        <w:tc>
          <w:tcPr>
            <w:vAlign w:val="center"/>
          </w:tcPr>
          <w:p>
            <w:pPr>
              <w:jc w:val="center"/>
            </w:pPr>
            <w:r>
              <w:rPr>
                <w:color w:val="000000"/>
                <w:sz w:val="24"/>
                <w:szCs w:val="24"/>
              </w:rPr>
              <w:t>成都银行</w:t>
            </w:r>
          </w:p>
        </w:tc>
        <w:tc>
          <w:tcPr>
            <w:vAlign w:val="center"/>
          </w:tcPr>
          <w:p>
            <w:pPr>
              <w:jc w:val="right"/>
            </w:pPr>
            <w:r>
              <w:rPr>
                <w:color w:val="000000"/>
                <w:sz w:val="24"/>
                <w:szCs w:val="24"/>
              </w:rPr>
              <w:t>114,400</w:t>
            </w:r>
          </w:p>
        </w:tc>
        <w:tc>
          <w:tcPr>
            <w:vAlign w:val="center"/>
          </w:tcPr>
          <w:p>
            <w:pPr>
              <w:jc w:val="right"/>
            </w:pPr>
            <w:r>
              <w:rPr>
                <w:color w:val="000000"/>
                <w:sz w:val="24"/>
                <w:szCs w:val="24"/>
              </w:rPr>
              <w:t>1,130,272.00</w:t>
            </w:r>
          </w:p>
        </w:tc>
        <w:tc>
          <w:tcPr>
            <w:vAlign w:val="center"/>
          </w:tcPr>
          <w:p>
            <w:pPr>
              <w:jc w:val="right"/>
            </w:pPr>
            <w:r>
              <w:rPr>
                <w:color w:val="000000"/>
                <w:sz w:val="24"/>
                <w:szCs w:val="24"/>
              </w:rPr>
              <w:t>1.34</w:t>
            </w:r>
          </w:p>
        </w:tc>
      </w:tr>
      <w:tr>
        <w:tc>
          <w:tcPr>
            <w:vAlign w:val="center"/>
          </w:tcPr>
          <w:p>
            <w:pPr>
              <w:jc w:val="center"/>
            </w:pPr>
            <w:r>
              <w:rPr>
                <w:color w:val="000000"/>
                <w:sz w:val="24"/>
                <w:szCs w:val="24"/>
              </w:rPr>
              <w:t>2</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18,069</w:t>
            </w:r>
          </w:p>
        </w:tc>
        <w:tc>
          <w:tcPr>
            <w:vAlign w:val="center"/>
          </w:tcPr>
          <w:p>
            <w:pPr>
              <w:jc w:val="right"/>
            </w:pPr>
            <w:r>
              <w:rPr>
                <w:color w:val="000000"/>
                <w:sz w:val="24"/>
                <w:szCs w:val="24"/>
              </w:rPr>
              <w:t>1,032,281.97</w:t>
            </w:r>
          </w:p>
        </w:tc>
        <w:tc>
          <w:tcPr>
            <w:vAlign w:val="center"/>
          </w:tcPr>
          <w:p>
            <w:pPr>
              <w:jc w:val="right"/>
            </w:pPr>
            <w:r>
              <w:rPr>
                <w:color w:val="000000"/>
                <w:sz w:val="24"/>
                <w:szCs w:val="24"/>
              </w:rPr>
              <w:t>1.22</w:t>
            </w:r>
          </w:p>
        </w:tc>
      </w:tr>
      <w:tr>
        <w:tc>
          <w:tcPr>
            <w:vAlign w:val="center"/>
          </w:tcPr>
          <w:p>
            <w:pPr>
              <w:jc w:val="center"/>
            </w:pPr>
            <w:r>
              <w:rPr>
                <w:color w:val="000000"/>
                <w:sz w:val="24"/>
                <w:szCs w:val="24"/>
              </w:rPr>
              <w:t>3</w:t>
            </w:r>
          </w:p>
        </w:tc>
        <w:tc>
          <w:tcPr>
            <w:vAlign w:val="center"/>
          </w:tcPr>
          <w:p>
            <w:pPr>
              <w:jc w:val="center"/>
            </w:pPr>
            <w:r>
              <w:rPr>
                <w:color w:val="000000"/>
                <w:sz w:val="24"/>
                <w:szCs w:val="24"/>
              </w:rPr>
              <w:t>000100</w:t>
            </w:r>
          </w:p>
        </w:tc>
        <w:tc>
          <w:tcPr>
            <w:vAlign w:val="center"/>
          </w:tcPr>
          <w:p>
            <w:pPr>
              <w:jc w:val="center"/>
            </w:pPr>
            <w:r>
              <w:rPr>
                <w:color w:val="000000"/>
                <w:sz w:val="24"/>
                <w:szCs w:val="24"/>
              </w:rPr>
              <w:t>TCL科技</w:t>
            </w:r>
          </w:p>
        </w:tc>
        <w:tc>
          <w:tcPr>
            <w:vAlign w:val="center"/>
          </w:tcPr>
          <w:p>
            <w:pPr>
              <w:jc w:val="right"/>
            </w:pPr>
            <w:r>
              <w:rPr>
                <w:color w:val="000000"/>
                <w:sz w:val="24"/>
                <w:szCs w:val="24"/>
              </w:rPr>
              <w:t>150,500</w:t>
            </w:r>
          </w:p>
        </w:tc>
        <w:tc>
          <w:tcPr>
            <w:vAlign w:val="center"/>
          </w:tcPr>
          <w:p>
            <w:pPr>
              <w:jc w:val="right"/>
            </w:pPr>
            <w:r>
              <w:rPr>
                <w:color w:val="000000"/>
                <w:sz w:val="24"/>
                <w:szCs w:val="24"/>
              </w:rPr>
              <w:t>925,575.00</w:t>
            </w:r>
          </w:p>
        </w:tc>
        <w:tc>
          <w:tcPr>
            <w:vAlign w:val="center"/>
          </w:tcPr>
          <w:p>
            <w:pPr>
              <w:jc w:val="right"/>
            </w:pPr>
            <w:r>
              <w:rPr>
                <w:color w:val="000000"/>
                <w:sz w:val="24"/>
                <w:szCs w:val="24"/>
              </w:rPr>
              <w:t>1.10</w:t>
            </w:r>
          </w:p>
        </w:tc>
      </w:tr>
      <w:tr>
        <w:tc>
          <w:tcPr>
            <w:vAlign w:val="center"/>
          </w:tcPr>
          <w:p>
            <w:pPr>
              <w:jc w:val="center"/>
            </w:pPr>
            <w:r>
              <w:rPr>
                <w:color w:val="000000"/>
                <w:sz w:val="24"/>
                <w:szCs w:val="24"/>
              </w:rPr>
              <w:t>4</w:t>
            </w:r>
          </w:p>
        </w:tc>
        <w:tc>
          <w:tcPr>
            <w:vAlign w:val="center"/>
          </w:tcPr>
          <w:p>
            <w:pPr>
              <w:jc w:val="center"/>
            </w:pPr>
            <w:r>
              <w:rPr>
                <w:color w:val="000000"/>
                <w:sz w:val="24"/>
                <w:szCs w:val="24"/>
              </w:rPr>
              <w:t>002064</w:t>
            </w:r>
          </w:p>
        </w:tc>
        <w:tc>
          <w:tcPr>
            <w:vAlign w:val="center"/>
          </w:tcPr>
          <w:p>
            <w:pPr>
              <w:jc w:val="center"/>
            </w:pPr>
            <w:r>
              <w:rPr>
                <w:color w:val="000000"/>
                <w:sz w:val="24"/>
                <w:szCs w:val="24"/>
              </w:rPr>
              <w:t>华峰氨纶</w:t>
            </w:r>
          </w:p>
        </w:tc>
        <w:tc>
          <w:tcPr>
            <w:vAlign w:val="center"/>
          </w:tcPr>
          <w:p>
            <w:pPr>
              <w:jc w:val="right"/>
            </w:pPr>
            <w:r>
              <w:rPr>
                <w:color w:val="000000"/>
                <w:sz w:val="24"/>
                <w:szCs w:val="24"/>
              </w:rPr>
              <w:t>119,000</w:t>
            </w:r>
          </w:p>
        </w:tc>
        <w:tc>
          <w:tcPr>
            <w:vAlign w:val="center"/>
          </w:tcPr>
          <w:p>
            <w:pPr>
              <w:jc w:val="right"/>
            </w:pPr>
            <w:r>
              <w:rPr>
                <w:color w:val="000000"/>
                <w:sz w:val="24"/>
                <w:szCs w:val="24"/>
              </w:rPr>
              <w:t>866,320.00</w:t>
            </w:r>
          </w:p>
        </w:tc>
        <w:tc>
          <w:tcPr>
            <w:vAlign w:val="center"/>
          </w:tcPr>
          <w:p>
            <w:pPr>
              <w:jc w:val="right"/>
            </w:pPr>
            <w:r>
              <w:rPr>
                <w:color w:val="000000"/>
                <w:sz w:val="24"/>
                <w:szCs w:val="24"/>
              </w:rPr>
              <w:t>1.03</w:t>
            </w:r>
          </w:p>
        </w:tc>
      </w:tr>
      <w:tr>
        <w:tc>
          <w:tcPr>
            <w:vAlign w:val="center"/>
          </w:tcPr>
          <w:p>
            <w:pPr>
              <w:jc w:val="center"/>
            </w:pPr>
            <w:r>
              <w:rPr>
                <w:color w:val="000000"/>
                <w:sz w:val="24"/>
                <w:szCs w:val="24"/>
              </w:rPr>
              <w:t>5</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43,990</w:t>
            </w:r>
          </w:p>
        </w:tc>
        <w:tc>
          <w:tcPr>
            <w:vAlign w:val="center"/>
          </w:tcPr>
          <w:p>
            <w:pPr>
              <w:jc w:val="right"/>
            </w:pPr>
            <w:r>
              <w:rPr>
                <w:color w:val="000000"/>
                <w:sz w:val="24"/>
                <w:szCs w:val="24"/>
              </w:rPr>
              <w:t>823,932.70</w:t>
            </w:r>
          </w:p>
        </w:tc>
        <w:tc>
          <w:tcPr>
            <w:vAlign w:val="center"/>
          </w:tcPr>
          <w:p>
            <w:pPr>
              <w:jc w:val="right"/>
            </w:pPr>
            <w:r>
              <w:rPr>
                <w:color w:val="000000"/>
                <w:sz w:val="24"/>
                <w:szCs w:val="24"/>
              </w:rPr>
              <w:t>0.98</w:t>
            </w:r>
          </w:p>
        </w:tc>
      </w:tr>
      <w:tr>
        <w:tc>
          <w:tcPr>
            <w:vAlign w:val="center"/>
          </w:tcPr>
          <w:p>
            <w:pPr>
              <w:jc w:val="center"/>
            </w:pPr>
            <w:r>
              <w:rPr>
                <w:color w:val="000000"/>
                <w:sz w:val="24"/>
                <w:szCs w:val="24"/>
              </w:rPr>
              <w:t>6</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20,400</w:t>
            </w:r>
          </w:p>
        </w:tc>
        <w:tc>
          <w:tcPr>
            <w:vAlign w:val="center"/>
          </w:tcPr>
          <w:p>
            <w:pPr>
              <w:jc w:val="right"/>
            </w:pPr>
            <w:r>
              <w:rPr>
                <w:color w:val="000000"/>
                <w:sz w:val="24"/>
                <w:szCs w:val="24"/>
              </w:rPr>
              <w:t>734,400.00</w:t>
            </w:r>
          </w:p>
        </w:tc>
        <w:tc>
          <w:tcPr>
            <w:vAlign w:val="center"/>
          </w:tcPr>
          <w:p>
            <w:pPr>
              <w:jc w:val="right"/>
            </w:pPr>
            <w:r>
              <w:rPr>
                <w:color w:val="000000"/>
                <w:sz w:val="24"/>
                <w:szCs w:val="24"/>
              </w:rPr>
              <w:t>0.87</w:t>
            </w:r>
          </w:p>
        </w:tc>
      </w:tr>
      <w:tr>
        <w:tc>
          <w:tcPr>
            <w:vAlign w:val="center"/>
          </w:tcPr>
          <w:p>
            <w:pPr>
              <w:jc w:val="center"/>
            </w:pPr>
            <w:r>
              <w:rPr>
                <w:color w:val="000000"/>
                <w:sz w:val="24"/>
                <w:szCs w:val="24"/>
              </w:rPr>
              <w:t>7</w:t>
            </w:r>
          </w:p>
        </w:tc>
        <w:tc>
          <w:tcPr>
            <w:vAlign w:val="center"/>
          </w:tcPr>
          <w:p>
            <w:pPr>
              <w:jc w:val="center"/>
            </w:pPr>
            <w:r>
              <w:rPr>
                <w:color w:val="000000"/>
                <w:sz w:val="24"/>
                <w:szCs w:val="24"/>
              </w:rPr>
              <w:t>603856</w:t>
            </w:r>
          </w:p>
        </w:tc>
        <w:tc>
          <w:tcPr>
            <w:vAlign w:val="center"/>
          </w:tcPr>
          <w:p>
            <w:pPr>
              <w:jc w:val="center"/>
            </w:pPr>
            <w:r>
              <w:rPr>
                <w:color w:val="000000"/>
                <w:sz w:val="24"/>
                <w:szCs w:val="24"/>
              </w:rPr>
              <w:t>东宏股份</w:t>
            </w:r>
          </w:p>
        </w:tc>
        <w:tc>
          <w:tcPr>
            <w:vAlign w:val="center"/>
          </w:tcPr>
          <w:p>
            <w:pPr>
              <w:jc w:val="right"/>
            </w:pPr>
            <w:r>
              <w:rPr>
                <w:color w:val="000000"/>
                <w:sz w:val="24"/>
                <w:szCs w:val="24"/>
              </w:rPr>
              <w:t>43,500</w:t>
            </w:r>
          </w:p>
        </w:tc>
        <w:tc>
          <w:tcPr>
            <w:vAlign w:val="center"/>
          </w:tcPr>
          <w:p>
            <w:pPr>
              <w:jc w:val="right"/>
            </w:pPr>
            <w:r>
              <w:rPr>
                <w:color w:val="000000"/>
                <w:sz w:val="24"/>
                <w:szCs w:val="24"/>
              </w:rPr>
              <w:t>682,080.00</w:t>
            </w:r>
          </w:p>
        </w:tc>
        <w:tc>
          <w:tcPr>
            <w:vAlign w:val="center"/>
          </w:tcPr>
          <w:p>
            <w:pPr>
              <w:jc w:val="right"/>
            </w:pPr>
            <w:r>
              <w:rPr>
                <w:color w:val="000000"/>
                <w:sz w:val="24"/>
                <w:szCs w:val="24"/>
              </w:rPr>
              <w:t>0.81</w:t>
            </w:r>
          </w:p>
        </w:tc>
      </w:tr>
      <w:tr>
        <w:tc>
          <w:tcPr>
            <w:vAlign w:val="center"/>
          </w:tcPr>
          <w:p>
            <w:pPr>
              <w:jc w:val="center"/>
            </w:pPr>
            <w:r>
              <w:rPr>
                <w:color w:val="000000"/>
                <w:sz w:val="24"/>
                <w:szCs w:val="24"/>
              </w:rPr>
              <w:t>8</w:t>
            </w:r>
          </w:p>
        </w:tc>
        <w:tc>
          <w:tcPr>
            <w:vAlign w:val="center"/>
          </w:tcPr>
          <w:p>
            <w:pPr>
              <w:jc w:val="center"/>
            </w:pPr>
            <w:r>
              <w:rPr>
                <w:color w:val="000000"/>
                <w:sz w:val="24"/>
                <w:szCs w:val="24"/>
              </w:rPr>
              <w:t>002493</w:t>
            </w:r>
          </w:p>
        </w:tc>
        <w:tc>
          <w:tcPr>
            <w:vAlign w:val="center"/>
          </w:tcPr>
          <w:p>
            <w:pPr>
              <w:jc w:val="center"/>
            </w:pPr>
            <w:r>
              <w:rPr>
                <w:color w:val="000000"/>
                <w:sz w:val="24"/>
                <w:szCs w:val="24"/>
              </w:rPr>
              <w:t>荣盛石化</w:t>
            </w:r>
          </w:p>
        </w:tc>
        <w:tc>
          <w:tcPr>
            <w:vAlign w:val="center"/>
          </w:tcPr>
          <w:p>
            <w:pPr>
              <w:jc w:val="right"/>
            </w:pPr>
            <w:r>
              <w:rPr>
                <w:color w:val="000000"/>
                <w:sz w:val="24"/>
                <w:szCs w:val="24"/>
              </w:rPr>
              <w:t>33,100</w:t>
            </w:r>
          </w:p>
        </w:tc>
        <w:tc>
          <w:tcPr>
            <w:vAlign w:val="center"/>
          </w:tcPr>
          <w:p>
            <w:pPr>
              <w:jc w:val="right"/>
            </w:pPr>
            <w:r>
              <w:rPr>
                <w:color w:val="000000"/>
                <w:sz w:val="24"/>
                <w:szCs w:val="24"/>
              </w:rPr>
              <w:t>620,956.00</w:t>
            </w:r>
          </w:p>
        </w:tc>
        <w:tc>
          <w:tcPr>
            <w:vAlign w:val="center"/>
          </w:tcPr>
          <w:p>
            <w:pPr>
              <w:jc w:val="right"/>
            </w:pPr>
            <w:r>
              <w:rPr>
                <w:color w:val="000000"/>
                <w:sz w:val="24"/>
                <w:szCs w:val="24"/>
              </w:rPr>
              <w:t>0.74</w:t>
            </w:r>
          </w:p>
        </w:tc>
      </w:tr>
      <w:tr>
        <w:tc>
          <w:tcPr>
            <w:vAlign w:val="center"/>
          </w:tcPr>
          <w:p>
            <w:pPr>
              <w:jc w:val="center"/>
            </w:pPr>
            <w:r>
              <w:rPr>
                <w:color w:val="000000"/>
                <w:sz w:val="24"/>
                <w:szCs w:val="24"/>
              </w:rPr>
              <w:t>9</w:t>
            </w:r>
          </w:p>
        </w:tc>
        <w:tc>
          <w:tcPr>
            <w:vAlign w:val="center"/>
          </w:tcPr>
          <w:p>
            <w:pPr>
              <w:jc w:val="center"/>
            </w:pPr>
            <w:r>
              <w:rPr>
                <w:color w:val="000000"/>
                <w:sz w:val="24"/>
                <w:szCs w:val="24"/>
              </w:rPr>
              <w:t>300259</w:t>
            </w:r>
          </w:p>
        </w:tc>
        <w:tc>
          <w:tcPr>
            <w:vAlign w:val="center"/>
          </w:tcPr>
          <w:p>
            <w:pPr>
              <w:jc w:val="center"/>
            </w:pPr>
            <w:r>
              <w:rPr>
                <w:color w:val="000000"/>
                <w:sz w:val="24"/>
                <w:szCs w:val="24"/>
              </w:rPr>
              <w:t>新天科技</w:t>
            </w:r>
          </w:p>
        </w:tc>
        <w:tc>
          <w:tcPr>
            <w:vAlign w:val="center"/>
          </w:tcPr>
          <w:p>
            <w:pPr>
              <w:jc w:val="right"/>
            </w:pPr>
            <w:r>
              <w:rPr>
                <w:color w:val="000000"/>
                <w:sz w:val="24"/>
                <w:szCs w:val="24"/>
              </w:rPr>
              <w:t>118,900</w:t>
            </w:r>
          </w:p>
        </w:tc>
        <w:tc>
          <w:tcPr>
            <w:vAlign w:val="center"/>
          </w:tcPr>
          <w:p>
            <w:pPr>
              <w:jc w:val="right"/>
            </w:pPr>
            <w:r>
              <w:rPr>
                <w:color w:val="000000"/>
                <w:sz w:val="24"/>
                <w:szCs w:val="24"/>
              </w:rPr>
              <w:t>620,658.00</w:t>
            </w:r>
          </w:p>
        </w:tc>
        <w:tc>
          <w:tcPr>
            <w:vAlign w:val="center"/>
          </w:tcPr>
          <w:p>
            <w:pPr>
              <w:jc w:val="right"/>
            </w:pPr>
            <w:r>
              <w:rPr>
                <w:color w:val="000000"/>
                <w:sz w:val="24"/>
                <w:szCs w:val="24"/>
              </w:rPr>
              <w:t>0.74</w:t>
            </w:r>
          </w:p>
        </w:tc>
      </w:tr>
      <w:tr>
        <w:tc>
          <w:tcPr>
            <w:vAlign w:val="center"/>
          </w:tcPr>
          <w:p>
            <w:pPr>
              <w:jc w:val="center"/>
            </w:pPr>
            <w:r>
              <w:rPr>
                <w:color w:val="000000"/>
                <w:sz w:val="24"/>
                <w:szCs w:val="24"/>
              </w:rPr>
              <w:t>10</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2,469</w:t>
            </w:r>
          </w:p>
        </w:tc>
        <w:tc>
          <w:tcPr>
            <w:vAlign w:val="center"/>
          </w:tcPr>
          <w:p>
            <w:pPr>
              <w:jc w:val="right"/>
            </w:pPr>
            <w:r>
              <w:rPr>
                <w:color w:val="000000"/>
                <w:sz w:val="24"/>
                <w:szCs w:val="24"/>
              </w:rPr>
              <w:t>586,930.68</w:t>
            </w:r>
          </w:p>
        </w:tc>
        <w:tc>
          <w:tcPr>
            <w:vAlign w:val="center"/>
          </w:tcPr>
          <w:p>
            <w:pPr>
              <w:jc w:val="right"/>
            </w:pPr>
            <w:r>
              <w:rPr>
                <w:color w:val="000000"/>
                <w:sz w:val="24"/>
                <w:szCs w:val="24"/>
              </w:rPr>
              <w:t>0.70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5,711,733.90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6.78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58,327,779.40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69.19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58,327,779.40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69.19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5,618,114.42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6.66</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69,657,627.72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82.63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108604</w:t>
            </w:r>
          </w:p>
        </w:tc>
        <w:tc>
          <w:tcPr>
            <w:vAlign w:val="center"/>
          </w:tcPr>
          <w:p>
            <w:pPr>
              <w:jc w:val="center"/>
            </w:pPr>
            <w:r>
              <w:rPr>
                <w:color w:val="000000"/>
                <w:sz w:val="24"/>
                <w:szCs w:val="24"/>
              </w:rPr>
              <w:t>国开1805</w:t>
            </w:r>
          </w:p>
        </w:tc>
        <w:tc>
          <w:tcPr>
            <w:vAlign w:val="center"/>
          </w:tcPr>
          <w:p>
            <w:pPr>
              <w:jc w:val="right"/>
            </w:pPr>
            <w:r>
              <w:rPr>
                <w:color w:val="000000"/>
                <w:sz w:val="24"/>
                <w:szCs w:val="24"/>
              </w:rPr>
              <w:t>264,760</w:t>
            </w:r>
          </w:p>
        </w:tc>
        <w:tc>
          <w:tcPr>
            <w:vAlign w:val="center"/>
          </w:tcPr>
          <w:p>
            <w:pPr>
              <w:jc w:val="right"/>
            </w:pPr>
            <w:r>
              <w:rPr>
                <w:color w:val="000000"/>
                <w:sz w:val="24"/>
                <w:szCs w:val="24"/>
              </w:rPr>
              <w:t>26,711,636.40</w:t>
            </w:r>
          </w:p>
        </w:tc>
        <w:tc>
          <w:tcPr>
            <w:vAlign w:val="center"/>
          </w:tcPr>
          <w:p>
            <w:pPr>
              <w:jc w:val="right"/>
            </w:pPr>
            <w:r>
              <w:rPr>
                <w:color w:val="000000"/>
                <w:sz w:val="24"/>
                <w:szCs w:val="24"/>
              </w:rPr>
              <w:t>31.69</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132,300</w:t>
            </w:r>
          </w:p>
        </w:tc>
        <w:tc>
          <w:tcPr>
            <w:vAlign w:val="center"/>
          </w:tcPr>
          <w:p>
            <w:pPr>
              <w:jc w:val="right"/>
            </w:pPr>
            <w:r>
              <w:rPr>
                <w:color w:val="000000"/>
                <w:sz w:val="24"/>
                <w:szCs w:val="24"/>
              </w:rPr>
              <w:t>13,482,693.00</w:t>
            </w:r>
          </w:p>
        </w:tc>
        <w:tc>
          <w:tcPr>
            <w:vAlign w:val="center"/>
          </w:tcPr>
          <w:p>
            <w:pPr>
              <w:jc w:val="right"/>
            </w:pPr>
            <w:r>
              <w:rPr>
                <w:color w:val="000000"/>
                <w:sz w:val="24"/>
                <w:szCs w:val="24"/>
              </w:rPr>
              <w:t>15.99</w:t>
            </w:r>
          </w:p>
        </w:tc>
      </w:tr>
      <w:tr>
        <w:tc>
          <w:tcPr>
            <w:vAlign w:val="center"/>
          </w:tcPr>
          <w:p>
            <w:pPr>
              <w:jc w:val="center"/>
            </w:pPr>
            <w:r>
              <w:rPr>
                <w:color w:val="000000"/>
                <w:sz w:val="24"/>
                <w:szCs w:val="24"/>
              </w:rPr>
              <w:t>3</w:t>
            </w:r>
          </w:p>
        </w:tc>
        <w:tc>
          <w:tcPr>
            <w:vAlign w:val="center"/>
          </w:tcPr>
          <w:p>
            <w:pPr>
              <w:jc w:val="center"/>
            </w:pPr>
            <w:r>
              <w:rPr>
                <w:color w:val="000000"/>
                <w:sz w:val="24"/>
                <w:szCs w:val="24"/>
              </w:rPr>
              <w:t>180203</w:t>
            </w:r>
          </w:p>
        </w:tc>
        <w:tc>
          <w:tcPr>
            <w:vAlign w:val="center"/>
          </w:tcPr>
          <w:p>
            <w:pPr>
              <w:jc w:val="center"/>
            </w:pPr>
            <w:r>
              <w:rPr>
                <w:color w:val="000000"/>
                <w:sz w:val="24"/>
                <w:szCs w:val="24"/>
              </w:rPr>
              <w:t>18国开03</w:t>
            </w:r>
          </w:p>
        </w:tc>
        <w:tc>
          <w:tcPr>
            <w:vAlign w:val="center"/>
          </w:tcPr>
          <w:p>
            <w:pPr>
              <w:jc w:val="right"/>
            </w:pPr>
            <w:r>
              <w:rPr>
                <w:color w:val="000000"/>
                <w:sz w:val="24"/>
                <w:szCs w:val="24"/>
              </w:rPr>
              <w:t>100,000</w:t>
            </w:r>
          </w:p>
        </w:tc>
        <w:tc>
          <w:tcPr>
            <w:vAlign w:val="center"/>
          </w:tcPr>
          <w:p>
            <w:pPr>
              <w:jc w:val="right"/>
            </w:pPr>
            <w:r>
              <w:rPr>
                <w:color w:val="000000"/>
                <w:sz w:val="24"/>
                <w:szCs w:val="24"/>
              </w:rPr>
              <w:t>10,078,000.00</w:t>
            </w:r>
          </w:p>
        </w:tc>
        <w:tc>
          <w:tcPr>
            <w:vAlign w:val="center"/>
          </w:tcPr>
          <w:p>
            <w:pPr>
              <w:jc w:val="right"/>
            </w:pPr>
            <w:r>
              <w:rPr>
                <w:color w:val="000000"/>
                <w:sz w:val="24"/>
                <w:szCs w:val="24"/>
              </w:rPr>
              <w:t>11.95</w:t>
            </w:r>
          </w:p>
        </w:tc>
      </w:tr>
      <w:tr>
        <w:tc>
          <w:tcPr>
            <w:vAlign w:val="center"/>
          </w:tcPr>
          <w:p>
            <w:pPr>
              <w:jc w:val="center"/>
            </w:pPr>
            <w:r>
              <w:rPr>
                <w:color w:val="000000"/>
                <w:sz w:val="24"/>
                <w:szCs w:val="24"/>
              </w:rPr>
              <w:t>4</w:t>
            </w:r>
          </w:p>
        </w:tc>
        <w:tc>
          <w:tcPr>
            <w:vAlign w:val="center"/>
          </w:tcPr>
          <w:p>
            <w:pPr>
              <w:jc w:val="center"/>
            </w:pPr>
            <w:r>
              <w:rPr>
                <w:color w:val="000000"/>
                <w:sz w:val="24"/>
                <w:szCs w:val="24"/>
              </w:rPr>
              <w:t>108609</w:t>
            </w:r>
          </w:p>
        </w:tc>
        <w:tc>
          <w:tcPr>
            <w:vAlign w:val="center"/>
          </w:tcPr>
          <w:p>
            <w:pPr>
              <w:jc w:val="center"/>
            </w:pPr>
            <w:r>
              <w:rPr>
                <w:color w:val="000000"/>
                <w:sz w:val="24"/>
                <w:szCs w:val="24"/>
              </w:rPr>
              <w:t>开贴2002</w:t>
            </w:r>
          </w:p>
        </w:tc>
        <w:tc>
          <w:tcPr>
            <w:vAlign w:val="center"/>
          </w:tcPr>
          <w:p>
            <w:pPr>
              <w:jc w:val="right"/>
            </w:pPr>
            <w:r>
              <w:rPr>
                <w:color w:val="000000"/>
                <w:sz w:val="24"/>
                <w:szCs w:val="24"/>
              </w:rPr>
              <w:t>81,000</w:t>
            </w:r>
          </w:p>
        </w:tc>
        <w:tc>
          <w:tcPr>
            <w:vAlign w:val="center"/>
          </w:tcPr>
          <w:p>
            <w:pPr>
              <w:jc w:val="right"/>
            </w:pPr>
            <w:r>
              <w:rPr>
                <w:color w:val="000000"/>
                <w:sz w:val="24"/>
                <w:szCs w:val="24"/>
              </w:rPr>
              <w:t>8,055,450.00</w:t>
            </w:r>
          </w:p>
        </w:tc>
        <w:tc>
          <w:tcPr>
            <w:vAlign w:val="center"/>
          </w:tcPr>
          <w:p>
            <w:pPr>
              <w:jc w:val="right"/>
            </w:pPr>
            <w:r>
              <w:rPr>
                <w:color w:val="000000"/>
                <w:sz w:val="24"/>
                <w:szCs w:val="24"/>
              </w:rPr>
              <w:t>9.56</w:t>
            </w:r>
          </w:p>
        </w:tc>
      </w:tr>
      <w:tr>
        <w:tc>
          <w:tcPr>
            <w:vAlign w:val="center"/>
          </w:tcPr>
          <w:p>
            <w:pPr>
              <w:jc w:val="center"/>
            </w:pPr>
            <w:r>
              <w:rPr>
                <w:color w:val="000000"/>
                <w:sz w:val="24"/>
                <w:szCs w:val="24"/>
              </w:rPr>
              <w:t>5</w:t>
            </w:r>
          </w:p>
        </w:tc>
        <w:tc>
          <w:tcPr>
            <w:vAlign w:val="center"/>
          </w:tcPr>
          <w:p>
            <w:pPr>
              <w:jc w:val="center"/>
            </w:pPr>
            <w:r>
              <w:rPr>
                <w:color w:val="000000"/>
                <w:sz w:val="24"/>
                <w:szCs w:val="24"/>
              </w:rPr>
              <w:t>019640</w:t>
            </w:r>
          </w:p>
        </w:tc>
        <w:tc>
          <w:tcPr>
            <w:vAlign w:val="center"/>
          </w:tcPr>
          <w:p>
            <w:pPr>
              <w:jc w:val="center"/>
            </w:pPr>
            <w:r>
              <w:rPr>
                <w:color w:val="000000"/>
                <w:sz w:val="24"/>
                <w:szCs w:val="24"/>
              </w:rPr>
              <w:t>20国债10</w:t>
            </w:r>
          </w:p>
        </w:tc>
        <w:tc>
          <w:tcPr>
            <w:vAlign w:val="center"/>
          </w:tcPr>
          <w:p>
            <w:pPr>
              <w:jc w:val="right"/>
            </w:pPr>
            <w:r>
              <w:rPr>
                <w:color w:val="000000"/>
                <w:sz w:val="24"/>
                <w:szCs w:val="24"/>
              </w:rPr>
              <w:t>31,360</w:t>
            </w:r>
          </w:p>
        </w:tc>
        <w:tc>
          <w:tcPr>
            <w:vAlign w:val="center"/>
          </w:tcPr>
          <w:p>
            <w:pPr>
              <w:jc w:val="right"/>
            </w:pPr>
            <w:r>
              <w:rPr>
                <w:color w:val="000000"/>
                <w:sz w:val="24"/>
                <w:szCs w:val="24"/>
              </w:rPr>
              <w:t>3,125,024.00</w:t>
            </w:r>
          </w:p>
        </w:tc>
        <w:tc>
          <w:tcPr>
            <w:vAlign w:val="center"/>
          </w:tcPr>
          <w:p>
            <w:pPr>
              <w:jc w:val="right"/>
            </w:pPr>
            <w:r>
              <w:rPr>
                <w:color w:val="000000"/>
                <w:sz w:val="24"/>
                <w:szCs w:val="24"/>
              </w:rPr>
              <w:t>3.71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32,215.90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695,552.20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727,778.09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132005</w:t>
            </w:r>
          </w:p>
        </w:tc>
        <w:tc>
          <w:tcPr>
            <w:vAlign w:val="center"/>
          </w:tcPr>
          <w:p>
            <w:pPr>
              <w:jc w:val="center"/>
            </w:pPr>
            <w:r>
              <w:rPr>
                <w:color w:val="000000"/>
                <w:sz w:val="24"/>
                <w:szCs w:val="24"/>
              </w:rPr>
              <w:t>15国资EB</w:t>
            </w:r>
          </w:p>
        </w:tc>
        <w:tc>
          <w:tcPr>
            <w:vAlign w:val="center"/>
          </w:tcPr>
          <w:p>
            <w:pPr>
              <w:jc w:val="right"/>
            </w:pPr>
            <w:r>
              <w:rPr>
                <w:color w:val="000000"/>
                <w:sz w:val="24"/>
                <w:szCs w:val="24"/>
              </w:rPr>
              <w:t>1,508,062.00</w:t>
            </w:r>
          </w:p>
        </w:tc>
        <w:tc>
          <w:tcPr>
            <w:vAlign w:val="center"/>
          </w:tcPr>
          <w:p>
            <w:pPr>
              <w:jc w:val="right"/>
            </w:pPr>
            <w:r>
              <w:rPr>
                <w:color w:val="000000"/>
                <w:sz w:val="24"/>
                <w:szCs w:val="24"/>
              </w:rPr>
              <w:t>1.79</w:t>
            </w:r>
          </w:p>
        </w:tc>
      </w:tr>
      <w:tr>
        <w:tc>
          <w:tcPr>
            <w:vAlign w:val="center"/>
          </w:tcPr>
          <w:p>
            <w:pPr>
              <w:jc w:val="center"/>
            </w:pPr>
            <w:r>
              <w:rPr>
                <w:color w:val="000000"/>
                <w:sz w:val="24"/>
                <w:szCs w:val="24"/>
              </w:rPr>
              <w:t>2</w:t>
            </w:r>
          </w:p>
        </w:tc>
        <w:tc>
          <w:tcPr>
            <w:vAlign w:val="center"/>
          </w:tcPr>
          <w:p>
            <w:pPr>
              <w:jc w:val="center"/>
            </w:pPr>
            <w:r>
              <w:rPr>
                <w:color w:val="000000"/>
                <w:sz w:val="24"/>
                <w:szCs w:val="24"/>
              </w:rPr>
              <w:t>132018</w:t>
            </w:r>
          </w:p>
        </w:tc>
        <w:tc>
          <w:tcPr>
            <w:vAlign w:val="center"/>
          </w:tcPr>
          <w:p>
            <w:pPr>
              <w:jc w:val="center"/>
            </w:pPr>
            <w:r>
              <w:rPr>
                <w:color w:val="000000"/>
                <w:sz w:val="24"/>
                <w:szCs w:val="24"/>
              </w:rPr>
              <w:t>G三峡EB1</w:t>
            </w:r>
          </w:p>
        </w:tc>
        <w:tc>
          <w:tcPr>
            <w:vAlign w:val="center"/>
          </w:tcPr>
          <w:p>
            <w:pPr>
              <w:jc w:val="right"/>
            </w:pPr>
            <w:r>
              <w:rPr>
                <w:color w:val="000000"/>
                <w:sz w:val="24"/>
                <w:szCs w:val="24"/>
              </w:rPr>
              <w:t>1,284,010.00</w:t>
            </w:r>
          </w:p>
        </w:tc>
        <w:tc>
          <w:tcPr>
            <w:vAlign w:val="center"/>
          </w:tcPr>
          <w:p>
            <w:pPr>
              <w:jc w:val="right"/>
            </w:pPr>
            <w:r>
              <w:rPr>
                <w:color w:val="000000"/>
                <w:sz w:val="24"/>
                <w:szCs w:val="24"/>
              </w:rPr>
              <w:t>1.52</w:t>
            </w:r>
          </w:p>
        </w:tc>
      </w:tr>
      <w:tr>
        <w:tc>
          <w:tcPr>
            <w:vAlign w:val="center"/>
          </w:tcPr>
          <w:p>
            <w:pPr>
              <w:jc w:val="center"/>
            </w:pPr>
            <w:r>
              <w:rPr>
                <w:color w:val="000000"/>
                <w:sz w:val="24"/>
                <w:szCs w:val="24"/>
              </w:rPr>
              <w:t>3</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1,005,707.30</w:t>
            </w:r>
          </w:p>
        </w:tc>
        <w:tc>
          <w:tcPr>
            <w:vAlign w:val="center"/>
          </w:tcPr>
          <w:p>
            <w:pPr>
              <w:jc w:val="right"/>
            </w:pPr>
            <w:r>
              <w:rPr>
                <w:color w:val="000000"/>
                <w:sz w:val="24"/>
                <w:szCs w:val="24"/>
              </w:rPr>
              <w:t>1.19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125,284,284.13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37,287,341.78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84,451,904.09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78,119,721.82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60.49%</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36,865,437.79</w:t>
            </w:r>
          </w:p>
        </w:tc>
        <w:tc>
          <w:tcPr>
            <w:vAlign w:val="center"/>
          </w:tcPr>
          <w:p>
            <w:pPr>
              <w:jc w:val="center"/>
            </w:pPr>
            <w:r>
              <w:rPr>
                <w:rFonts w:ascii="宋体" w:hAnsi="宋体"/>
                <w:color w:val="000000"/>
                <w:kern w:val="0"/>
              </w:rPr>
              <w:t>79,680,851.68</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