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交银施罗德天利宝货币市场基金</w:t>
      </w:r>
    </w:p>
    <w:p w:rsidP="00281564" w:rsidR="00B60E27" w:rsidRDefault="00B60E27" w:rsidRPr="001E1B20">
      <w:pPr>
        <w:spacing w:before="29" w:line="288" w:lineRule="auto"/>
        <w:jc w:val="center"/>
        <w:rPr>
          <w:b/>
          <w:sz w:val="36"/>
          <w:szCs w:val="36"/>
        </w:rPr>
      </w:pPr>
      <w:r w:rsidRPr="001E1B20">
        <w:rPr>
          <w:b/>
          <w:sz w:val="36"/>
          <w:szCs w:val="36"/>
        </w:rPr>
        <w:t>2020年第3季度报告</w:t>
      </w:r>
    </w:p>
    <w:p w:rsidP="00281564" w:rsidR="002B45A4" w:rsidRDefault="00D87D00" w:rsidRPr="001E1B20">
      <w:pPr>
        <w:spacing w:before="29" w:line="288" w:lineRule="auto"/>
        <w:jc w:val="center"/>
        <w:rPr>
          <w:b/>
          <w:sz w:val="36"/>
          <w:szCs w:val="36"/>
        </w:rPr>
      </w:pPr>
      <w:r w:rsidRPr="001E1B20">
        <w:rPr>
          <w:b/>
          <w:sz w:val="36"/>
          <w:szCs w:val="36"/>
        </w:rPr>
        <w:t>2020年9月30日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二〇二〇年十月二十八日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本报告期自2020年7月1日起至9月30日止。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2016年10月19日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2,376,179,655.47</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交银天利宝货币A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交银天利宝货币E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002889</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002890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1,640,300,129.50</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735,879,525.97</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(2020年7月1日-2020年9月30日)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交银天利宝货币A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交银天利宝货币E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7,436,292.61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4,293,121.22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7,436,292.61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4,293,121.22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1,640,300,129.50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735,879,525.97</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交银天利宝货币A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0.5134%</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0.4252%</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1.0296%</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0.1755%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0.8541%</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2.3248%</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1.9738%</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9.5877%</w:t>
            </w:r>
          </w:p>
        </w:tc>
        <w:tc>
          <w:tcPr>
            <w:vAlign w:val="center"/>
          </w:tcPr>
          <w:p>
            <w:pPr>
              <w:jc w:val="center"/>
            </w:pPr>
            <w:r>
              <w:rPr>
                <w:rFonts w:ascii="Times New Roman" w:hAnsi="Times New Roman"/>
                <w:color w:val="000000"/>
              </w:rPr>
              <w:t>0.0036%</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8.5367%</w:t>
            </w:r>
          </w:p>
        </w:tc>
        <w:tc>
          <w:tcPr>
            <w:vAlign w:val="center"/>
          </w:tcPr>
          <w:p>
            <w:pPr>
              <w:jc w:val="center"/>
            </w:pPr>
            <w:r>
              <w:rPr>
                <w:rFonts w:ascii="Times New Roman" w:hAnsi="Times New Roman"/>
                <w:color w:val="000000"/>
              </w:rPr>
              <w:t>0.0036%</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13.3958%</w:t>
            </w:r>
          </w:p>
        </w:tc>
        <w:tc>
          <w:tcPr>
            <w:vAlign w:val="center"/>
          </w:tcPr>
          <w:p>
            <w:pPr>
              <w:jc w:val="center"/>
            </w:pPr>
            <w:r>
              <w:rPr>
                <w:rFonts w:ascii="Times New Roman" w:hAnsi="Times New Roman"/>
                <w:color w:val="000000"/>
              </w:rPr>
              <w:t>0.0033%</w:t>
            </w:r>
          </w:p>
        </w:tc>
        <w:tc>
          <w:tcPr>
            <w:vAlign w:val="center"/>
          </w:tcPr>
          <w:p>
            <w:pPr>
              <w:jc w:val="center"/>
            </w:pPr>
            <w:r>
              <w:rPr>
                <w:rFonts w:ascii="Times New Roman" w:hAnsi="Times New Roman"/>
                <w:color w:val="000000"/>
              </w:rPr>
              <w:t>1.3837%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12.0121%</w:t>
            </w:r>
          </w:p>
        </w:tc>
        <w:tc>
          <w:tcPr>
            <w:vAlign w:val="center"/>
          </w:tcPr>
          <w:p>
            <w:pPr>
              <w:jc w:val="center"/>
            </w:pPr>
            <w:r>
              <w:rPr>
                <w:rFonts w:ascii="Times New Roman" w:hAnsi="Times New Roman"/>
                <w:color w:val="000000"/>
              </w:rPr>
              <w:t>0.0033%</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交银天利宝货币E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0.5740%</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0.4858%</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1.1507%</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0.1755%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0.9752%</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2.5698%</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2.2188%</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10.3773%</w:t>
            </w:r>
          </w:p>
        </w:tc>
        <w:tc>
          <w:tcPr>
            <w:vAlign w:val="center"/>
          </w:tcPr>
          <w:p>
            <w:pPr>
              <w:jc w:val="center"/>
            </w:pPr>
            <w:r>
              <w:rPr>
                <w:rFonts w:ascii="Times New Roman" w:hAnsi="Times New Roman"/>
                <w:color w:val="000000"/>
              </w:rPr>
              <w:t>0.0036%</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9.3263%</w:t>
            </w:r>
          </w:p>
        </w:tc>
        <w:tc>
          <w:tcPr>
            <w:vAlign w:val="center"/>
          </w:tcPr>
          <w:p>
            <w:pPr>
              <w:jc w:val="center"/>
            </w:pPr>
            <w:r>
              <w:rPr>
                <w:rFonts w:ascii="Times New Roman" w:hAnsi="Times New Roman"/>
                <w:color w:val="000000"/>
              </w:rPr>
              <w:t>0.0036%</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14.4679%</w:t>
            </w:r>
          </w:p>
        </w:tc>
        <w:tc>
          <w:tcPr>
            <w:vAlign w:val="center"/>
          </w:tcPr>
          <w:p>
            <w:pPr>
              <w:jc w:val="center"/>
            </w:pPr>
            <w:r>
              <w:rPr>
                <w:rFonts w:ascii="Times New Roman" w:hAnsi="Times New Roman"/>
                <w:color w:val="000000"/>
              </w:rPr>
              <w:t>0.0033%</w:t>
            </w:r>
          </w:p>
        </w:tc>
        <w:tc>
          <w:tcPr>
            <w:vAlign w:val="center"/>
          </w:tcPr>
          <w:p>
            <w:pPr>
              <w:jc w:val="center"/>
            </w:pPr>
            <w:r>
              <w:rPr>
                <w:rFonts w:ascii="Times New Roman" w:hAnsi="Times New Roman"/>
                <w:color w:val="000000"/>
              </w:rPr>
              <w:t>1.3837%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13.0842%</w:t>
            </w:r>
          </w:p>
        </w:tc>
        <w:tc>
          <w:tcPr>
            <w:vAlign w:val="center"/>
          </w:tcPr>
          <w:p>
            <w:pPr>
              <w:jc w:val="center"/>
            </w:pPr>
            <w:r>
              <w:rPr>
                <w:rFonts w:ascii="Times New Roman" w:hAnsi="Times New Roman"/>
                <w:color w:val="000000"/>
              </w:rPr>
              <w:t>0.0033%</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交银施罗德天利宝货币市场基金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2016年10月19日</w:t>
      </w:r>
      <w:r w:rsidR="00A7219D" w:rsidRPr="000E4C40">
        <w:rPr>
          <w:rFonts w:hAnsi="宋体"/>
          <w:color w:val="000000"/>
          <w:kern w:val="0"/>
          <w:sz w:val="24"/>
        </w:rPr>
        <w:t>至</w:t>
      </w:r>
      <w:r w:rsidR="00A7219D" w:rsidRPr="000E4C40">
        <w:rPr>
          <w:color w:val="000000"/>
          <w:kern w:val="0"/>
          <w:sz w:val="24"/>
        </w:rPr>
        <w:t>2020年9月30日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交银天利宝货币A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交银天利宝货币E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主要受到经济复苏预期、货币政策回归常态、债券供给增加的影响，债券收益率整体呈现震荡上行的趋势。十年国债收益率在九月初最高上行直至3.15%附近。九月中旬之后股市风险偏好回落叠加市场预期境外机构加大债市配置，收益率出现小幅下行。</w:t>
      </w:r>
    </w:p>
    <w:p>
      <w:pPr>
        <w:spacing w:before="29" w:line="288" w:lineRule="auto"/>
        <w:ind w:firstLine="480" w:firstLineChars="200"/>
        <w:rPr>
          <w:color w:val="000000"/>
          <w:sz w:val="24"/>
        </w:rPr>
      </w:pPr>
      <w:r>
        <w:rPr>
          <w:color w:val="000000"/>
          <w:sz w:val="24"/>
        </w:rPr>
        <w:t>货币政策方面，虽然央行在八月中下旬开展7000亿MLF，略超市场预期，但在超储率低位、利率债放量发行和缴税、跨季等因素影响下，资金面持续维持平衡偏紧格局直至九月末，同业存单发行利率不断上行，三个月股份制银行的同业存单利率继续上行到2.65%附近，较二季度末有50bp幅度的上行。收益率曲线进一步熊平化。</w:t>
      </w:r>
    </w:p>
    <w:p>
      <w:pPr>
        <w:spacing w:before="29" w:line="288" w:lineRule="auto"/>
        <w:ind w:firstLine="480" w:firstLineChars="200"/>
        <w:rPr>
          <w:color w:val="000000"/>
          <w:sz w:val="24"/>
        </w:rPr>
      </w:pPr>
      <w:r>
        <w:rPr>
          <w:color w:val="000000"/>
          <w:sz w:val="24"/>
        </w:rPr>
        <w:t>基金操作方面，随着货币市场收益率的逐渐回升，我们认为货币市场工具逐渐具有了一定的配置价值，逐渐降低了短期回购融资的配置比例，增加了存款、存单的配置比例。但考虑到年末时点流动性的不确定性，我们仍旧保持短久期的操作思路，主要以配置年底前到期的资产为主，整体组合运作平稳。在季度末资产价格相对较好的时点适当运用杠杆增配资产增厚组合收益。</w:t>
      </w:r>
    </w:p>
    <w:p>
      <w:pPr>
        <w:spacing w:before="29" w:line="288" w:lineRule="auto"/>
        <w:ind w:firstLine="480" w:firstLineChars="200"/>
        <w:rPr>
          <w:color w:val="000000"/>
          <w:sz w:val="24"/>
        </w:rPr>
      </w:pPr>
      <w:r>
        <w:rPr>
          <w:color w:val="000000"/>
          <w:sz w:val="24"/>
        </w:rPr>
        <w:t>展望2020年四季度，国内基本面恢复的节奏和货币信用的边际变化将成为影响债市的主要因素。短期来看经济延续改善趋势、央行态度回归中性以及银行负债端压力较大，都不支持债市出现趋势性行情，预计市场会以弱势震荡为主。但随着年末供给压力减弱、信用增速放缓以及中美关系不确定性提升，债券市场或存在波段交易机会。资金面方面，疫情之后随着经济逐步恢复，货币政策也逐步退出总量性宽松模式，整体强调“精准导向”，短期内预计政策难以再度大幅宽松，但在降低融资成本的目标下，资金利率明显收紧概率不大。目前DR007大致在公开市场政策利率2.2%附近波动，预计进一步大幅上行空间有限，但由于超储率处于低位，银行间分层现象或较为明显，时点性因素将对非银机构的整体流动性造成一定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1,092,946,312.71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40.75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1,064,946,312.71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39.70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28,000,000.00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1.04</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97,375,466.06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3.63</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1,480,884,858.09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55.21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11,120,892.37</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0.41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2,682,327,529.23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12.47</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305,039,142.44</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12.84</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74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77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52</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6.66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12.84</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27.30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67.61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7.14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3.70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112.42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12.84</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69,698,102.87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2.93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49,886,139.52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2.10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49,886,139.52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2.10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39,946,462.64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1.68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905,415,607.68</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38.10</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1,064,946,312.71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44.82</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112021347</w:t>
            </w:r>
          </w:p>
        </w:tc>
        <w:tc>
          <w:tcPr>
            <w:vAlign w:val="center"/>
          </w:tcPr>
          <w:p>
            <w:pPr>
              <w:jc w:val="center"/>
            </w:pPr>
            <w:r>
              <w:rPr>
                <w:color w:val="000000"/>
                <w:sz w:val="24"/>
              </w:rPr>
              <w:t>20渤海银行CD347</w:t>
            </w:r>
          </w:p>
        </w:tc>
        <w:tc>
          <w:tcPr>
            <w:vAlign w:val="center"/>
          </w:tcPr>
          <w:p>
            <w:pPr>
              <w:jc w:val="right"/>
            </w:pPr>
            <w:r>
              <w:rPr>
                <w:color w:val="000000"/>
                <w:sz w:val="24"/>
              </w:rPr>
              <w:t>1,000,000</w:t>
            </w:r>
          </w:p>
        </w:tc>
        <w:tc>
          <w:tcPr>
            <w:vAlign w:val="center"/>
          </w:tcPr>
          <w:p>
            <w:pPr>
              <w:jc w:val="right"/>
            </w:pPr>
            <w:r>
              <w:rPr>
                <w:color w:val="000000"/>
                <w:sz w:val="24"/>
              </w:rPr>
              <w:t>99,580,407.72</w:t>
            </w:r>
          </w:p>
        </w:tc>
        <w:tc>
          <w:tcPr>
            <w:vAlign w:val="center"/>
          </w:tcPr>
          <w:p>
            <w:pPr>
              <w:jc w:val="right"/>
            </w:pPr>
            <w:r>
              <w:rPr>
                <w:color w:val="000000"/>
                <w:sz w:val="24"/>
              </w:rPr>
              <w:t>4.19</w:t>
            </w:r>
          </w:p>
        </w:tc>
      </w:tr>
      <w:tr>
        <w:tc>
          <w:tcPr>
            <w:vAlign w:val="center"/>
          </w:tcPr>
          <w:p>
            <w:pPr>
              <w:jc w:val="center"/>
            </w:pPr>
            <w:r>
              <w:rPr>
                <w:color w:val="000000"/>
                <w:sz w:val="24"/>
              </w:rPr>
              <w:t>2</w:t>
            </w:r>
          </w:p>
        </w:tc>
        <w:tc>
          <w:tcPr>
            <w:vAlign w:val="center"/>
          </w:tcPr>
          <w:p>
            <w:pPr>
              <w:jc w:val="center"/>
            </w:pPr>
            <w:r>
              <w:rPr>
                <w:color w:val="000000"/>
                <w:sz w:val="24"/>
              </w:rPr>
              <w:t>209942</w:t>
            </w:r>
          </w:p>
        </w:tc>
        <w:tc>
          <w:tcPr>
            <w:vAlign w:val="center"/>
          </w:tcPr>
          <w:p>
            <w:pPr>
              <w:jc w:val="center"/>
            </w:pPr>
            <w:r>
              <w:rPr>
                <w:color w:val="000000"/>
                <w:sz w:val="24"/>
              </w:rPr>
              <w:t>20贴现国债42</w:t>
            </w:r>
          </w:p>
        </w:tc>
        <w:tc>
          <w:tcPr>
            <w:vAlign w:val="center"/>
          </w:tcPr>
          <w:p>
            <w:pPr>
              <w:jc w:val="right"/>
            </w:pPr>
            <w:r>
              <w:rPr>
                <w:color w:val="000000"/>
                <w:sz w:val="24"/>
              </w:rPr>
              <w:t>600,000</w:t>
            </w:r>
          </w:p>
        </w:tc>
        <w:tc>
          <w:tcPr>
            <w:vAlign w:val="center"/>
          </w:tcPr>
          <w:p>
            <w:pPr>
              <w:jc w:val="right"/>
            </w:pPr>
            <w:r>
              <w:rPr>
                <w:color w:val="000000"/>
                <w:sz w:val="24"/>
              </w:rPr>
              <w:t>59,744,960.42</w:t>
            </w:r>
          </w:p>
        </w:tc>
        <w:tc>
          <w:tcPr>
            <w:vAlign w:val="center"/>
          </w:tcPr>
          <w:p>
            <w:pPr>
              <w:jc w:val="right"/>
            </w:pPr>
            <w:r>
              <w:rPr>
                <w:color w:val="000000"/>
                <w:sz w:val="24"/>
              </w:rPr>
              <w:t>2.51</w:t>
            </w:r>
          </w:p>
        </w:tc>
      </w:tr>
      <w:tr>
        <w:tc>
          <w:tcPr>
            <w:vAlign w:val="center"/>
          </w:tcPr>
          <w:p>
            <w:pPr>
              <w:jc w:val="center"/>
            </w:pPr>
            <w:r>
              <w:rPr>
                <w:color w:val="000000"/>
                <w:sz w:val="24"/>
              </w:rPr>
              <w:t>3</w:t>
            </w:r>
          </w:p>
        </w:tc>
        <w:tc>
          <w:tcPr>
            <w:vAlign w:val="center"/>
          </w:tcPr>
          <w:p>
            <w:pPr>
              <w:jc w:val="center"/>
            </w:pPr>
            <w:r>
              <w:rPr>
                <w:color w:val="000000"/>
                <w:sz w:val="24"/>
              </w:rPr>
              <w:t>112085749</w:t>
            </w:r>
          </w:p>
        </w:tc>
        <w:tc>
          <w:tcPr>
            <w:vAlign w:val="center"/>
          </w:tcPr>
          <w:p>
            <w:pPr>
              <w:jc w:val="center"/>
            </w:pPr>
            <w:r>
              <w:rPr>
                <w:color w:val="000000"/>
                <w:sz w:val="24"/>
              </w:rPr>
              <w:t>20广西北部湾银行CD249</w:t>
            </w:r>
          </w:p>
        </w:tc>
        <w:tc>
          <w:tcPr>
            <w:vAlign w:val="center"/>
          </w:tcPr>
          <w:p>
            <w:pPr>
              <w:jc w:val="right"/>
            </w:pPr>
            <w:r>
              <w:rPr>
                <w:color w:val="000000"/>
                <w:sz w:val="24"/>
              </w:rPr>
              <w:t>500,000</w:t>
            </w:r>
          </w:p>
        </w:tc>
        <w:tc>
          <w:tcPr>
            <w:vAlign w:val="center"/>
          </w:tcPr>
          <w:p>
            <w:pPr>
              <w:jc w:val="right"/>
            </w:pPr>
            <w:r>
              <w:rPr>
                <w:color w:val="000000"/>
                <w:sz w:val="24"/>
              </w:rPr>
              <w:t>49,813,067.21</w:t>
            </w:r>
          </w:p>
        </w:tc>
        <w:tc>
          <w:tcPr>
            <w:vAlign w:val="center"/>
          </w:tcPr>
          <w:p>
            <w:pPr>
              <w:jc w:val="right"/>
            </w:pPr>
            <w:r>
              <w:rPr>
                <w:color w:val="000000"/>
                <w:sz w:val="24"/>
              </w:rPr>
              <w:t>2.10</w:t>
            </w:r>
          </w:p>
        </w:tc>
      </w:tr>
      <w:tr>
        <w:tc>
          <w:tcPr>
            <w:vAlign w:val="center"/>
          </w:tcPr>
          <w:p>
            <w:pPr>
              <w:jc w:val="center"/>
            </w:pPr>
            <w:r>
              <w:rPr>
                <w:color w:val="000000"/>
                <w:sz w:val="24"/>
              </w:rPr>
              <w:t>4</w:t>
            </w:r>
          </w:p>
        </w:tc>
        <w:tc>
          <w:tcPr>
            <w:vAlign w:val="center"/>
          </w:tcPr>
          <w:p>
            <w:pPr>
              <w:jc w:val="center"/>
            </w:pPr>
            <w:r>
              <w:rPr>
                <w:color w:val="000000"/>
                <w:sz w:val="24"/>
              </w:rPr>
              <w:t>112021340</w:t>
            </w:r>
          </w:p>
        </w:tc>
        <w:tc>
          <w:tcPr>
            <w:vAlign w:val="center"/>
          </w:tcPr>
          <w:p>
            <w:pPr>
              <w:jc w:val="center"/>
            </w:pPr>
            <w:r>
              <w:rPr>
                <w:color w:val="000000"/>
                <w:sz w:val="24"/>
              </w:rPr>
              <w:t>20渤海银行CD340</w:t>
            </w:r>
          </w:p>
        </w:tc>
        <w:tc>
          <w:tcPr>
            <w:vAlign w:val="center"/>
          </w:tcPr>
          <w:p>
            <w:pPr>
              <w:jc w:val="right"/>
            </w:pPr>
            <w:r>
              <w:rPr>
                <w:color w:val="000000"/>
                <w:sz w:val="24"/>
              </w:rPr>
              <w:t>500,000</w:t>
            </w:r>
          </w:p>
        </w:tc>
        <w:tc>
          <w:tcPr>
            <w:vAlign w:val="center"/>
          </w:tcPr>
          <w:p>
            <w:pPr>
              <w:jc w:val="right"/>
            </w:pPr>
            <w:r>
              <w:rPr>
                <w:color w:val="000000"/>
                <w:sz w:val="24"/>
              </w:rPr>
              <w:t>49,797,659.19</w:t>
            </w:r>
          </w:p>
        </w:tc>
        <w:tc>
          <w:tcPr>
            <w:vAlign w:val="center"/>
          </w:tcPr>
          <w:p>
            <w:pPr>
              <w:jc w:val="right"/>
            </w:pPr>
            <w:r>
              <w:rPr>
                <w:color w:val="000000"/>
                <w:sz w:val="24"/>
              </w:rPr>
              <w:t>2.10</w:t>
            </w:r>
          </w:p>
        </w:tc>
      </w:tr>
      <w:tr>
        <w:tc>
          <w:tcPr>
            <w:vAlign w:val="center"/>
          </w:tcPr>
          <w:p>
            <w:pPr>
              <w:jc w:val="center"/>
            </w:pPr>
            <w:r>
              <w:rPr>
                <w:color w:val="000000"/>
                <w:sz w:val="24"/>
              </w:rPr>
              <w:t>5</w:t>
            </w:r>
          </w:p>
        </w:tc>
        <w:tc>
          <w:tcPr>
            <w:vAlign w:val="center"/>
          </w:tcPr>
          <w:p>
            <w:pPr>
              <w:jc w:val="center"/>
            </w:pPr>
            <w:r>
              <w:rPr>
                <w:color w:val="000000"/>
                <w:sz w:val="24"/>
              </w:rPr>
              <w:t>112086247</w:t>
            </w:r>
          </w:p>
        </w:tc>
        <w:tc>
          <w:tcPr>
            <w:vAlign w:val="center"/>
          </w:tcPr>
          <w:p>
            <w:pPr>
              <w:jc w:val="center"/>
            </w:pPr>
            <w:r>
              <w:rPr>
                <w:color w:val="000000"/>
                <w:sz w:val="24"/>
              </w:rPr>
              <w:t>20华融湘江银行CD077</w:t>
            </w:r>
          </w:p>
        </w:tc>
        <w:tc>
          <w:tcPr>
            <w:vAlign w:val="center"/>
          </w:tcPr>
          <w:p>
            <w:pPr>
              <w:jc w:val="right"/>
            </w:pPr>
            <w:r>
              <w:rPr>
                <w:color w:val="000000"/>
                <w:sz w:val="24"/>
              </w:rPr>
              <w:t>500,000</w:t>
            </w:r>
          </w:p>
        </w:tc>
        <w:tc>
          <w:tcPr>
            <w:vAlign w:val="center"/>
          </w:tcPr>
          <w:p>
            <w:pPr>
              <w:jc w:val="right"/>
            </w:pPr>
            <w:r>
              <w:rPr>
                <w:color w:val="000000"/>
                <w:sz w:val="24"/>
              </w:rPr>
              <w:t>49,797,659.19</w:t>
            </w:r>
          </w:p>
        </w:tc>
        <w:tc>
          <w:tcPr>
            <w:vAlign w:val="center"/>
          </w:tcPr>
          <w:p>
            <w:pPr>
              <w:jc w:val="right"/>
            </w:pPr>
            <w:r>
              <w:rPr>
                <w:color w:val="000000"/>
                <w:sz w:val="24"/>
              </w:rPr>
              <w:t>2.10</w:t>
            </w:r>
          </w:p>
        </w:tc>
      </w:tr>
      <w:tr>
        <w:tc>
          <w:tcPr>
            <w:vAlign w:val="center"/>
          </w:tcPr>
          <w:p>
            <w:pPr>
              <w:jc w:val="center"/>
            </w:pPr>
            <w:r>
              <w:rPr>
                <w:color w:val="000000"/>
                <w:sz w:val="24"/>
              </w:rPr>
              <w:t>6</w:t>
            </w:r>
          </w:p>
        </w:tc>
        <w:tc>
          <w:tcPr>
            <w:vAlign w:val="center"/>
          </w:tcPr>
          <w:p>
            <w:pPr>
              <w:jc w:val="center"/>
            </w:pPr>
            <w:r>
              <w:rPr>
                <w:color w:val="000000"/>
                <w:sz w:val="24"/>
              </w:rPr>
              <w:t>112099569</w:t>
            </w:r>
          </w:p>
        </w:tc>
        <w:tc>
          <w:tcPr>
            <w:vAlign w:val="center"/>
          </w:tcPr>
          <w:p>
            <w:pPr>
              <w:jc w:val="center"/>
            </w:pPr>
            <w:r>
              <w:rPr>
                <w:color w:val="000000"/>
                <w:sz w:val="24"/>
              </w:rPr>
              <w:t>20贵阳银行CD069</w:t>
            </w:r>
          </w:p>
        </w:tc>
        <w:tc>
          <w:tcPr>
            <w:vAlign w:val="center"/>
          </w:tcPr>
          <w:p>
            <w:pPr>
              <w:jc w:val="right"/>
            </w:pPr>
            <w:r>
              <w:rPr>
                <w:color w:val="000000"/>
                <w:sz w:val="24"/>
              </w:rPr>
              <w:t>500,000</w:t>
            </w:r>
          </w:p>
        </w:tc>
        <w:tc>
          <w:tcPr>
            <w:vAlign w:val="center"/>
          </w:tcPr>
          <w:p>
            <w:pPr>
              <w:jc w:val="right"/>
            </w:pPr>
            <w:r>
              <w:rPr>
                <w:color w:val="000000"/>
                <w:sz w:val="24"/>
              </w:rPr>
              <w:t>49,794,707.76</w:t>
            </w:r>
          </w:p>
        </w:tc>
        <w:tc>
          <w:tcPr>
            <w:vAlign w:val="center"/>
          </w:tcPr>
          <w:p>
            <w:pPr>
              <w:jc w:val="right"/>
            </w:pPr>
            <w:r>
              <w:rPr>
                <w:color w:val="000000"/>
                <w:sz w:val="24"/>
              </w:rPr>
              <w:t>2.10</w:t>
            </w:r>
          </w:p>
        </w:tc>
      </w:tr>
      <w:tr>
        <w:tc>
          <w:tcPr>
            <w:vAlign w:val="center"/>
          </w:tcPr>
          <w:p>
            <w:pPr>
              <w:jc w:val="center"/>
            </w:pPr>
            <w:r>
              <w:rPr>
                <w:color w:val="000000"/>
                <w:sz w:val="24"/>
              </w:rPr>
              <w:t>7</w:t>
            </w:r>
          </w:p>
        </w:tc>
        <w:tc>
          <w:tcPr>
            <w:vAlign w:val="center"/>
          </w:tcPr>
          <w:p>
            <w:pPr>
              <w:jc w:val="center"/>
            </w:pPr>
            <w:r>
              <w:rPr>
                <w:color w:val="000000"/>
                <w:sz w:val="24"/>
              </w:rPr>
              <w:t>112087235</w:t>
            </w:r>
          </w:p>
        </w:tc>
        <w:tc>
          <w:tcPr>
            <w:vAlign w:val="center"/>
          </w:tcPr>
          <w:p>
            <w:pPr>
              <w:jc w:val="center"/>
            </w:pPr>
            <w:r>
              <w:rPr>
                <w:color w:val="000000"/>
                <w:sz w:val="24"/>
              </w:rPr>
              <w:t>20苏州银行CD229</w:t>
            </w:r>
          </w:p>
        </w:tc>
        <w:tc>
          <w:tcPr>
            <w:vAlign w:val="center"/>
          </w:tcPr>
          <w:p>
            <w:pPr>
              <w:jc w:val="right"/>
            </w:pPr>
            <w:r>
              <w:rPr>
                <w:color w:val="000000"/>
                <w:sz w:val="24"/>
              </w:rPr>
              <w:t>500,000</w:t>
            </w:r>
          </w:p>
        </w:tc>
        <w:tc>
          <w:tcPr>
            <w:vAlign w:val="center"/>
          </w:tcPr>
          <w:p>
            <w:pPr>
              <w:jc w:val="right"/>
            </w:pPr>
            <w:r>
              <w:rPr>
                <w:color w:val="000000"/>
                <w:sz w:val="24"/>
              </w:rPr>
              <w:t>49,741,643.48</w:t>
            </w:r>
          </w:p>
        </w:tc>
        <w:tc>
          <w:tcPr>
            <w:vAlign w:val="center"/>
          </w:tcPr>
          <w:p>
            <w:pPr>
              <w:jc w:val="right"/>
            </w:pPr>
            <w:r>
              <w:rPr>
                <w:color w:val="000000"/>
                <w:sz w:val="24"/>
              </w:rPr>
              <w:t>2.09</w:t>
            </w:r>
          </w:p>
        </w:tc>
      </w:tr>
      <w:tr>
        <w:tc>
          <w:tcPr>
            <w:vAlign w:val="center"/>
          </w:tcPr>
          <w:p>
            <w:pPr>
              <w:jc w:val="center"/>
            </w:pPr>
            <w:r>
              <w:rPr>
                <w:color w:val="000000"/>
                <w:sz w:val="24"/>
              </w:rPr>
              <w:t>8</w:t>
            </w:r>
          </w:p>
        </w:tc>
        <w:tc>
          <w:tcPr>
            <w:vAlign w:val="center"/>
          </w:tcPr>
          <w:p>
            <w:pPr>
              <w:jc w:val="center"/>
            </w:pPr>
            <w:r>
              <w:rPr>
                <w:color w:val="000000"/>
                <w:sz w:val="24"/>
              </w:rPr>
              <w:t>112087542</w:t>
            </w:r>
          </w:p>
        </w:tc>
        <w:tc>
          <w:tcPr>
            <w:vAlign w:val="center"/>
          </w:tcPr>
          <w:p>
            <w:pPr>
              <w:jc w:val="center"/>
            </w:pPr>
            <w:r>
              <w:rPr>
                <w:color w:val="000000"/>
                <w:sz w:val="24"/>
              </w:rPr>
              <w:t>20晋商银行CD155</w:t>
            </w:r>
          </w:p>
        </w:tc>
        <w:tc>
          <w:tcPr>
            <w:vAlign w:val="center"/>
          </w:tcPr>
          <w:p>
            <w:pPr>
              <w:jc w:val="right"/>
            </w:pPr>
            <w:r>
              <w:rPr>
                <w:color w:val="000000"/>
                <w:sz w:val="24"/>
              </w:rPr>
              <w:t>500,000</w:t>
            </w:r>
          </w:p>
        </w:tc>
        <w:tc>
          <w:tcPr>
            <w:vAlign w:val="center"/>
          </w:tcPr>
          <w:p>
            <w:pPr>
              <w:jc w:val="right"/>
            </w:pPr>
            <w:r>
              <w:rPr>
                <w:color w:val="000000"/>
                <w:sz w:val="24"/>
              </w:rPr>
              <w:t>49,739,121.04</w:t>
            </w:r>
          </w:p>
        </w:tc>
        <w:tc>
          <w:tcPr>
            <w:vAlign w:val="center"/>
          </w:tcPr>
          <w:p>
            <w:pPr>
              <w:jc w:val="right"/>
            </w:pPr>
            <w:r>
              <w:rPr>
                <w:color w:val="000000"/>
                <w:sz w:val="24"/>
              </w:rPr>
              <w:t>2.09</w:t>
            </w:r>
          </w:p>
        </w:tc>
      </w:tr>
      <w:tr>
        <w:tc>
          <w:tcPr>
            <w:vAlign w:val="center"/>
          </w:tcPr>
          <w:p>
            <w:pPr>
              <w:jc w:val="center"/>
            </w:pPr>
            <w:r>
              <w:rPr>
                <w:color w:val="000000"/>
                <w:sz w:val="24"/>
              </w:rPr>
              <w:t>9</w:t>
            </w:r>
          </w:p>
        </w:tc>
        <w:tc>
          <w:tcPr>
            <w:vAlign w:val="center"/>
          </w:tcPr>
          <w:p>
            <w:pPr>
              <w:jc w:val="center"/>
            </w:pPr>
            <w:r>
              <w:rPr>
                <w:color w:val="000000"/>
                <w:sz w:val="24"/>
              </w:rPr>
              <w:t>112087296</w:t>
            </w:r>
          </w:p>
        </w:tc>
        <w:tc>
          <w:tcPr>
            <w:vAlign w:val="center"/>
          </w:tcPr>
          <w:p>
            <w:pPr>
              <w:jc w:val="center"/>
            </w:pPr>
            <w:r>
              <w:rPr>
                <w:color w:val="000000"/>
                <w:sz w:val="24"/>
              </w:rPr>
              <w:t>20天津银行CD270</w:t>
            </w:r>
          </w:p>
        </w:tc>
        <w:tc>
          <w:tcPr>
            <w:vAlign w:val="center"/>
          </w:tcPr>
          <w:p>
            <w:pPr>
              <w:jc w:val="right"/>
            </w:pPr>
            <w:r>
              <w:rPr>
                <w:color w:val="000000"/>
                <w:sz w:val="24"/>
              </w:rPr>
              <w:t>500,000</w:t>
            </w:r>
          </w:p>
        </w:tc>
        <w:tc>
          <w:tcPr>
            <w:vAlign w:val="center"/>
          </w:tcPr>
          <w:p>
            <w:pPr>
              <w:jc w:val="right"/>
            </w:pPr>
            <w:r>
              <w:rPr>
                <w:color w:val="000000"/>
                <w:sz w:val="24"/>
              </w:rPr>
              <w:t>49,732,301.45</w:t>
            </w:r>
          </w:p>
        </w:tc>
        <w:tc>
          <w:tcPr>
            <w:vAlign w:val="center"/>
          </w:tcPr>
          <w:p>
            <w:pPr>
              <w:jc w:val="right"/>
            </w:pPr>
            <w:r>
              <w:rPr>
                <w:color w:val="000000"/>
                <w:sz w:val="24"/>
              </w:rPr>
              <w:t>2.09</w:t>
            </w:r>
          </w:p>
        </w:tc>
      </w:tr>
      <w:tr>
        <w:tc>
          <w:tcPr>
            <w:vAlign w:val="center"/>
          </w:tcPr>
          <w:p>
            <w:pPr>
              <w:jc w:val="center"/>
            </w:pPr>
            <w:r>
              <w:rPr>
                <w:color w:val="000000"/>
                <w:sz w:val="24"/>
              </w:rPr>
              <w:t>10</w:t>
            </w:r>
          </w:p>
        </w:tc>
        <w:tc>
          <w:tcPr>
            <w:vAlign w:val="center"/>
          </w:tcPr>
          <w:p>
            <w:pPr>
              <w:jc w:val="center"/>
            </w:pPr>
            <w:r>
              <w:rPr>
                <w:color w:val="000000"/>
                <w:sz w:val="24"/>
              </w:rPr>
              <w:t>112019318</w:t>
            </w:r>
          </w:p>
        </w:tc>
        <w:tc>
          <w:tcPr>
            <w:vAlign w:val="center"/>
          </w:tcPr>
          <w:p>
            <w:pPr>
              <w:jc w:val="center"/>
            </w:pPr>
            <w:r>
              <w:rPr>
                <w:color w:val="000000"/>
                <w:sz w:val="24"/>
              </w:rPr>
              <w:t>20恒丰银行CD318</w:t>
            </w:r>
          </w:p>
        </w:tc>
        <w:tc>
          <w:tcPr>
            <w:vAlign w:val="center"/>
          </w:tcPr>
          <w:p>
            <w:pPr>
              <w:jc w:val="right"/>
            </w:pPr>
            <w:r>
              <w:rPr>
                <w:color w:val="000000"/>
                <w:sz w:val="24"/>
              </w:rPr>
              <w:t>500,000</w:t>
            </w:r>
          </w:p>
        </w:tc>
        <w:tc>
          <w:tcPr>
            <w:vAlign w:val="center"/>
          </w:tcPr>
          <w:p>
            <w:pPr>
              <w:jc w:val="right"/>
            </w:pPr>
            <w:r>
              <w:rPr>
                <w:color w:val="000000"/>
                <w:sz w:val="24"/>
              </w:rPr>
              <w:t>49,719,757.61</w:t>
            </w:r>
          </w:p>
        </w:tc>
        <w:tc>
          <w:tcPr>
            <w:vAlign w:val="center"/>
          </w:tcPr>
          <w:p>
            <w:pPr>
              <w:jc w:val="right"/>
            </w:pPr>
            <w:r>
              <w:rPr>
                <w:color w:val="000000"/>
                <w:sz w:val="24"/>
              </w:rPr>
              <w:t>2.09</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0.0253%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-0.0111%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0.0104%</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bookmarkStart w:id="2" w:name="_GoBack"/>
      <w:r w:rsidR="00615DAC" w:rsidRPr="00615DAC">
        <w:rPr>
          <w:rFonts w:hAnsi="宋体" w:hint="eastAsia"/>
          <w:b/>
          <w:color w:val="000000"/>
          <w:kern w:val="0"/>
          <w:sz w:val="24"/>
        </w:rPr>
        <w:t>摊余成本</w:t>
      </w:r>
      <w:bookmarkEnd w:id="2"/>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169422</w:t>
            </w:r>
          </w:p>
        </w:tc>
        <w:tc>
          <w:tcPr>
            <w:vAlign w:val="center"/>
          </w:tcPr>
          <w:p>
            <w:pPr>
              <w:jc w:val="center"/>
            </w:pPr>
            <w:r>
              <w:rPr>
                <w:color w:val="000000"/>
                <w:sz w:val="24"/>
              </w:rPr>
              <w:t>霄驰01A</w:t>
            </w:r>
          </w:p>
        </w:tc>
        <w:tc>
          <w:tcPr>
            <w:vAlign w:val="center"/>
          </w:tcPr>
          <w:p>
            <w:pPr>
              <w:jc w:val="right"/>
            </w:pPr>
            <w:r>
              <w:rPr>
                <w:color w:val="000000"/>
                <w:sz w:val="24"/>
              </w:rPr>
              <w:t>280,000</w:t>
            </w:r>
          </w:p>
        </w:tc>
        <w:tc>
          <w:tcPr>
            <w:vAlign w:val="center"/>
          </w:tcPr>
          <w:p>
            <w:pPr>
              <w:jc w:val="right"/>
            </w:pPr>
            <w:r>
              <w:rPr>
                <w:color w:val="000000"/>
                <w:sz w:val="24"/>
              </w:rPr>
              <w:t>28,000,000.00</w:t>
            </w:r>
          </w:p>
        </w:tc>
        <w:tc>
          <w:tcPr>
            <w:vAlign w:val="center"/>
          </w:tcPr>
          <w:p>
            <w:pPr>
              <w:jc w:val="right"/>
            </w:pPr>
            <w:r>
              <w:rPr>
                <w:color w:val="000000"/>
                <w:sz w:val="24"/>
              </w:rPr>
              <w:t>1.18</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7,286,850.46</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3,833,916.91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125.00</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11,120,892.37</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交银天利宝货币A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交银天利宝货币E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1,421,150,092.95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644,836,721.60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2,196,156,993.19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715,219,634.29</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1,977,006,956.64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624,176,829.92</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1,640,300,129.50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735,879,525.97</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申购</w:t>
            </w:r>
          </w:p>
        </w:tc>
        <w:tc>
          <w:tcPr>
            <w:vAlign w:val="center"/>
          </w:tcPr>
          <w:p>
            <w:pPr>
              <w:jc w:val="center"/>
            </w:pPr>
            <w:r>
              <w:rPr>
                <w:color w:val="000000"/>
                <w:sz w:val="24"/>
              </w:rPr>
              <w:t>2020-07-28</w:t>
            </w:r>
          </w:p>
        </w:tc>
        <w:tc>
          <w:tcPr>
            <w:vAlign w:val="center"/>
          </w:tcPr>
          <w:p>
            <w:pPr>
              <w:jc w:val="right"/>
            </w:pPr>
            <w:r>
              <w:rPr>
                <w:color w:val="000000"/>
                <w:sz w:val="24"/>
              </w:rPr>
              <w:t>100,000,000.00</w:t>
            </w:r>
          </w:p>
        </w:tc>
        <w:tc>
          <w:tcPr>
            <w:vAlign w:val="center"/>
          </w:tcPr>
          <w:p>
            <w:pPr>
              <w:jc w:val="right"/>
            </w:pPr>
            <w:r>
              <w:rPr>
                <w:color w:val="000000"/>
                <w:sz w:val="24"/>
              </w:rPr>
              <w:t>100,000,000.00</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申购</w:t>
            </w:r>
          </w:p>
        </w:tc>
        <w:tc>
          <w:tcPr>
            <w:vAlign w:val="center"/>
          </w:tcPr>
          <w:p>
            <w:pPr>
              <w:jc w:val="center"/>
            </w:pPr>
            <w:r>
              <w:rPr>
                <w:color w:val="000000"/>
                <w:sz w:val="24"/>
              </w:rPr>
              <w:t>2020-08-11</w:t>
            </w:r>
          </w:p>
        </w:tc>
        <w:tc>
          <w:tcPr>
            <w:vAlign w:val="center"/>
          </w:tcPr>
          <w:p>
            <w:pPr>
              <w:jc w:val="right"/>
            </w:pPr>
            <w:r>
              <w:rPr>
                <w:color w:val="000000"/>
                <w:sz w:val="24"/>
              </w:rPr>
              <w:t>50,000,000.00</w:t>
            </w:r>
          </w:p>
        </w:tc>
        <w:tc>
          <w:tcPr>
            <w:vAlign w:val="center"/>
          </w:tcPr>
          <w:p>
            <w:pPr>
              <w:jc w:val="right"/>
            </w:pPr>
            <w:r>
              <w:rPr>
                <w:color w:val="000000"/>
                <w:sz w:val="24"/>
              </w:rPr>
              <w:t>50,000,000.00</w:t>
            </w:r>
          </w:p>
        </w:tc>
        <w:tc>
          <w:tcPr>
            <w:vAlign w:val="center"/>
          </w:tcPr>
          <w:p>
            <w:pPr>
              <w:jc w:val="center"/>
            </w:pPr>
            <w:r>
              <w:rPr>
                <w:color w:val="000000"/>
                <w:sz w:val="24"/>
              </w:rPr>
              <w:t>-</w:t>
            </w:r>
          </w:p>
        </w:tc>
      </w:tr>
      <w:tr>
        <w:tc>
          <w:tcPr>
            <w:vAlign w:val="center"/>
          </w:tcPr>
          <w:p>
            <w:pPr>
              <w:jc w:val="center"/>
            </w:pPr>
            <w:r>
              <w:rPr>
                <w:color w:val="000000"/>
                <w:sz w:val="24"/>
              </w:rPr>
              <w:t>3</w:t>
            </w:r>
          </w:p>
        </w:tc>
        <w:tc>
          <w:tcPr>
            <w:vAlign w:val="center"/>
          </w:tcPr>
          <w:p>
            <w:pPr>
              <w:jc w:val="center"/>
            </w:pPr>
            <w:r>
              <w:rPr>
                <w:color w:val="000000"/>
                <w:sz w:val="24"/>
              </w:rPr>
              <w:t>申购</w:t>
            </w:r>
          </w:p>
        </w:tc>
        <w:tc>
          <w:tcPr>
            <w:vAlign w:val="center"/>
          </w:tcPr>
          <w:p>
            <w:pPr>
              <w:jc w:val="center"/>
            </w:pPr>
            <w:r>
              <w:rPr>
                <w:color w:val="000000"/>
                <w:sz w:val="24"/>
              </w:rPr>
              <w:t>2020-09-08</w:t>
            </w:r>
          </w:p>
        </w:tc>
        <w:tc>
          <w:tcPr>
            <w:vAlign w:val="center"/>
          </w:tcPr>
          <w:p>
            <w:pPr>
              <w:jc w:val="right"/>
            </w:pPr>
            <w:r>
              <w:rPr>
                <w:color w:val="000000"/>
                <w:sz w:val="24"/>
              </w:rPr>
              <w:t>50,000,000.00</w:t>
            </w:r>
          </w:p>
        </w:tc>
        <w:tc>
          <w:tcPr>
            <w:vAlign w:val="center"/>
          </w:tcPr>
          <w:p>
            <w:pPr>
              <w:jc w:val="right"/>
            </w:pPr>
            <w:r>
              <w:rPr>
                <w:color w:val="000000"/>
                <w:sz w:val="24"/>
              </w:rPr>
              <w:t>50,000,000.00</w:t>
            </w:r>
          </w:p>
        </w:tc>
        <w:tc>
          <w:tcPr>
            <w:vAlign w:val="center"/>
          </w:tcPr>
          <w:p>
            <w:pPr>
              <w:jc w:val="center"/>
            </w:pPr>
            <w:r>
              <w:rPr>
                <w:color w:val="000000"/>
                <w:sz w:val="24"/>
              </w:rPr>
              <w:t>-</w:t>
            </w:r>
          </w:p>
        </w:tc>
      </w:tr>
      <w:tr>
        <w:tc>
          <w:tcPr>
            <w:vAlign w:val="center"/>
          </w:tcPr>
          <w:p>
            <w:pPr>
              <w:jc w:val="center"/>
            </w:pPr>
            <w:r>
              <w:rPr>
                <w:color w:val="000000"/>
                <w:sz w:val="24"/>
              </w:rPr>
              <w:t>4</w:t>
            </w:r>
          </w:p>
        </w:tc>
        <w:tc>
          <w:tcPr>
            <w:vAlign w:val="center"/>
          </w:tcPr>
          <w:p>
            <w:pPr>
              <w:jc w:val="center"/>
            </w:pPr>
            <w:r>
              <w:rPr>
                <w:color w:val="000000"/>
                <w:sz w:val="24"/>
              </w:rPr>
              <w:t>基金转换入</w:t>
            </w:r>
          </w:p>
        </w:tc>
        <w:tc>
          <w:tcPr>
            <w:vAlign w:val="center"/>
          </w:tcPr>
          <w:p>
            <w:pPr>
              <w:jc w:val="center"/>
            </w:pPr>
            <w:r>
              <w:rPr>
                <w:color w:val="000000"/>
                <w:sz w:val="24"/>
              </w:rPr>
              <w:t>2020-07-28</w:t>
            </w:r>
          </w:p>
        </w:tc>
        <w:tc>
          <w:tcPr>
            <w:vAlign w:val="center"/>
          </w:tcPr>
          <w:p>
            <w:pPr>
              <w:jc w:val="right"/>
            </w:pPr>
            <w:r>
              <w:rPr>
                <w:color w:val="000000"/>
                <w:sz w:val="24"/>
              </w:rPr>
              <w:t>172,530,413.21</w:t>
            </w:r>
          </w:p>
        </w:tc>
        <w:tc>
          <w:tcPr>
            <w:vAlign w:val="center"/>
          </w:tcPr>
          <w:p>
            <w:pPr>
              <w:jc w:val="right"/>
            </w:pPr>
            <w:r>
              <w:rPr>
                <w:color w:val="000000"/>
                <w:sz w:val="24"/>
              </w:rPr>
              <w:t>172,540,239.22</w:t>
            </w:r>
          </w:p>
        </w:tc>
        <w:tc>
          <w:tcPr>
            <w:vAlign w:val="center"/>
          </w:tcPr>
          <w:p>
            <w:pPr>
              <w:jc w:val="center"/>
            </w:pPr>
            <w:r>
              <w:rPr>
                <w:color w:val="000000"/>
                <w:sz w:val="24"/>
              </w:rPr>
              <w:t>-</w:t>
            </w:r>
          </w:p>
        </w:tc>
      </w:tr>
      <w:tr>
        <w:tc>
          <w:tcPr>
            <w:vAlign w:val="center"/>
          </w:tcPr>
          <w:p>
            <w:pPr>
              <w:jc w:val="center"/>
            </w:pPr>
            <w:r>
              <w:rPr>
                <w:color w:val="000000"/>
                <w:sz w:val="24"/>
              </w:rPr>
              <w:t>5</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2,601,863.62</w:t>
            </w:r>
          </w:p>
        </w:tc>
        <w:tc>
          <w:tcPr>
            <w:vAlign w:val="center"/>
          </w:tcPr>
          <w:p>
            <w:pPr>
              <w:jc w:val="right"/>
            </w:pPr>
            <w:r>
              <w:rPr>
                <w:color w:val="000000"/>
                <w:sz w:val="24"/>
              </w:rPr>
              <w:t>2,601,863.62</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375,132,276.83</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375,142,102.84</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注：1、本基金管理人本报告期末持有本基金E类份额579,761,586.56份，占本基金期末E类基金总份额的78.78%，本基金管理人本报告期末持有本基金A类份额0.00份，占本基金期末A类基金总份额的0.00%。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204,619,483.72</w:t>
            </w:r>
          </w:p>
        </w:tc>
        <w:tc>
          <w:tcPr>
            <w:vAlign w:val="center"/>
          </w:tcPr>
          <w:p>
            <w:pPr>
              <w:jc w:val="center"/>
            </w:pPr>
            <w:r>
              <w:rPr>
                <w:rFonts w:ascii="宋体" w:hAnsi="宋体" w:hint="eastAsia"/>
                <w:color w:val="000000"/>
                <w:kern w:val="0"/>
                <w:szCs w:val="21"/>
              </w:rPr>
              <w:t>375,154,569.79</w:t>
            </w:r>
          </w:p>
        </w:tc>
        <w:tc>
          <w:tcPr>
            <w:vAlign w:val="center"/>
          </w:tcPr>
          <w:p>
            <w:pPr>
              <w:jc w:val="center"/>
            </w:pPr>
            <w:r>
              <w:rPr>
                <w:rFonts w:ascii="宋体" w:hAnsi="宋体" w:hint="eastAsia"/>
                <w:color w:val="000000"/>
                <w:kern w:val="0"/>
                <w:szCs w:val="21"/>
              </w:rPr>
              <w:t>12,466.95</w:t>
            </w:r>
          </w:p>
        </w:tc>
        <w:tc>
          <w:tcPr>
            <w:vAlign w:val="center"/>
          </w:tcPr>
          <w:p>
            <w:pPr>
              <w:jc w:val="center"/>
            </w:pPr>
            <w:r>
              <w:rPr>
                <w:rFonts w:ascii="宋体" w:hAnsi="宋体" w:hint="eastAsia"/>
                <w:color w:val="000000"/>
                <w:kern w:val="0"/>
                <w:szCs w:val="21"/>
              </w:rPr>
              <w:t>579,761,586.56</w:t>
            </w:r>
          </w:p>
        </w:tc>
        <w:tc>
          <w:tcPr>
            <w:vAlign w:val="center"/>
          </w:tcPr>
          <w:p>
            <w:pPr>
              <w:jc w:val="center"/>
            </w:pPr>
            <w:r>
              <w:rPr>
                <w:rFonts w:ascii="宋体" w:hAnsi="宋体" w:hint="eastAsia"/>
                <w:color w:val="000000"/>
                <w:kern w:val="0"/>
                <w:szCs w:val="21"/>
              </w:rPr>
              <w:t>24.40%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1、中国证监会准予交银施罗德天利宝货币市场基金募集注册的文件； </w:t>
      </w:r>
    </w:p>
    <w:p>
      <w:pPr>
        <w:spacing w:before="29" w:line="288" w:lineRule="auto"/>
        <w:ind w:firstLine="480" w:firstLineChars="200"/>
        <w:rPr>
          <w:color w:val="000000"/>
          <w:sz w:val="24"/>
        </w:rPr>
      </w:pPr>
      <w:r>
        <w:rPr>
          <w:color w:val="000000"/>
          <w:sz w:val="24"/>
        </w:rPr>
        <w:t xml:space="preserve">2、《交银施罗德天利宝货币市场基金基金合同》； </w:t>
      </w:r>
    </w:p>
    <w:p>
      <w:pPr>
        <w:spacing w:before="29" w:line="288" w:lineRule="auto"/>
        <w:ind w:firstLine="480" w:firstLineChars="200"/>
        <w:rPr>
          <w:color w:val="000000"/>
          <w:sz w:val="24"/>
        </w:rPr>
      </w:pPr>
      <w:r>
        <w:rPr>
          <w:color w:val="000000"/>
          <w:sz w:val="24"/>
        </w:rPr>
        <w:t xml:space="preserve">3、《交银施罗德天利宝货币市场基金招募说明书》； </w:t>
      </w:r>
    </w:p>
    <w:p>
      <w:pPr>
        <w:spacing w:before="29" w:line="288" w:lineRule="auto"/>
        <w:ind w:firstLine="480" w:firstLineChars="200"/>
        <w:rPr>
          <w:color w:val="000000"/>
          <w:sz w:val="24"/>
        </w:rPr>
      </w:pPr>
      <w:r>
        <w:rPr>
          <w:color w:val="000000"/>
          <w:sz w:val="24"/>
        </w:rPr>
        <w:t xml:space="preserve">4、《交银施罗德天利宝货币市场基金托管协议》； </w:t>
      </w:r>
    </w:p>
    <w:p>
      <w:pPr>
        <w:spacing w:before="29" w:line="288" w:lineRule="auto"/>
        <w:ind w:firstLine="480" w:firstLineChars="200"/>
        <w:rPr>
          <w:color w:val="000000"/>
          <w:sz w:val="24"/>
        </w:rPr>
      </w:pPr>
      <w:r>
        <w:rPr>
          <w:color w:val="000000"/>
          <w:sz w:val="24"/>
        </w:rPr>
        <w:t xml:space="preserve">5、关于申请募集注册交银施罗德天利宝货币市场基金的法律意见书；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8、报告期内交银施罗德天利宝货币市场基金在指定报刊上各项公告的原稿。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D6" w:rsidRDefault="00F079D6">
      <w:r>
        <w:separator/>
      </w:r>
    </w:p>
  </w:endnote>
  <w:endnote w:type="continuationSeparator" w:id="0">
    <w:p w:rsidR="00F079D6" w:rsidRDefault="00F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5DAC">
      <w:rPr>
        <w:noProof/>
        <w:kern w:val="0"/>
        <w:szCs w:val="21"/>
      </w:rPr>
      <w:t>17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615DAC">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F079D6" w:rsidRDefault="00F079D6">
      <w:r>
        <w:separator/>
      </w:r>
    </w:p>
  </w:footnote>
  <w:footnote w:id="0" w:type="continuationSeparator">
    <w:p w:rsidR="00F079D6" w:rsidRDefault="00F079D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交银施罗德天利宝货币市场基金2020年第3季度报告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46AF8F-3886-48C3-B4A6-13B4F36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2020-08-06T06:44:00Z</dcterms:modified>
  <cp:revision>337</cp:revision>
</cp:coreProperties>
</file>