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74AE" w:rsidRDefault="004B68E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1,029,624,503.74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B68E3" w:rsidRPr="00414345" w:rsidTr="004B68E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B68E3" w:rsidRPr="00414345" w:rsidTr="004B68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205,336,637.81</w:t>
            </w:r>
          </w:p>
        </w:tc>
      </w:tr>
      <w:tr w:rsidR="004B68E3" w:rsidRPr="00414345" w:rsidTr="004B68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246,242,221.49</w:t>
            </w:r>
          </w:p>
        </w:tc>
      </w:tr>
      <w:tr w:rsidR="004B68E3" w:rsidRPr="00414345" w:rsidTr="004B68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0.2378</w:t>
            </w:r>
          </w:p>
        </w:tc>
      </w:tr>
      <w:tr w:rsidR="004B68E3" w:rsidRPr="00414345" w:rsidTr="004B68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2,203,725,955.25</w:t>
            </w:r>
          </w:p>
        </w:tc>
      </w:tr>
      <w:tr w:rsidR="004B68E3" w:rsidRPr="00414345" w:rsidTr="004B68E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2.140</w:t>
            </w:r>
          </w:p>
        </w:tc>
      </w:tr>
    </w:tbl>
    <w:p w:rsidR="000C74AE" w:rsidRDefault="004B68E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74AE">
        <w:trPr>
          <w:jc w:val="center"/>
        </w:trPr>
        <w:tc>
          <w:tcPr>
            <w:tcW w:w="1701" w:type="dxa"/>
            <w:vAlign w:val="center"/>
          </w:tcPr>
          <w:p w:rsidR="000C74AE" w:rsidRDefault="004B68E3">
            <w:pPr>
              <w:jc w:val="left"/>
            </w:pPr>
            <w:r>
              <w:rPr>
                <w:color w:val="000000"/>
                <w:sz w:val="24"/>
                <w:szCs w:val="24"/>
              </w:rPr>
              <w:t>过去三个月</w:t>
            </w:r>
          </w:p>
        </w:tc>
        <w:tc>
          <w:tcPr>
            <w:tcW w:w="1045" w:type="dxa"/>
            <w:vAlign w:val="center"/>
          </w:tcPr>
          <w:p w:rsidR="000C74AE" w:rsidRDefault="004B68E3">
            <w:pPr>
              <w:jc w:val="center"/>
            </w:pPr>
            <w:r>
              <w:rPr>
                <w:color w:val="000000"/>
                <w:sz w:val="24"/>
                <w:szCs w:val="24"/>
              </w:rPr>
              <w:t>12.16%</w:t>
            </w:r>
          </w:p>
        </w:tc>
        <w:tc>
          <w:tcPr>
            <w:tcW w:w="1344" w:type="dxa"/>
            <w:vAlign w:val="center"/>
          </w:tcPr>
          <w:p w:rsidR="000C74AE" w:rsidRDefault="004B68E3">
            <w:pPr>
              <w:jc w:val="center"/>
            </w:pPr>
            <w:r>
              <w:rPr>
                <w:color w:val="000000"/>
                <w:sz w:val="24"/>
                <w:szCs w:val="24"/>
              </w:rPr>
              <w:t>1.97%</w:t>
            </w:r>
          </w:p>
        </w:tc>
        <w:tc>
          <w:tcPr>
            <w:tcW w:w="1194" w:type="dxa"/>
            <w:vAlign w:val="center"/>
          </w:tcPr>
          <w:p w:rsidR="000C74AE" w:rsidRDefault="004B68E3">
            <w:pPr>
              <w:jc w:val="center"/>
            </w:pPr>
            <w:r>
              <w:rPr>
                <w:color w:val="000000"/>
                <w:sz w:val="24"/>
                <w:szCs w:val="24"/>
              </w:rPr>
              <w:t>7.51%</w:t>
            </w:r>
          </w:p>
        </w:tc>
        <w:tc>
          <w:tcPr>
            <w:tcW w:w="1492" w:type="dxa"/>
            <w:vAlign w:val="center"/>
          </w:tcPr>
          <w:p w:rsidR="000C74AE" w:rsidRDefault="004B68E3">
            <w:pPr>
              <w:jc w:val="center"/>
            </w:pPr>
            <w:r>
              <w:rPr>
                <w:color w:val="000000"/>
                <w:sz w:val="24"/>
                <w:szCs w:val="24"/>
              </w:rPr>
              <w:t>1.27%</w:t>
            </w:r>
          </w:p>
        </w:tc>
        <w:tc>
          <w:tcPr>
            <w:tcW w:w="1194" w:type="dxa"/>
            <w:vAlign w:val="center"/>
          </w:tcPr>
          <w:p w:rsidR="000C74AE" w:rsidRDefault="004B68E3">
            <w:pPr>
              <w:jc w:val="center"/>
            </w:pPr>
            <w:r>
              <w:rPr>
                <w:color w:val="000000"/>
                <w:sz w:val="24"/>
                <w:szCs w:val="24"/>
              </w:rPr>
              <w:t>4.65%</w:t>
            </w:r>
          </w:p>
        </w:tc>
        <w:tc>
          <w:tcPr>
            <w:tcW w:w="898" w:type="dxa"/>
            <w:vAlign w:val="center"/>
          </w:tcPr>
          <w:p w:rsidR="000C74AE" w:rsidRDefault="004B68E3">
            <w:pPr>
              <w:jc w:val="center"/>
            </w:pPr>
            <w:r>
              <w:rPr>
                <w:color w:val="000000"/>
                <w:sz w:val="24"/>
                <w:szCs w:val="24"/>
              </w:rPr>
              <w:t>0.70%</w:t>
            </w:r>
          </w:p>
        </w:tc>
      </w:tr>
      <w:tr w:rsidR="000C74AE">
        <w:trPr>
          <w:jc w:val="center"/>
        </w:trPr>
        <w:tc>
          <w:tcPr>
            <w:tcW w:w="1701" w:type="dxa"/>
            <w:vAlign w:val="center"/>
          </w:tcPr>
          <w:p w:rsidR="000C74AE" w:rsidRDefault="004B68E3">
            <w:pPr>
              <w:jc w:val="left"/>
            </w:pPr>
            <w:r>
              <w:rPr>
                <w:color w:val="000000"/>
                <w:sz w:val="24"/>
                <w:szCs w:val="24"/>
              </w:rPr>
              <w:t>过去六个月</w:t>
            </w:r>
          </w:p>
        </w:tc>
        <w:tc>
          <w:tcPr>
            <w:tcW w:w="1045" w:type="dxa"/>
            <w:vAlign w:val="center"/>
          </w:tcPr>
          <w:p w:rsidR="000C74AE" w:rsidRDefault="004B68E3">
            <w:pPr>
              <w:jc w:val="center"/>
            </w:pPr>
            <w:r>
              <w:rPr>
                <w:color w:val="000000"/>
                <w:sz w:val="24"/>
                <w:szCs w:val="24"/>
              </w:rPr>
              <w:t>34.42%</w:t>
            </w:r>
          </w:p>
        </w:tc>
        <w:tc>
          <w:tcPr>
            <w:tcW w:w="1344" w:type="dxa"/>
            <w:vAlign w:val="center"/>
          </w:tcPr>
          <w:p w:rsidR="000C74AE" w:rsidRDefault="004B68E3">
            <w:pPr>
              <w:jc w:val="center"/>
            </w:pPr>
            <w:r>
              <w:rPr>
                <w:color w:val="000000"/>
                <w:sz w:val="24"/>
                <w:szCs w:val="24"/>
              </w:rPr>
              <w:t>1.59%</w:t>
            </w:r>
          </w:p>
        </w:tc>
        <w:tc>
          <w:tcPr>
            <w:tcW w:w="1194" w:type="dxa"/>
            <w:vAlign w:val="center"/>
          </w:tcPr>
          <w:p w:rsidR="000C74AE" w:rsidRDefault="004B68E3">
            <w:pPr>
              <w:jc w:val="center"/>
            </w:pPr>
            <w:r>
              <w:rPr>
                <w:color w:val="000000"/>
                <w:sz w:val="24"/>
                <w:szCs w:val="24"/>
              </w:rPr>
              <w:t>24.53%</w:t>
            </w:r>
          </w:p>
        </w:tc>
        <w:tc>
          <w:tcPr>
            <w:tcW w:w="1492" w:type="dxa"/>
            <w:vAlign w:val="center"/>
          </w:tcPr>
          <w:p w:rsidR="000C74AE" w:rsidRDefault="004B68E3">
            <w:pPr>
              <w:jc w:val="center"/>
            </w:pPr>
            <w:r>
              <w:rPr>
                <w:color w:val="000000"/>
                <w:sz w:val="24"/>
                <w:szCs w:val="24"/>
              </w:rPr>
              <w:t>1.07%</w:t>
            </w:r>
          </w:p>
        </w:tc>
        <w:tc>
          <w:tcPr>
            <w:tcW w:w="1194" w:type="dxa"/>
            <w:vAlign w:val="center"/>
          </w:tcPr>
          <w:p w:rsidR="000C74AE" w:rsidRDefault="004B68E3">
            <w:pPr>
              <w:jc w:val="center"/>
            </w:pPr>
            <w:r>
              <w:rPr>
                <w:color w:val="000000"/>
                <w:sz w:val="24"/>
                <w:szCs w:val="24"/>
              </w:rPr>
              <w:t>9.89%</w:t>
            </w:r>
          </w:p>
        </w:tc>
        <w:tc>
          <w:tcPr>
            <w:tcW w:w="898" w:type="dxa"/>
            <w:vAlign w:val="center"/>
          </w:tcPr>
          <w:p w:rsidR="000C74AE" w:rsidRDefault="004B68E3">
            <w:pPr>
              <w:jc w:val="center"/>
            </w:pPr>
            <w:r>
              <w:rPr>
                <w:color w:val="000000"/>
                <w:sz w:val="24"/>
                <w:szCs w:val="24"/>
              </w:rPr>
              <w:t>0.52%</w:t>
            </w:r>
          </w:p>
        </w:tc>
      </w:tr>
      <w:tr w:rsidR="000C74AE">
        <w:trPr>
          <w:jc w:val="center"/>
        </w:trPr>
        <w:tc>
          <w:tcPr>
            <w:tcW w:w="1701" w:type="dxa"/>
            <w:vAlign w:val="center"/>
          </w:tcPr>
          <w:p w:rsidR="000C74AE" w:rsidRDefault="004B68E3">
            <w:pPr>
              <w:jc w:val="left"/>
            </w:pPr>
            <w:r>
              <w:rPr>
                <w:color w:val="000000"/>
                <w:sz w:val="24"/>
                <w:szCs w:val="24"/>
              </w:rPr>
              <w:t>过去一年</w:t>
            </w:r>
          </w:p>
        </w:tc>
        <w:tc>
          <w:tcPr>
            <w:tcW w:w="1045" w:type="dxa"/>
            <w:vAlign w:val="center"/>
          </w:tcPr>
          <w:p w:rsidR="000C74AE" w:rsidRDefault="004B68E3">
            <w:pPr>
              <w:jc w:val="center"/>
            </w:pPr>
            <w:r>
              <w:rPr>
                <w:color w:val="000000"/>
                <w:sz w:val="24"/>
                <w:szCs w:val="24"/>
              </w:rPr>
              <w:t>48.40%</w:t>
            </w:r>
          </w:p>
        </w:tc>
        <w:tc>
          <w:tcPr>
            <w:tcW w:w="1344" w:type="dxa"/>
            <w:vAlign w:val="center"/>
          </w:tcPr>
          <w:p w:rsidR="000C74AE" w:rsidRDefault="004B68E3">
            <w:pPr>
              <w:jc w:val="center"/>
            </w:pPr>
            <w:r>
              <w:rPr>
                <w:color w:val="000000"/>
                <w:sz w:val="24"/>
                <w:szCs w:val="24"/>
              </w:rPr>
              <w:t>1.75%</w:t>
            </w:r>
          </w:p>
        </w:tc>
        <w:tc>
          <w:tcPr>
            <w:tcW w:w="1194" w:type="dxa"/>
            <w:vAlign w:val="center"/>
          </w:tcPr>
          <w:p w:rsidR="000C74AE" w:rsidRDefault="004B68E3">
            <w:pPr>
              <w:jc w:val="center"/>
            </w:pPr>
            <w:r>
              <w:rPr>
                <w:color w:val="000000"/>
                <w:sz w:val="24"/>
                <w:szCs w:val="24"/>
              </w:rPr>
              <w:t>25.18%</w:t>
            </w:r>
          </w:p>
        </w:tc>
        <w:tc>
          <w:tcPr>
            <w:tcW w:w="1492" w:type="dxa"/>
            <w:vAlign w:val="center"/>
          </w:tcPr>
          <w:p w:rsidR="000C74AE" w:rsidRDefault="004B68E3">
            <w:pPr>
              <w:jc w:val="center"/>
            </w:pPr>
            <w:r>
              <w:rPr>
                <w:color w:val="000000"/>
                <w:sz w:val="24"/>
                <w:szCs w:val="24"/>
              </w:rPr>
              <w:t>1.11%</w:t>
            </w:r>
          </w:p>
        </w:tc>
        <w:tc>
          <w:tcPr>
            <w:tcW w:w="1194" w:type="dxa"/>
            <w:vAlign w:val="center"/>
          </w:tcPr>
          <w:p w:rsidR="000C74AE" w:rsidRDefault="004B68E3">
            <w:pPr>
              <w:jc w:val="center"/>
            </w:pPr>
            <w:r>
              <w:rPr>
                <w:color w:val="000000"/>
                <w:sz w:val="24"/>
                <w:szCs w:val="24"/>
              </w:rPr>
              <w:t>23.22%</w:t>
            </w:r>
          </w:p>
        </w:tc>
        <w:tc>
          <w:tcPr>
            <w:tcW w:w="898" w:type="dxa"/>
            <w:vAlign w:val="center"/>
          </w:tcPr>
          <w:p w:rsidR="000C74AE" w:rsidRDefault="004B68E3">
            <w:pPr>
              <w:jc w:val="center"/>
            </w:pPr>
            <w:r>
              <w:rPr>
                <w:color w:val="000000"/>
                <w:sz w:val="24"/>
                <w:szCs w:val="24"/>
              </w:rPr>
              <w:t>0.64%</w:t>
            </w:r>
          </w:p>
        </w:tc>
      </w:tr>
      <w:tr w:rsidR="000C74AE">
        <w:trPr>
          <w:jc w:val="center"/>
        </w:trPr>
        <w:tc>
          <w:tcPr>
            <w:tcW w:w="1701" w:type="dxa"/>
            <w:vAlign w:val="center"/>
          </w:tcPr>
          <w:p w:rsidR="000C74AE" w:rsidRDefault="004B68E3">
            <w:pPr>
              <w:jc w:val="left"/>
            </w:pPr>
            <w:r>
              <w:rPr>
                <w:color w:val="000000"/>
                <w:sz w:val="24"/>
                <w:szCs w:val="24"/>
              </w:rPr>
              <w:lastRenderedPageBreak/>
              <w:t>过去三年</w:t>
            </w:r>
          </w:p>
        </w:tc>
        <w:tc>
          <w:tcPr>
            <w:tcW w:w="1045" w:type="dxa"/>
            <w:vAlign w:val="center"/>
          </w:tcPr>
          <w:p w:rsidR="000C74AE" w:rsidRDefault="004B68E3">
            <w:pPr>
              <w:jc w:val="center"/>
            </w:pPr>
            <w:r>
              <w:rPr>
                <w:color w:val="000000"/>
                <w:sz w:val="24"/>
                <w:szCs w:val="24"/>
              </w:rPr>
              <w:t>106.96%</w:t>
            </w:r>
          </w:p>
        </w:tc>
        <w:tc>
          <w:tcPr>
            <w:tcW w:w="1344" w:type="dxa"/>
            <w:vAlign w:val="center"/>
          </w:tcPr>
          <w:p w:rsidR="000C74AE" w:rsidRDefault="004B68E3">
            <w:pPr>
              <w:jc w:val="center"/>
            </w:pPr>
            <w:r>
              <w:rPr>
                <w:color w:val="000000"/>
                <w:sz w:val="24"/>
                <w:szCs w:val="24"/>
              </w:rPr>
              <w:t>1.65%</w:t>
            </w:r>
          </w:p>
        </w:tc>
        <w:tc>
          <w:tcPr>
            <w:tcW w:w="1194" w:type="dxa"/>
            <w:vAlign w:val="center"/>
          </w:tcPr>
          <w:p w:rsidR="000C74AE" w:rsidRDefault="004B68E3">
            <w:pPr>
              <w:jc w:val="center"/>
            </w:pPr>
            <w:r>
              <w:rPr>
                <w:color w:val="000000"/>
                <w:sz w:val="24"/>
                <w:szCs w:val="24"/>
              </w:rPr>
              <w:t>26.90%</w:t>
            </w:r>
          </w:p>
        </w:tc>
        <w:tc>
          <w:tcPr>
            <w:tcW w:w="1492" w:type="dxa"/>
            <w:vAlign w:val="center"/>
          </w:tcPr>
          <w:p w:rsidR="000C74AE" w:rsidRDefault="004B68E3">
            <w:pPr>
              <w:jc w:val="center"/>
            </w:pPr>
            <w:r>
              <w:rPr>
                <w:color w:val="000000"/>
                <w:sz w:val="24"/>
                <w:szCs w:val="24"/>
              </w:rPr>
              <w:t>1.09%</w:t>
            </w:r>
          </w:p>
        </w:tc>
        <w:tc>
          <w:tcPr>
            <w:tcW w:w="1194" w:type="dxa"/>
            <w:vAlign w:val="center"/>
          </w:tcPr>
          <w:p w:rsidR="000C74AE" w:rsidRDefault="004B68E3">
            <w:pPr>
              <w:jc w:val="center"/>
            </w:pPr>
            <w:r>
              <w:rPr>
                <w:color w:val="000000"/>
                <w:sz w:val="24"/>
                <w:szCs w:val="24"/>
              </w:rPr>
              <w:t>80.06%</w:t>
            </w:r>
          </w:p>
        </w:tc>
        <w:tc>
          <w:tcPr>
            <w:tcW w:w="898" w:type="dxa"/>
            <w:vAlign w:val="center"/>
          </w:tcPr>
          <w:p w:rsidR="000C74AE" w:rsidRDefault="004B68E3">
            <w:pPr>
              <w:jc w:val="center"/>
            </w:pPr>
            <w:r>
              <w:rPr>
                <w:color w:val="000000"/>
                <w:sz w:val="24"/>
                <w:szCs w:val="24"/>
              </w:rPr>
              <w:t>0.56%</w:t>
            </w:r>
          </w:p>
        </w:tc>
      </w:tr>
      <w:tr w:rsidR="000C74AE">
        <w:trPr>
          <w:jc w:val="center"/>
        </w:trPr>
        <w:tc>
          <w:tcPr>
            <w:tcW w:w="1701" w:type="dxa"/>
            <w:vAlign w:val="center"/>
          </w:tcPr>
          <w:p w:rsidR="000C74AE" w:rsidRDefault="004B68E3">
            <w:pPr>
              <w:jc w:val="left"/>
            </w:pPr>
            <w:r>
              <w:rPr>
                <w:color w:val="000000"/>
                <w:sz w:val="24"/>
                <w:szCs w:val="24"/>
              </w:rPr>
              <w:t>过去五年</w:t>
            </w:r>
          </w:p>
        </w:tc>
        <w:tc>
          <w:tcPr>
            <w:tcW w:w="1045" w:type="dxa"/>
            <w:vAlign w:val="center"/>
          </w:tcPr>
          <w:p w:rsidR="000C74AE" w:rsidRDefault="004B68E3">
            <w:pPr>
              <w:jc w:val="center"/>
            </w:pPr>
            <w:r>
              <w:rPr>
                <w:color w:val="000000"/>
                <w:sz w:val="24"/>
                <w:szCs w:val="24"/>
              </w:rPr>
              <w:t>129.06%</w:t>
            </w:r>
          </w:p>
        </w:tc>
        <w:tc>
          <w:tcPr>
            <w:tcW w:w="1344" w:type="dxa"/>
            <w:vAlign w:val="center"/>
          </w:tcPr>
          <w:p w:rsidR="000C74AE" w:rsidRDefault="004B68E3">
            <w:pPr>
              <w:jc w:val="center"/>
            </w:pPr>
            <w:r>
              <w:rPr>
                <w:color w:val="000000"/>
                <w:sz w:val="24"/>
                <w:szCs w:val="24"/>
              </w:rPr>
              <w:t>1.60%</w:t>
            </w:r>
          </w:p>
        </w:tc>
        <w:tc>
          <w:tcPr>
            <w:tcW w:w="1194" w:type="dxa"/>
            <w:vAlign w:val="center"/>
          </w:tcPr>
          <w:p w:rsidR="000C74AE" w:rsidRDefault="004B68E3">
            <w:pPr>
              <w:jc w:val="center"/>
            </w:pPr>
            <w:r>
              <w:rPr>
                <w:color w:val="000000"/>
                <w:sz w:val="24"/>
                <w:szCs w:val="24"/>
              </w:rPr>
              <w:t>35.00%</w:t>
            </w:r>
          </w:p>
        </w:tc>
        <w:tc>
          <w:tcPr>
            <w:tcW w:w="1492" w:type="dxa"/>
            <w:vAlign w:val="center"/>
          </w:tcPr>
          <w:p w:rsidR="000C74AE" w:rsidRDefault="004B68E3">
            <w:pPr>
              <w:jc w:val="center"/>
            </w:pPr>
            <w:r>
              <w:rPr>
                <w:color w:val="000000"/>
                <w:sz w:val="24"/>
                <w:szCs w:val="24"/>
              </w:rPr>
              <w:t>1.08%</w:t>
            </w:r>
          </w:p>
        </w:tc>
        <w:tc>
          <w:tcPr>
            <w:tcW w:w="1194" w:type="dxa"/>
            <w:vAlign w:val="center"/>
          </w:tcPr>
          <w:p w:rsidR="000C74AE" w:rsidRDefault="004B68E3">
            <w:pPr>
              <w:jc w:val="center"/>
            </w:pPr>
            <w:r>
              <w:rPr>
                <w:color w:val="000000"/>
                <w:sz w:val="24"/>
                <w:szCs w:val="24"/>
              </w:rPr>
              <w:t>94.06%</w:t>
            </w:r>
          </w:p>
        </w:tc>
        <w:tc>
          <w:tcPr>
            <w:tcW w:w="898" w:type="dxa"/>
            <w:vAlign w:val="center"/>
          </w:tcPr>
          <w:p w:rsidR="000C74AE" w:rsidRDefault="004B68E3">
            <w:pPr>
              <w:jc w:val="center"/>
            </w:pPr>
            <w:r>
              <w:rPr>
                <w:color w:val="000000"/>
                <w:sz w:val="24"/>
                <w:szCs w:val="24"/>
              </w:rPr>
              <w:t>0.52%</w:t>
            </w:r>
          </w:p>
        </w:tc>
      </w:tr>
      <w:tr w:rsidR="000C74AE">
        <w:trPr>
          <w:jc w:val="center"/>
        </w:trPr>
        <w:tc>
          <w:tcPr>
            <w:tcW w:w="1701" w:type="dxa"/>
            <w:vAlign w:val="center"/>
          </w:tcPr>
          <w:p w:rsidR="000C74AE" w:rsidRDefault="004B68E3">
            <w:pPr>
              <w:jc w:val="left"/>
            </w:pPr>
            <w:r>
              <w:rPr>
                <w:color w:val="000000"/>
                <w:sz w:val="24"/>
                <w:szCs w:val="24"/>
              </w:rPr>
              <w:t>自基金合同生效至今</w:t>
            </w:r>
          </w:p>
        </w:tc>
        <w:tc>
          <w:tcPr>
            <w:tcW w:w="1045" w:type="dxa"/>
            <w:vAlign w:val="center"/>
          </w:tcPr>
          <w:p w:rsidR="000C74AE" w:rsidRDefault="004B68E3">
            <w:pPr>
              <w:jc w:val="center"/>
            </w:pPr>
            <w:r>
              <w:rPr>
                <w:color w:val="000000"/>
                <w:sz w:val="24"/>
                <w:szCs w:val="24"/>
              </w:rPr>
              <w:t>205.57%</w:t>
            </w:r>
          </w:p>
        </w:tc>
        <w:tc>
          <w:tcPr>
            <w:tcW w:w="1344" w:type="dxa"/>
            <w:vAlign w:val="center"/>
          </w:tcPr>
          <w:p w:rsidR="000C74AE" w:rsidRDefault="004B68E3">
            <w:pPr>
              <w:jc w:val="center"/>
            </w:pPr>
            <w:r>
              <w:rPr>
                <w:color w:val="000000"/>
                <w:sz w:val="24"/>
                <w:szCs w:val="24"/>
              </w:rPr>
              <w:t>1.68%</w:t>
            </w:r>
          </w:p>
        </w:tc>
        <w:tc>
          <w:tcPr>
            <w:tcW w:w="1194" w:type="dxa"/>
            <w:vAlign w:val="center"/>
          </w:tcPr>
          <w:p w:rsidR="000C74AE" w:rsidRDefault="004B68E3">
            <w:pPr>
              <w:jc w:val="center"/>
            </w:pPr>
            <w:r>
              <w:rPr>
                <w:color w:val="000000"/>
                <w:sz w:val="24"/>
                <w:szCs w:val="24"/>
              </w:rPr>
              <w:t>56.14%</w:t>
            </w:r>
          </w:p>
        </w:tc>
        <w:tc>
          <w:tcPr>
            <w:tcW w:w="1492" w:type="dxa"/>
            <w:vAlign w:val="center"/>
          </w:tcPr>
          <w:p w:rsidR="000C74AE" w:rsidRDefault="004B68E3">
            <w:pPr>
              <w:jc w:val="center"/>
            </w:pPr>
            <w:r>
              <w:rPr>
                <w:color w:val="000000"/>
                <w:sz w:val="24"/>
                <w:szCs w:val="24"/>
              </w:rPr>
              <w:t>1.20%</w:t>
            </w:r>
          </w:p>
        </w:tc>
        <w:tc>
          <w:tcPr>
            <w:tcW w:w="1194" w:type="dxa"/>
            <w:vAlign w:val="center"/>
          </w:tcPr>
          <w:p w:rsidR="000C74AE" w:rsidRDefault="004B68E3">
            <w:pPr>
              <w:jc w:val="center"/>
            </w:pPr>
            <w:r>
              <w:rPr>
                <w:color w:val="000000"/>
                <w:sz w:val="24"/>
                <w:szCs w:val="24"/>
              </w:rPr>
              <w:t>149.43%</w:t>
            </w:r>
          </w:p>
        </w:tc>
        <w:tc>
          <w:tcPr>
            <w:tcW w:w="898" w:type="dxa"/>
            <w:vAlign w:val="center"/>
          </w:tcPr>
          <w:p w:rsidR="000C74AE" w:rsidRDefault="004B68E3">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74AE">
        <w:trPr>
          <w:jc w:val="center"/>
        </w:trPr>
        <w:tc>
          <w:tcPr>
            <w:tcW w:w="846" w:type="dxa"/>
            <w:vAlign w:val="center"/>
          </w:tcPr>
          <w:p w:rsidR="000C74AE" w:rsidRDefault="004B68E3">
            <w:pPr>
              <w:jc w:val="center"/>
            </w:pPr>
            <w:r>
              <w:rPr>
                <w:color w:val="000000"/>
                <w:sz w:val="24"/>
                <w:szCs w:val="24"/>
              </w:rPr>
              <w:t>郭斐</w:t>
            </w:r>
          </w:p>
        </w:tc>
        <w:tc>
          <w:tcPr>
            <w:tcW w:w="845" w:type="dxa"/>
            <w:vAlign w:val="center"/>
          </w:tcPr>
          <w:p w:rsidR="000C74AE" w:rsidRDefault="004B68E3">
            <w:pPr>
              <w:jc w:val="center"/>
            </w:pPr>
            <w:r>
              <w:rPr>
                <w:color w:val="000000"/>
                <w:sz w:val="24"/>
                <w:szCs w:val="24"/>
              </w:rPr>
              <w:t>交银成长</w:t>
            </w:r>
            <w:r>
              <w:rPr>
                <w:color w:val="000000"/>
                <w:sz w:val="24"/>
                <w:szCs w:val="24"/>
              </w:rPr>
              <w:t>30</w:t>
            </w:r>
            <w:r>
              <w:rPr>
                <w:color w:val="000000"/>
                <w:sz w:val="24"/>
                <w:szCs w:val="24"/>
              </w:rPr>
              <w:t>混合、交银经济新动力混合、交银创新领航混合的基金经理</w:t>
            </w:r>
          </w:p>
        </w:tc>
        <w:tc>
          <w:tcPr>
            <w:tcW w:w="1549" w:type="dxa"/>
            <w:vAlign w:val="center"/>
          </w:tcPr>
          <w:p w:rsidR="000C74AE" w:rsidRDefault="004B68E3">
            <w:pPr>
              <w:jc w:val="center"/>
            </w:pPr>
            <w:r>
              <w:rPr>
                <w:color w:val="000000"/>
                <w:sz w:val="24"/>
                <w:szCs w:val="24"/>
              </w:rPr>
              <w:t>2017-09-26</w:t>
            </w:r>
          </w:p>
        </w:tc>
        <w:tc>
          <w:tcPr>
            <w:tcW w:w="1548" w:type="dxa"/>
            <w:vAlign w:val="center"/>
          </w:tcPr>
          <w:p w:rsidR="000C74AE" w:rsidRDefault="004B68E3">
            <w:pPr>
              <w:jc w:val="center"/>
            </w:pPr>
            <w:r>
              <w:rPr>
                <w:color w:val="000000"/>
                <w:sz w:val="24"/>
                <w:szCs w:val="24"/>
              </w:rPr>
              <w:t>-</w:t>
            </w:r>
          </w:p>
        </w:tc>
        <w:tc>
          <w:tcPr>
            <w:tcW w:w="1407" w:type="dxa"/>
            <w:vAlign w:val="center"/>
          </w:tcPr>
          <w:p w:rsidR="000C74AE" w:rsidRDefault="004B68E3">
            <w:pPr>
              <w:jc w:val="center"/>
            </w:pPr>
            <w:r>
              <w:rPr>
                <w:color w:val="000000"/>
                <w:sz w:val="24"/>
                <w:szCs w:val="24"/>
              </w:rPr>
              <w:t>11</w:t>
            </w:r>
            <w:r>
              <w:rPr>
                <w:color w:val="000000"/>
                <w:sz w:val="24"/>
                <w:szCs w:val="24"/>
              </w:rPr>
              <w:t>年</w:t>
            </w:r>
          </w:p>
        </w:tc>
        <w:tc>
          <w:tcPr>
            <w:tcW w:w="2673" w:type="dxa"/>
            <w:vAlign w:val="center"/>
          </w:tcPr>
          <w:p w:rsidR="000C74AE" w:rsidRDefault="004B68E3">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74AE" w:rsidRDefault="004B68E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74AE" w:rsidRDefault="004B68E3">
      <w:pPr>
        <w:spacing w:before="29" w:line="288" w:lineRule="auto"/>
        <w:ind w:firstLineChars="200" w:firstLine="480"/>
        <w:rPr>
          <w:color w:val="000000"/>
          <w:sz w:val="24"/>
          <w:szCs w:val="24"/>
        </w:rPr>
      </w:pPr>
      <w:r>
        <w:rPr>
          <w:color w:val="000000"/>
          <w:sz w:val="24"/>
          <w:szCs w:val="24"/>
        </w:rPr>
        <w:t>公司建立资源共享的投资研究信息平台，确保各投资组合在获</w:t>
      </w:r>
      <w:r>
        <w:rPr>
          <w:color w:val="000000"/>
          <w:sz w:val="24"/>
          <w:szCs w:val="24"/>
        </w:rPr>
        <w:t>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74AE" w:rsidRDefault="004B68E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szCs w:val="24"/>
        </w:rPr>
        <w:t>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74AE" w:rsidRDefault="004B68E3">
      <w:pPr>
        <w:spacing w:before="29" w:line="288" w:lineRule="auto"/>
        <w:ind w:firstLineChars="200" w:firstLine="480"/>
        <w:rPr>
          <w:color w:val="000000"/>
          <w:sz w:val="24"/>
          <w:szCs w:val="24"/>
        </w:rPr>
      </w:pPr>
      <w:r>
        <w:rPr>
          <w:color w:val="000000"/>
          <w:sz w:val="24"/>
          <w:szCs w:val="24"/>
        </w:rPr>
        <w:t>2020</w:t>
      </w:r>
      <w:r>
        <w:rPr>
          <w:color w:val="000000"/>
          <w:sz w:val="24"/>
          <w:szCs w:val="24"/>
        </w:rPr>
        <w:t>年三季度，随着经济复苏的深化，国内外市场同时进入调整期，市场风格也出现了从高估值核心资产向顺周期的回摆。</w:t>
      </w:r>
    </w:p>
    <w:p w:rsidR="000C74AE" w:rsidRDefault="004B68E3">
      <w:pPr>
        <w:spacing w:before="29" w:line="288" w:lineRule="auto"/>
        <w:ind w:firstLineChars="200" w:firstLine="480"/>
        <w:rPr>
          <w:color w:val="000000"/>
          <w:sz w:val="24"/>
          <w:szCs w:val="24"/>
        </w:rPr>
      </w:pPr>
      <w:r>
        <w:rPr>
          <w:color w:val="000000"/>
          <w:sz w:val="24"/>
          <w:szCs w:val="24"/>
        </w:rPr>
        <w:t>报告期内，本基金重点配置了新能源汽车、军工元器件、创新硬件、消费建材、外需复苏以及地产等领域的个股。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年四季度，随着货币政策进一步常态化回归以及新股供给不断增加，我们对流动性推升的估值扩张型个股更加谨慎。我们更为审慎地考量组合持仓背后估值与当期业绩以及远期空间之间的匹配度。在</w:t>
      </w:r>
      <w:r w:rsidRPr="00414345">
        <w:rPr>
          <w:color w:val="000000"/>
          <w:sz w:val="24"/>
          <w:szCs w:val="24"/>
        </w:rPr>
        <w:t>4G/5G</w:t>
      </w:r>
      <w:r w:rsidRPr="00414345">
        <w:rPr>
          <w:color w:val="000000"/>
          <w:sz w:val="24"/>
          <w:szCs w:val="24"/>
        </w:rPr>
        <w:t>代际之交、新能源革命已然启动、数据经济</w:t>
      </w:r>
      <w:r w:rsidRPr="00414345">
        <w:rPr>
          <w:color w:val="000000"/>
          <w:sz w:val="24"/>
          <w:szCs w:val="24"/>
        </w:rPr>
        <w:t>/</w:t>
      </w:r>
      <w:r w:rsidRPr="00414345">
        <w:rPr>
          <w:color w:val="000000"/>
          <w:sz w:val="24"/>
          <w:szCs w:val="24"/>
        </w:rPr>
        <w:t>企业数字化转型加速到来的当下，我们认为科技成长仍将是未来相当长一段时间内市场的主线。同时，跳出科技成长的狭隘边界，以更包容的视野，我们可以看到，在国民经济的各个产业，强者恒强的产业集中度提升趋势以及追求效率的工业化规模化转型催生了更多传统领域低关注度成长股的投资机遇。我们有幸已经挖掘出并持有一批估值具备吸引力的优质成长股，它们或顺应产业爆发的趋势</w:t>
      </w:r>
      <w:bookmarkStart w:id="0" w:name="_GoBack"/>
      <w:bookmarkEnd w:id="0"/>
      <w:r w:rsidRPr="00414345">
        <w:rPr>
          <w:color w:val="000000"/>
          <w:sz w:val="24"/>
          <w:szCs w:val="24"/>
        </w:rPr>
        <w:t>。本基金将持续挖掘行业成长空间广阔、具备核心竞争力的公司，力求把握合适的配置窗口，力争为投资人获得持续稳定的超额回报。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1,960,831,108.37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1,960,831,108.37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253,307,522.96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4,123,383.22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2,218,262,014.55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1,591,342,984.90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40,513,499.20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298,104,285.35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30,870,338.92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1,960,831,108.37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C74AE">
        <w:trPr>
          <w:jc w:val="center"/>
        </w:trPr>
        <w:tc>
          <w:tcPr>
            <w:tcW w:w="855" w:type="dxa"/>
            <w:vAlign w:val="center"/>
          </w:tcPr>
          <w:p w:rsidR="000C74AE" w:rsidRDefault="004B68E3">
            <w:pPr>
              <w:jc w:val="center"/>
            </w:pPr>
            <w:r>
              <w:rPr>
                <w:color w:val="000000"/>
                <w:sz w:val="24"/>
                <w:szCs w:val="24"/>
              </w:rPr>
              <w:t>1</w:t>
            </w:r>
          </w:p>
        </w:tc>
        <w:tc>
          <w:tcPr>
            <w:tcW w:w="1334" w:type="dxa"/>
            <w:vAlign w:val="center"/>
          </w:tcPr>
          <w:p w:rsidR="000C74AE" w:rsidRDefault="004B68E3">
            <w:pPr>
              <w:jc w:val="center"/>
            </w:pPr>
            <w:r>
              <w:rPr>
                <w:color w:val="000000"/>
                <w:sz w:val="24"/>
                <w:szCs w:val="24"/>
              </w:rPr>
              <w:t>300014</w:t>
            </w:r>
          </w:p>
        </w:tc>
        <w:tc>
          <w:tcPr>
            <w:tcW w:w="1777" w:type="dxa"/>
            <w:vAlign w:val="center"/>
          </w:tcPr>
          <w:p w:rsidR="000C74AE" w:rsidRDefault="004B68E3">
            <w:pPr>
              <w:jc w:val="center"/>
            </w:pPr>
            <w:r>
              <w:rPr>
                <w:color w:val="000000"/>
                <w:sz w:val="24"/>
                <w:szCs w:val="24"/>
              </w:rPr>
              <w:t>亿纬锂能</w:t>
            </w:r>
          </w:p>
        </w:tc>
        <w:tc>
          <w:tcPr>
            <w:tcW w:w="1334" w:type="dxa"/>
            <w:vAlign w:val="center"/>
          </w:tcPr>
          <w:p w:rsidR="000C74AE" w:rsidRDefault="004B68E3">
            <w:pPr>
              <w:jc w:val="right"/>
            </w:pPr>
            <w:r>
              <w:rPr>
                <w:color w:val="000000"/>
                <w:sz w:val="24"/>
                <w:szCs w:val="24"/>
              </w:rPr>
              <w:t>4,184,737</w:t>
            </w:r>
          </w:p>
        </w:tc>
        <w:tc>
          <w:tcPr>
            <w:tcW w:w="1924" w:type="dxa"/>
            <w:vAlign w:val="center"/>
          </w:tcPr>
          <w:p w:rsidR="000C74AE" w:rsidRDefault="004B68E3">
            <w:pPr>
              <w:jc w:val="right"/>
            </w:pPr>
            <w:r>
              <w:rPr>
                <w:color w:val="000000"/>
                <w:sz w:val="24"/>
                <w:szCs w:val="24"/>
              </w:rPr>
              <w:t>207,144,481.50</w:t>
            </w:r>
          </w:p>
        </w:tc>
        <w:tc>
          <w:tcPr>
            <w:tcW w:w="1644" w:type="dxa"/>
            <w:vAlign w:val="center"/>
          </w:tcPr>
          <w:p w:rsidR="000C74AE" w:rsidRDefault="004B68E3">
            <w:pPr>
              <w:jc w:val="right"/>
            </w:pPr>
            <w:r>
              <w:rPr>
                <w:color w:val="000000"/>
                <w:sz w:val="24"/>
                <w:szCs w:val="24"/>
              </w:rPr>
              <w:t>9.40</w:t>
            </w:r>
          </w:p>
        </w:tc>
      </w:tr>
      <w:tr w:rsidR="000C74AE">
        <w:trPr>
          <w:jc w:val="center"/>
        </w:trPr>
        <w:tc>
          <w:tcPr>
            <w:tcW w:w="855" w:type="dxa"/>
            <w:vAlign w:val="center"/>
          </w:tcPr>
          <w:p w:rsidR="000C74AE" w:rsidRDefault="004B68E3">
            <w:pPr>
              <w:jc w:val="center"/>
            </w:pPr>
            <w:r>
              <w:rPr>
                <w:color w:val="000000"/>
                <w:sz w:val="24"/>
                <w:szCs w:val="24"/>
              </w:rPr>
              <w:t>2</w:t>
            </w:r>
          </w:p>
        </w:tc>
        <w:tc>
          <w:tcPr>
            <w:tcW w:w="1334" w:type="dxa"/>
            <w:vAlign w:val="center"/>
          </w:tcPr>
          <w:p w:rsidR="000C74AE" w:rsidRDefault="004B68E3">
            <w:pPr>
              <w:jc w:val="center"/>
            </w:pPr>
            <w:r>
              <w:rPr>
                <w:color w:val="000000"/>
                <w:sz w:val="24"/>
                <w:szCs w:val="24"/>
              </w:rPr>
              <w:t>002049</w:t>
            </w:r>
          </w:p>
        </w:tc>
        <w:tc>
          <w:tcPr>
            <w:tcW w:w="1777" w:type="dxa"/>
            <w:vAlign w:val="center"/>
          </w:tcPr>
          <w:p w:rsidR="000C74AE" w:rsidRDefault="004B68E3">
            <w:pPr>
              <w:jc w:val="center"/>
            </w:pPr>
            <w:r>
              <w:rPr>
                <w:color w:val="000000"/>
                <w:sz w:val="24"/>
                <w:szCs w:val="24"/>
              </w:rPr>
              <w:t>紫光国微</w:t>
            </w:r>
          </w:p>
        </w:tc>
        <w:tc>
          <w:tcPr>
            <w:tcW w:w="1334" w:type="dxa"/>
            <w:vAlign w:val="center"/>
          </w:tcPr>
          <w:p w:rsidR="000C74AE" w:rsidRDefault="004B68E3">
            <w:pPr>
              <w:jc w:val="right"/>
            </w:pPr>
            <w:r>
              <w:rPr>
                <w:color w:val="000000"/>
                <w:sz w:val="24"/>
                <w:szCs w:val="24"/>
              </w:rPr>
              <w:t>1,740,933</w:t>
            </w:r>
          </w:p>
        </w:tc>
        <w:tc>
          <w:tcPr>
            <w:tcW w:w="1924" w:type="dxa"/>
            <w:vAlign w:val="center"/>
          </w:tcPr>
          <w:p w:rsidR="000C74AE" w:rsidRDefault="004B68E3">
            <w:pPr>
              <w:jc w:val="right"/>
            </w:pPr>
            <w:r>
              <w:rPr>
                <w:color w:val="000000"/>
                <w:sz w:val="24"/>
                <w:szCs w:val="24"/>
              </w:rPr>
              <w:t>206,788,021.74</w:t>
            </w:r>
          </w:p>
        </w:tc>
        <w:tc>
          <w:tcPr>
            <w:tcW w:w="1644" w:type="dxa"/>
            <w:vAlign w:val="center"/>
          </w:tcPr>
          <w:p w:rsidR="000C74AE" w:rsidRDefault="004B68E3">
            <w:pPr>
              <w:jc w:val="right"/>
            </w:pPr>
            <w:r>
              <w:rPr>
                <w:color w:val="000000"/>
                <w:sz w:val="24"/>
                <w:szCs w:val="24"/>
              </w:rPr>
              <w:t>9.38</w:t>
            </w:r>
          </w:p>
        </w:tc>
      </w:tr>
      <w:tr w:rsidR="000C74AE">
        <w:trPr>
          <w:jc w:val="center"/>
        </w:trPr>
        <w:tc>
          <w:tcPr>
            <w:tcW w:w="855" w:type="dxa"/>
            <w:vAlign w:val="center"/>
          </w:tcPr>
          <w:p w:rsidR="000C74AE" w:rsidRDefault="004B68E3">
            <w:pPr>
              <w:jc w:val="center"/>
            </w:pPr>
            <w:r>
              <w:rPr>
                <w:color w:val="000000"/>
                <w:sz w:val="24"/>
                <w:szCs w:val="24"/>
              </w:rPr>
              <w:t>3</w:t>
            </w:r>
          </w:p>
        </w:tc>
        <w:tc>
          <w:tcPr>
            <w:tcW w:w="1334" w:type="dxa"/>
            <w:vAlign w:val="center"/>
          </w:tcPr>
          <w:p w:rsidR="000C74AE" w:rsidRDefault="004B68E3">
            <w:pPr>
              <w:jc w:val="center"/>
            </w:pPr>
            <w:r>
              <w:rPr>
                <w:color w:val="000000"/>
                <w:sz w:val="24"/>
                <w:szCs w:val="24"/>
              </w:rPr>
              <w:t>002475</w:t>
            </w:r>
          </w:p>
        </w:tc>
        <w:tc>
          <w:tcPr>
            <w:tcW w:w="1777" w:type="dxa"/>
            <w:vAlign w:val="center"/>
          </w:tcPr>
          <w:p w:rsidR="000C74AE" w:rsidRDefault="004B68E3">
            <w:pPr>
              <w:jc w:val="center"/>
            </w:pPr>
            <w:r>
              <w:rPr>
                <w:color w:val="000000"/>
                <w:sz w:val="24"/>
                <w:szCs w:val="24"/>
              </w:rPr>
              <w:t>立讯精密</w:t>
            </w:r>
          </w:p>
        </w:tc>
        <w:tc>
          <w:tcPr>
            <w:tcW w:w="1334" w:type="dxa"/>
            <w:vAlign w:val="center"/>
          </w:tcPr>
          <w:p w:rsidR="000C74AE" w:rsidRDefault="004B68E3">
            <w:pPr>
              <w:jc w:val="right"/>
            </w:pPr>
            <w:r>
              <w:rPr>
                <w:color w:val="000000"/>
                <w:sz w:val="24"/>
                <w:szCs w:val="24"/>
              </w:rPr>
              <w:t>3,220,883</w:t>
            </w:r>
          </w:p>
        </w:tc>
        <w:tc>
          <w:tcPr>
            <w:tcW w:w="1924" w:type="dxa"/>
            <w:vAlign w:val="center"/>
          </w:tcPr>
          <w:p w:rsidR="000C74AE" w:rsidRDefault="004B68E3">
            <w:pPr>
              <w:jc w:val="right"/>
            </w:pPr>
            <w:r>
              <w:rPr>
                <w:color w:val="000000"/>
                <w:sz w:val="24"/>
                <w:szCs w:val="24"/>
              </w:rPr>
              <w:t>184,009,045.79</w:t>
            </w:r>
          </w:p>
        </w:tc>
        <w:tc>
          <w:tcPr>
            <w:tcW w:w="1644" w:type="dxa"/>
            <w:vAlign w:val="center"/>
          </w:tcPr>
          <w:p w:rsidR="000C74AE" w:rsidRDefault="004B68E3">
            <w:pPr>
              <w:jc w:val="right"/>
            </w:pPr>
            <w:r>
              <w:rPr>
                <w:color w:val="000000"/>
                <w:sz w:val="24"/>
                <w:szCs w:val="24"/>
              </w:rPr>
              <w:t>8.35</w:t>
            </w:r>
          </w:p>
        </w:tc>
      </w:tr>
      <w:tr w:rsidR="000C74AE">
        <w:trPr>
          <w:jc w:val="center"/>
        </w:trPr>
        <w:tc>
          <w:tcPr>
            <w:tcW w:w="855" w:type="dxa"/>
            <w:vAlign w:val="center"/>
          </w:tcPr>
          <w:p w:rsidR="000C74AE" w:rsidRDefault="004B68E3">
            <w:pPr>
              <w:jc w:val="center"/>
            </w:pPr>
            <w:r>
              <w:rPr>
                <w:color w:val="000000"/>
                <w:sz w:val="24"/>
                <w:szCs w:val="24"/>
              </w:rPr>
              <w:t>4</w:t>
            </w:r>
          </w:p>
        </w:tc>
        <w:tc>
          <w:tcPr>
            <w:tcW w:w="1334" w:type="dxa"/>
            <w:vAlign w:val="center"/>
          </w:tcPr>
          <w:p w:rsidR="000C74AE" w:rsidRDefault="004B68E3">
            <w:pPr>
              <w:jc w:val="center"/>
            </w:pPr>
            <w:r>
              <w:rPr>
                <w:color w:val="000000"/>
                <w:sz w:val="24"/>
                <w:szCs w:val="24"/>
              </w:rPr>
              <w:t>600048</w:t>
            </w:r>
          </w:p>
        </w:tc>
        <w:tc>
          <w:tcPr>
            <w:tcW w:w="1777" w:type="dxa"/>
            <w:vAlign w:val="center"/>
          </w:tcPr>
          <w:p w:rsidR="000C74AE" w:rsidRDefault="004B68E3">
            <w:pPr>
              <w:jc w:val="center"/>
            </w:pPr>
            <w:r>
              <w:rPr>
                <w:color w:val="000000"/>
                <w:sz w:val="24"/>
                <w:szCs w:val="24"/>
              </w:rPr>
              <w:t>保利地产</w:t>
            </w:r>
          </w:p>
        </w:tc>
        <w:tc>
          <w:tcPr>
            <w:tcW w:w="1334" w:type="dxa"/>
            <w:vAlign w:val="center"/>
          </w:tcPr>
          <w:p w:rsidR="000C74AE" w:rsidRDefault="004B68E3">
            <w:pPr>
              <w:jc w:val="right"/>
            </w:pPr>
            <w:r>
              <w:rPr>
                <w:color w:val="000000"/>
                <w:sz w:val="24"/>
                <w:szCs w:val="24"/>
              </w:rPr>
              <w:t>10,698,191</w:t>
            </w:r>
          </w:p>
        </w:tc>
        <w:tc>
          <w:tcPr>
            <w:tcW w:w="1924" w:type="dxa"/>
            <w:vAlign w:val="center"/>
          </w:tcPr>
          <w:p w:rsidR="000C74AE" w:rsidRDefault="004B68E3">
            <w:pPr>
              <w:jc w:val="right"/>
            </w:pPr>
            <w:r>
              <w:rPr>
                <w:color w:val="000000"/>
                <w:sz w:val="24"/>
                <w:szCs w:val="24"/>
              </w:rPr>
              <w:t>169,994,254.99</w:t>
            </w:r>
          </w:p>
        </w:tc>
        <w:tc>
          <w:tcPr>
            <w:tcW w:w="1644" w:type="dxa"/>
            <w:vAlign w:val="center"/>
          </w:tcPr>
          <w:p w:rsidR="000C74AE" w:rsidRDefault="004B68E3">
            <w:pPr>
              <w:jc w:val="right"/>
            </w:pPr>
            <w:r>
              <w:rPr>
                <w:color w:val="000000"/>
                <w:sz w:val="24"/>
                <w:szCs w:val="24"/>
              </w:rPr>
              <w:t>7.71</w:t>
            </w:r>
          </w:p>
        </w:tc>
      </w:tr>
      <w:tr w:rsidR="000C74AE">
        <w:trPr>
          <w:jc w:val="center"/>
        </w:trPr>
        <w:tc>
          <w:tcPr>
            <w:tcW w:w="855" w:type="dxa"/>
            <w:vAlign w:val="center"/>
          </w:tcPr>
          <w:p w:rsidR="000C74AE" w:rsidRDefault="004B68E3">
            <w:pPr>
              <w:jc w:val="center"/>
            </w:pPr>
            <w:r>
              <w:rPr>
                <w:color w:val="000000"/>
                <w:sz w:val="24"/>
                <w:szCs w:val="24"/>
              </w:rPr>
              <w:t>5</w:t>
            </w:r>
          </w:p>
        </w:tc>
        <w:tc>
          <w:tcPr>
            <w:tcW w:w="1334" w:type="dxa"/>
            <w:vAlign w:val="center"/>
          </w:tcPr>
          <w:p w:rsidR="000C74AE" w:rsidRDefault="004B68E3">
            <w:pPr>
              <w:jc w:val="center"/>
            </w:pPr>
            <w:r>
              <w:rPr>
                <w:color w:val="000000"/>
                <w:sz w:val="24"/>
                <w:szCs w:val="24"/>
              </w:rPr>
              <w:t>002271</w:t>
            </w:r>
          </w:p>
        </w:tc>
        <w:tc>
          <w:tcPr>
            <w:tcW w:w="1777" w:type="dxa"/>
            <w:vAlign w:val="center"/>
          </w:tcPr>
          <w:p w:rsidR="000C74AE" w:rsidRDefault="004B68E3">
            <w:pPr>
              <w:jc w:val="center"/>
            </w:pPr>
            <w:r>
              <w:rPr>
                <w:color w:val="000000"/>
                <w:sz w:val="24"/>
                <w:szCs w:val="24"/>
              </w:rPr>
              <w:t>东方雨虹</w:t>
            </w:r>
          </w:p>
        </w:tc>
        <w:tc>
          <w:tcPr>
            <w:tcW w:w="1334" w:type="dxa"/>
            <w:vAlign w:val="center"/>
          </w:tcPr>
          <w:p w:rsidR="000C74AE" w:rsidRDefault="004B68E3">
            <w:pPr>
              <w:jc w:val="right"/>
            </w:pPr>
            <w:r>
              <w:rPr>
                <w:color w:val="000000"/>
                <w:sz w:val="24"/>
                <w:szCs w:val="24"/>
              </w:rPr>
              <w:t>2,385,217</w:t>
            </w:r>
          </w:p>
        </w:tc>
        <w:tc>
          <w:tcPr>
            <w:tcW w:w="1924" w:type="dxa"/>
            <w:vAlign w:val="center"/>
          </w:tcPr>
          <w:p w:rsidR="000C74AE" w:rsidRDefault="004B68E3">
            <w:pPr>
              <w:jc w:val="right"/>
            </w:pPr>
            <w:r>
              <w:rPr>
                <w:color w:val="000000"/>
                <w:sz w:val="24"/>
                <w:szCs w:val="24"/>
              </w:rPr>
              <w:t>128,563,196.30</w:t>
            </w:r>
          </w:p>
        </w:tc>
        <w:tc>
          <w:tcPr>
            <w:tcW w:w="1644" w:type="dxa"/>
            <w:vAlign w:val="center"/>
          </w:tcPr>
          <w:p w:rsidR="000C74AE" w:rsidRDefault="004B68E3">
            <w:pPr>
              <w:jc w:val="right"/>
            </w:pPr>
            <w:r>
              <w:rPr>
                <w:color w:val="000000"/>
                <w:sz w:val="24"/>
                <w:szCs w:val="24"/>
              </w:rPr>
              <w:t>5.83</w:t>
            </w:r>
          </w:p>
        </w:tc>
      </w:tr>
      <w:tr w:rsidR="000C74AE">
        <w:trPr>
          <w:jc w:val="center"/>
        </w:trPr>
        <w:tc>
          <w:tcPr>
            <w:tcW w:w="855" w:type="dxa"/>
            <w:vAlign w:val="center"/>
          </w:tcPr>
          <w:p w:rsidR="000C74AE" w:rsidRDefault="004B68E3">
            <w:pPr>
              <w:jc w:val="center"/>
            </w:pPr>
            <w:r>
              <w:rPr>
                <w:color w:val="000000"/>
                <w:sz w:val="24"/>
                <w:szCs w:val="24"/>
              </w:rPr>
              <w:t>6</w:t>
            </w:r>
          </w:p>
        </w:tc>
        <w:tc>
          <w:tcPr>
            <w:tcW w:w="1334" w:type="dxa"/>
            <w:vAlign w:val="center"/>
          </w:tcPr>
          <w:p w:rsidR="000C74AE" w:rsidRDefault="004B68E3">
            <w:pPr>
              <w:jc w:val="center"/>
            </w:pPr>
            <w:r>
              <w:rPr>
                <w:color w:val="000000"/>
                <w:sz w:val="24"/>
                <w:szCs w:val="24"/>
              </w:rPr>
              <w:t>002179</w:t>
            </w:r>
          </w:p>
        </w:tc>
        <w:tc>
          <w:tcPr>
            <w:tcW w:w="1777" w:type="dxa"/>
            <w:vAlign w:val="center"/>
          </w:tcPr>
          <w:p w:rsidR="000C74AE" w:rsidRDefault="004B68E3">
            <w:pPr>
              <w:jc w:val="center"/>
            </w:pPr>
            <w:r>
              <w:rPr>
                <w:color w:val="000000"/>
                <w:sz w:val="24"/>
                <w:szCs w:val="24"/>
              </w:rPr>
              <w:t>中航光电</w:t>
            </w:r>
          </w:p>
        </w:tc>
        <w:tc>
          <w:tcPr>
            <w:tcW w:w="1334" w:type="dxa"/>
            <w:vAlign w:val="center"/>
          </w:tcPr>
          <w:p w:rsidR="000C74AE" w:rsidRDefault="004B68E3">
            <w:pPr>
              <w:jc w:val="right"/>
            </w:pPr>
            <w:r>
              <w:rPr>
                <w:color w:val="000000"/>
                <w:sz w:val="24"/>
                <w:szCs w:val="24"/>
              </w:rPr>
              <w:t>2,072,900</w:t>
            </w:r>
          </w:p>
        </w:tc>
        <w:tc>
          <w:tcPr>
            <w:tcW w:w="1924" w:type="dxa"/>
            <w:vAlign w:val="center"/>
          </w:tcPr>
          <w:p w:rsidR="000C74AE" w:rsidRDefault="004B68E3">
            <w:pPr>
              <w:jc w:val="right"/>
            </w:pPr>
            <w:r>
              <w:rPr>
                <w:color w:val="000000"/>
                <w:sz w:val="24"/>
                <w:szCs w:val="24"/>
              </w:rPr>
              <w:t>95,975,270.00</w:t>
            </w:r>
          </w:p>
        </w:tc>
        <w:tc>
          <w:tcPr>
            <w:tcW w:w="1644" w:type="dxa"/>
            <w:vAlign w:val="center"/>
          </w:tcPr>
          <w:p w:rsidR="000C74AE" w:rsidRDefault="004B68E3">
            <w:pPr>
              <w:jc w:val="right"/>
            </w:pPr>
            <w:r>
              <w:rPr>
                <w:color w:val="000000"/>
                <w:sz w:val="24"/>
                <w:szCs w:val="24"/>
              </w:rPr>
              <w:t>4.36</w:t>
            </w:r>
          </w:p>
        </w:tc>
      </w:tr>
      <w:tr w:rsidR="000C74AE">
        <w:trPr>
          <w:jc w:val="center"/>
        </w:trPr>
        <w:tc>
          <w:tcPr>
            <w:tcW w:w="855" w:type="dxa"/>
            <w:vAlign w:val="center"/>
          </w:tcPr>
          <w:p w:rsidR="000C74AE" w:rsidRDefault="004B68E3">
            <w:pPr>
              <w:jc w:val="center"/>
            </w:pPr>
            <w:r>
              <w:rPr>
                <w:color w:val="000000"/>
                <w:sz w:val="24"/>
                <w:szCs w:val="24"/>
              </w:rPr>
              <w:t>7</w:t>
            </w:r>
          </w:p>
        </w:tc>
        <w:tc>
          <w:tcPr>
            <w:tcW w:w="1334" w:type="dxa"/>
            <w:vAlign w:val="center"/>
          </w:tcPr>
          <w:p w:rsidR="000C74AE" w:rsidRDefault="004B68E3">
            <w:pPr>
              <w:jc w:val="center"/>
            </w:pPr>
            <w:r>
              <w:rPr>
                <w:color w:val="000000"/>
                <w:sz w:val="24"/>
                <w:szCs w:val="24"/>
              </w:rPr>
              <w:t>601155</w:t>
            </w:r>
          </w:p>
        </w:tc>
        <w:tc>
          <w:tcPr>
            <w:tcW w:w="1777" w:type="dxa"/>
            <w:vAlign w:val="center"/>
          </w:tcPr>
          <w:p w:rsidR="000C74AE" w:rsidRDefault="004B68E3">
            <w:pPr>
              <w:jc w:val="center"/>
            </w:pPr>
            <w:r>
              <w:rPr>
                <w:color w:val="000000"/>
                <w:sz w:val="24"/>
                <w:szCs w:val="24"/>
              </w:rPr>
              <w:t>新城控股</w:t>
            </w:r>
          </w:p>
        </w:tc>
        <w:tc>
          <w:tcPr>
            <w:tcW w:w="1334" w:type="dxa"/>
            <w:vAlign w:val="center"/>
          </w:tcPr>
          <w:p w:rsidR="000C74AE" w:rsidRDefault="004B68E3">
            <w:pPr>
              <w:jc w:val="right"/>
            </w:pPr>
            <w:r>
              <w:rPr>
                <w:color w:val="000000"/>
                <w:sz w:val="24"/>
                <w:szCs w:val="24"/>
              </w:rPr>
              <w:t>1,983,991</w:t>
            </w:r>
          </w:p>
        </w:tc>
        <w:tc>
          <w:tcPr>
            <w:tcW w:w="1924" w:type="dxa"/>
            <w:vAlign w:val="center"/>
          </w:tcPr>
          <w:p w:rsidR="000C74AE" w:rsidRDefault="004B68E3">
            <w:pPr>
              <w:jc w:val="right"/>
            </w:pPr>
            <w:r>
              <w:rPr>
                <w:color w:val="000000"/>
                <w:sz w:val="24"/>
                <w:szCs w:val="24"/>
              </w:rPr>
              <w:t>69,360,325.36</w:t>
            </w:r>
          </w:p>
        </w:tc>
        <w:tc>
          <w:tcPr>
            <w:tcW w:w="1644" w:type="dxa"/>
            <w:vAlign w:val="center"/>
          </w:tcPr>
          <w:p w:rsidR="000C74AE" w:rsidRDefault="004B68E3">
            <w:pPr>
              <w:jc w:val="right"/>
            </w:pPr>
            <w:r>
              <w:rPr>
                <w:color w:val="000000"/>
                <w:sz w:val="24"/>
                <w:szCs w:val="24"/>
              </w:rPr>
              <w:t>3.15</w:t>
            </w:r>
          </w:p>
        </w:tc>
      </w:tr>
      <w:tr w:rsidR="000C74AE">
        <w:trPr>
          <w:jc w:val="center"/>
        </w:trPr>
        <w:tc>
          <w:tcPr>
            <w:tcW w:w="855" w:type="dxa"/>
            <w:vAlign w:val="center"/>
          </w:tcPr>
          <w:p w:rsidR="000C74AE" w:rsidRDefault="004B68E3">
            <w:pPr>
              <w:jc w:val="center"/>
            </w:pPr>
            <w:r>
              <w:rPr>
                <w:color w:val="000000"/>
                <w:sz w:val="24"/>
                <w:szCs w:val="24"/>
              </w:rPr>
              <w:t>8</w:t>
            </w:r>
          </w:p>
        </w:tc>
        <w:tc>
          <w:tcPr>
            <w:tcW w:w="1334" w:type="dxa"/>
            <w:vAlign w:val="center"/>
          </w:tcPr>
          <w:p w:rsidR="000C74AE" w:rsidRDefault="004B68E3">
            <w:pPr>
              <w:jc w:val="center"/>
            </w:pPr>
            <w:r>
              <w:rPr>
                <w:color w:val="000000"/>
                <w:sz w:val="24"/>
                <w:szCs w:val="24"/>
              </w:rPr>
              <w:t>002444</w:t>
            </w:r>
          </w:p>
        </w:tc>
        <w:tc>
          <w:tcPr>
            <w:tcW w:w="1777" w:type="dxa"/>
            <w:vAlign w:val="center"/>
          </w:tcPr>
          <w:p w:rsidR="000C74AE" w:rsidRDefault="004B68E3">
            <w:pPr>
              <w:jc w:val="center"/>
            </w:pPr>
            <w:r>
              <w:rPr>
                <w:color w:val="000000"/>
                <w:sz w:val="24"/>
                <w:szCs w:val="24"/>
              </w:rPr>
              <w:t>巨星科技</w:t>
            </w:r>
          </w:p>
        </w:tc>
        <w:tc>
          <w:tcPr>
            <w:tcW w:w="1334" w:type="dxa"/>
            <w:vAlign w:val="center"/>
          </w:tcPr>
          <w:p w:rsidR="000C74AE" w:rsidRDefault="004B68E3">
            <w:pPr>
              <w:jc w:val="right"/>
            </w:pPr>
            <w:r>
              <w:rPr>
                <w:color w:val="000000"/>
                <w:sz w:val="24"/>
                <w:szCs w:val="24"/>
              </w:rPr>
              <w:t>3,400,401</w:t>
            </w:r>
          </w:p>
        </w:tc>
        <w:tc>
          <w:tcPr>
            <w:tcW w:w="1924" w:type="dxa"/>
            <w:vAlign w:val="center"/>
          </w:tcPr>
          <w:p w:rsidR="000C74AE" w:rsidRDefault="004B68E3">
            <w:pPr>
              <w:jc w:val="right"/>
            </w:pPr>
            <w:r>
              <w:rPr>
                <w:color w:val="000000"/>
                <w:sz w:val="24"/>
                <w:szCs w:val="24"/>
              </w:rPr>
              <w:t>67,259,931.78</w:t>
            </w:r>
          </w:p>
        </w:tc>
        <w:tc>
          <w:tcPr>
            <w:tcW w:w="1644" w:type="dxa"/>
            <w:vAlign w:val="center"/>
          </w:tcPr>
          <w:p w:rsidR="000C74AE" w:rsidRDefault="004B68E3">
            <w:pPr>
              <w:jc w:val="right"/>
            </w:pPr>
            <w:r>
              <w:rPr>
                <w:color w:val="000000"/>
                <w:sz w:val="24"/>
                <w:szCs w:val="24"/>
              </w:rPr>
              <w:t>3.05</w:t>
            </w:r>
          </w:p>
        </w:tc>
      </w:tr>
      <w:tr w:rsidR="000C74AE">
        <w:trPr>
          <w:jc w:val="center"/>
        </w:trPr>
        <w:tc>
          <w:tcPr>
            <w:tcW w:w="855" w:type="dxa"/>
            <w:vAlign w:val="center"/>
          </w:tcPr>
          <w:p w:rsidR="000C74AE" w:rsidRDefault="004B68E3">
            <w:pPr>
              <w:jc w:val="center"/>
            </w:pPr>
            <w:r>
              <w:rPr>
                <w:color w:val="000000"/>
                <w:sz w:val="24"/>
                <w:szCs w:val="24"/>
              </w:rPr>
              <w:t>9</w:t>
            </w:r>
          </w:p>
        </w:tc>
        <w:tc>
          <w:tcPr>
            <w:tcW w:w="1334" w:type="dxa"/>
            <w:vAlign w:val="center"/>
          </w:tcPr>
          <w:p w:rsidR="000C74AE" w:rsidRDefault="004B68E3">
            <w:pPr>
              <w:jc w:val="center"/>
            </w:pPr>
            <w:r>
              <w:rPr>
                <w:color w:val="000000"/>
                <w:sz w:val="24"/>
                <w:szCs w:val="24"/>
              </w:rPr>
              <w:t>601038</w:t>
            </w:r>
          </w:p>
        </w:tc>
        <w:tc>
          <w:tcPr>
            <w:tcW w:w="1777" w:type="dxa"/>
            <w:vAlign w:val="center"/>
          </w:tcPr>
          <w:p w:rsidR="000C74AE" w:rsidRDefault="004B68E3">
            <w:pPr>
              <w:jc w:val="center"/>
            </w:pPr>
            <w:r>
              <w:rPr>
                <w:color w:val="000000"/>
                <w:sz w:val="24"/>
                <w:szCs w:val="24"/>
              </w:rPr>
              <w:t>一拖股份</w:t>
            </w:r>
          </w:p>
        </w:tc>
        <w:tc>
          <w:tcPr>
            <w:tcW w:w="1334" w:type="dxa"/>
            <w:vAlign w:val="center"/>
          </w:tcPr>
          <w:p w:rsidR="000C74AE" w:rsidRDefault="004B68E3">
            <w:pPr>
              <w:jc w:val="right"/>
            </w:pPr>
            <w:r>
              <w:rPr>
                <w:color w:val="000000"/>
                <w:sz w:val="24"/>
                <w:szCs w:val="24"/>
              </w:rPr>
              <w:t>6,008,310</w:t>
            </w:r>
          </w:p>
        </w:tc>
        <w:tc>
          <w:tcPr>
            <w:tcW w:w="1924" w:type="dxa"/>
            <w:vAlign w:val="center"/>
          </w:tcPr>
          <w:p w:rsidR="000C74AE" w:rsidRDefault="004B68E3">
            <w:pPr>
              <w:jc w:val="right"/>
            </w:pPr>
            <w:r>
              <w:rPr>
                <w:color w:val="000000"/>
                <w:sz w:val="24"/>
                <w:szCs w:val="24"/>
              </w:rPr>
              <w:t>67,052,739.60</w:t>
            </w:r>
          </w:p>
        </w:tc>
        <w:tc>
          <w:tcPr>
            <w:tcW w:w="1644" w:type="dxa"/>
            <w:vAlign w:val="center"/>
          </w:tcPr>
          <w:p w:rsidR="000C74AE" w:rsidRDefault="004B68E3">
            <w:pPr>
              <w:jc w:val="right"/>
            </w:pPr>
            <w:r>
              <w:rPr>
                <w:color w:val="000000"/>
                <w:sz w:val="24"/>
                <w:szCs w:val="24"/>
              </w:rPr>
              <w:t>3.04</w:t>
            </w:r>
          </w:p>
        </w:tc>
      </w:tr>
      <w:tr w:rsidR="000C74AE">
        <w:trPr>
          <w:jc w:val="center"/>
        </w:trPr>
        <w:tc>
          <w:tcPr>
            <w:tcW w:w="855" w:type="dxa"/>
            <w:vAlign w:val="center"/>
          </w:tcPr>
          <w:p w:rsidR="000C74AE" w:rsidRDefault="004B68E3">
            <w:pPr>
              <w:jc w:val="center"/>
            </w:pPr>
            <w:r>
              <w:rPr>
                <w:color w:val="000000"/>
                <w:sz w:val="24"/>
                <w:szCs w:val="24"/>
              </w:rPr>
              <w:t>10</w:t>
            </w:r>
          </w:p>
        </w:tc>
        <w:tc>
          <w:tcPr>
            <w:tcW w:w="1334" w:type="dxa"/>
            <w:vAlign w:val="center"/>
          </w:tcPr>
          <w:p w:rsidR="000C74AE" w:rsidRDefault="004B68E3">
            <w:pPr>
              <w:jc w:val="center"/>
            </w:pPr>
            <w:r>
              <w:rPr>
                <w:color w:val="000000"/>
                <w:sz w:val="24"/>
                <w:szCs w:val="24"/>
              </w:rPr>
              <w:t>600223</w:t>
            </w:r>
          </w:p>
        </w:tc>
        <w:tc>
          <w:tcPr>
            <w:tcW w:w="1777" w:type="dxa"/>
            <w:vAlign w:val="center"/>
          </w:tcPr>
          <w:p w:rsidR="000C74AE" w:rsidRDefault="004B68E3">
            <w:pPr>
              <w:jc w:val="center"/>
            </w:pPr>
            <w:r>
              <w:rPr>
                <w:color w:val="000000"/>
                <w:sz w:val="24"/>
                <w:szCs w:val="24"/>
              </w:rPr>
              <w:t>鲁商发展</w:t>
            </w:r>
          </w:p>
        </w:tc>
        <w:tc>
          <w:tcPr>
            <w:tcW w:w="1334" w:type="dxa"/>
            <w:vAlign w:val="center"/>
          </w:tcPr>
          <w:p w:rsidR="000C74AE" w:rsidRDefault="004B68E3">
            <w:pPr>
              <w:jc w:val="right"/>
            </w:pPr>
            <w:r>
              <w:rPr>
                <w:color w:val="000000"/>
                <w:sz w:val="24"/>
                <w:szCs w:val="24"/>
              </w:rPr>
              <w:t>6,081,750</w:t>
            </w:r>
          </w:p>
        </w:tc>
        <w:tc>
          <w:tcPr>
            <w:tcW w:w="1924" w:type="dxa"/>
            <w:vAlign w:val="center"/>
          </w:tcPr>
          <w:p w:rsidR="000C74AE" w:rsidRDefault="004B68E3">
            <w:pPr>
              <w:jc w:val="right"/>
            </w:pPr>
            <w:r>
              <w:rPr>
                <w:color w:val="000000"/>
                <w:sz w:val="24"/>
                <w:szCs w:val="24"/>
              </w:rPr>
              <w:t>58,749,705.00</w:t>
            </w:r>
          </w:p>
        </w:tc>
        <w:tc>
          <w:tcPr>
            <w:tcW w:w="1644" w:type="dxa"/>
            <w:vAlign w:val="center"/>
          </w:tcPr>
          <w:p w:rsidR="000C74AE" w:rsidRDefault="004B68E3">
            <w:pPr>
              <w:jc w:val="right"/>
            </w:pPr>
            <w:r>
              <w:rPr>
                <w:color w:val="000000"/>
                <w:sz w:val="24"/>
                <w:szCs w:val="24"/>
              </w:rPr>
              <w:t>2.67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724,167.67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25,495.34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3,373,720.21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4,123,383.22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1,090,875,826.99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435,203,409.53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496,454,732.78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1,029,624,503.74</w:t>
            </w:r>
          </w:p>
        </w:tc>
      </w:tr>
    </w:tbl>
    <w:p w:rsidR="000C74AE" w:rsidRDefault="004B68E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C74AE" w:rsidRDefault="004B68E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C74AE" w:rsidRDefault="004B68E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C74AE" w:rsidRDefault="004B68E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w:t>
      </w:r>
      <w:r>
        <w:rPr>
          <w:color w:val="000000"/>
          <w:sz w:val="24"/>
          <w:szCs w:val="24"/>
        </w:rPr>
        <w:t>.fund001.com)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B68E3">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B68E3">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C74AE"/>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B68E3"/>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0518-07ED-4451-AB03-FDE9A6E3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11</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2020-10-26T02:47:00Z</dcterms:modified>
</cp:coreProperties>
</file>