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浙商银行股份有限公司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基金托管人浙商银行股份有限公司根据本基金合同规定，于2020年10月27日复核了本报告中的财务指标、净值表现和投资组合报告等内容，保证复核内容不存在虚假记载、误导性陈述或者重大遗漏。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2,909,327,580.80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交银裕如纯债债券A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交银裕如纯债债券C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005972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005973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2,909,327,580.80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注：本基金C类份额为0。</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交银裕如纯债债券A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交银裕如纯债债券C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18,651,347.29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-29,442,331.18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-0.0079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2,972,212,023.10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1.0216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1.0000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3、本基金C类份额为0。</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交银裕如纯债债券A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-0.54%</w:t>
            </w:r>
          </w:p>
        </w:tc>
        <w:tc>
          <w:tcPr>
            <w:vAlign w:val="center"/>
          </w:tcPr>
          <w:p>
            <w:pPr>
              <w:jc w:val="center"/>
            </w:pPr>
            <w:r>
              <w:rPr>
                <w:color w:val="000000"/>
                <w:sz w:val="24"/>
              </w:rPr>
              <w:t>0.09%</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0.94%</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-0.99%</w:t>
            </w:r>
          </w:p>
        </w:tc>
        <w:tc>
          <w:tcPr>
            <w:vAlign w:val="center"/>
          </w:tcPr>
          <w:p>
            <w:pPr>
              <w:jc w:val="center"/>
            </w:pPr>
            <w:r>
              <w:rPr>
                <w:color w:val="000000"/>
                <w:sz w:val="24"/>
              </w:rPr>
              <w:t>0.13%</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1.51%</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2.22%</w:t>
            </w:r>
          </w:p>
        </w:tc>
        <w:tc>
          <w:tcPr>
            <w:vAlign w:val="center"/>
          </w:tcPr>
          <w:p>
            <w:pPr>
              <w:jc w:val="center"/>
            </w:pPr>
            <w:r>
              <w:rPr>
                <w:color w:val="000000"/>
                <w:sz w:val="24"/>
              </w:rPr>
              <w:t>0.10%</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2.30%</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9.32%</w:t>
            </w:r>
          </w:p>
        </w:tc>
        <w:tc>
          <w:tcPr>
            <w:vAlign w:val="center"/>
          </w:tcPr>
          <w:p>
            <w:pPr>
              <w:jc w:val="center"/>
            </w:pPr>
            <w:r>
              <w:rPr>
                <w:color w:val="000000"/>
                <w:sz w:val="24"/>
              </w:rPr>
              <w:t>0.08%</w:t>
            </w:r>
          </w:p>
        </w:tc>
        <w:tc>
          <w:tcPr>
            <w:vAlign w:val="center"/>
          </w:tcPr>
          <w:p>
            <w:pPr>
              <w:jc w:val="center"/>
            </w:pPr>
            <w:r>
              <w:rPr>
                <w:color w:val="000000"/>
                <w:sz w:val="24"/>
              </w:rPr>
              <w:t>3.59%</w:t>
            </w:r>
          </w:p>
        </w:tc>
        <w:tc>
          <w:tcPr>
            <w:vAlign w:val="center"/>
          </w:tcPr>
          <w:p>
            <w:pPr>
              <w:jc w:val="center"/>
            </w:pPr>
            <w:r>
              <w:rPr>
                <w:color w:val="000000"/>
                <w:sz w:val="24"/>
              </w:rPr>
              <w:t>0.07%</w:t>
            </w:r>
          </w:p>
        </w:tc>
        <w:tc>
          <w:tcPr>
            <w:vAlign w:val="center"/>
          </w:tcPr>
          <w:p>
            <w:pPr>
              <w:jc w:val="center"/>
            </w:pPr>
            <w:r>
              <w:rPr>
                <w:color w:val="000000"/>
                <w:sz w:val="24"/>
              </w:rPr>
              <w:t>5.73%</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交银裕如纯债债券C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过去六个月</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过去一年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自基金合同生效至今</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交银施罗德裕如纯债债券型证券投资基金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2018年5月25日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交银裕如纯债债券C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注：本基金C类份额为0。</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2018-05-25</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回顾2020年三季度，债券收益率整体呈现震荡上行的趋势，从宏观数据来看，经济基本面走势在疫情之后出现了一定回暖态势，而在这种情况下，公开市场操作也进行了相应的节奏调整，在这种情况下，经济复苏预期下叠加货币政策回归中性，资金面呈现出阶段性紧张局面，债券市场弱势震荡。具体来看，本季度初，央行公开市场操作持续净回笼传递货币政策偏紧预期，一级市场供给压力导致市场供需问题明显，债券市场延续弱势调整。季度中期，债市在配置资金和避险情绪催化下开启一波反弹行情。进入季度末，在超储率低位的情况下，并受到假期因素的影响，资金面持续维持平衡偏紧格局，存单发行利率不断上行，带动曲线平坦化上行，考虑到票息因素，中短久期信用债配置需求恢复较好。</w:t>
      </w:r>
    </w:p>
    <w:p>
      <w:pPr>
        <w:spacing w:before="29" w:line="288" w:lineRule="auto"/>
        <w:ind w:firstLine="480" w:firstLineChars="200"/>
        <w:rPr>
          <w:color w:val="000000"/>
          <w:sz w:val="24"/>
        </w:rPr>
      </w:pPr>
      <w:r>
        <w:rPr>
          <w:color w:val="000000"/>
          <w:sz w:val="24"/>
        </w:rPr>
        <w:t>报告期内，基于对宏观经济的判断，结合市场收益率曲线形态变动调整了组合久期配置，组合适度降低了久期，并以中短期利率债为主要配置，通过久期选择和精选个券，为组合增厚收益。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升，债券市场或存在波段交易机会。操作策略方面，本基金将继续关注市场情况，整体上控制组合就久期，根据曲线形态，适时进行组合个券调仓，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本基金本报告期内曾连续二十个工作日以上出现基金份额持有人数量不满200人的情形，截至本报告期末，本基金基金份额持有人数量已高于200人。</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3,571,897,000.00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3,571,897,000.00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1,756,160.60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58,062,619.57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3,631,715,780.17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3,571,897,000.00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120.18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3,571,897,000.00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120.18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3,571,897,000.00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120.18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190202</w:t>
            </w:r>
          </w:p>
        </w:tc>
        <w:tc>
          <w:tcPr>
            <w:vAlign w:val="center"/>
          </w:tcPr>
          <w:p>
            <w:pPr>
              <w:jc w:val="center"/>
            </w:pPr>
            <w:r>
              <w:rPr>
                <w:color w:val="000000"/>
                <w:sz w:val="24"/>
              </w:rPr>
              <w:t>19国开02</w:t>
            </w:r>
          </w:p>
        </w:tc>
        <w:tc>
          <w:tcPr>
            <w:vAlign w:val="center"/>
          </w:tcPr>
          <w:p>
            <w:pPr>
              <w:jc w:val="right"/>
            </w:pPr>
            <w:r>
              <w:rPr>
                <w:color w:val="000000"/>
                <w:sz w:val="24"/>
              </w:rPr>
              <w:t>8,300,000</w:t>
            </w:r>
          </w:p>
        </w:tc>
        <w:tc>
          <w:tcPr>
            <w:vAlign w:val="center"/>
          </w:tcPr>
          <w:p>
            <w:pPr>
              <w:jc w:val="right"/>
            </w:pPr>
            <w:r>
              <w:rPr>
                <w:color w:val="000000"/>
                <w:sz w:val="24"/>
              </w:rPr>
              <w:t>830,664,000.00</w:t>
            </w:r>
          </w:p>
        </w:tc>
        <w:tc>
          <w:tcPr>
            <w:vAlign w:val="center"/>
          </w:tcPr>
          <w:p>
            <w:pPr>
              <w:jc w:val="right"/>
            </w:pPr>
            <w:r>
              <w:rPr>
                <w:color w:val="000000"/>
                <w:sz w:val="24"/>
              </w:rPr>
              <w:t>27.95</w:t>
            </w:r>
          </w:p>
        </w:tc>
      </w:tr>
      <w:tr>
        <w:tc>
          <w:tcPr>
            <w:vAlign w:val="center"/>
          </w:tcPr>
          <w:p>
            <w:pPr>
              <w:jc w:val="center"/>
            </w:pPr>
            <w:r>
              <w:rPr>
                <w:color w:val="000000"/>
                <w:sz w:val="24"/>
              </w:rPr>
              <w:t>2</w:t>
            </w:r>
          </w:p>
        </w:tc>
        <w:tc>
          <w:tcPr>
            <w:vAlign w:val="center"/>
          </w:tcPr>
          <w:p>
            <w:pPr>
              <w:jc w:val="center"/>
            </w:pPr>
            <w:r>
              <w:rPr>
                <w:color w:val="000000"/>
                <w:sz w:val="24"/>
              </w:rPr>
              <w:t>190207</w:t>
            </w:r>
          </w:p>
        </w:tc>
        <w:tc>
          <w:tcPr>
            <w:vAlign w:val="center"/>
          </w:tcPr>
          <w:p>
            <w:pPr>
              <w:jc w:val="center"/>
            </w:pPr>
            <w:r>
              <w:rPr>
                <w:color w:val="000000"/>
                <w:sz w:val="24"/>
              </w:rPr>
              <w:t>19国开07</w:t>
            </w:r>
          </w:p>
        </w:tc>
        <w:tc>
          <w:tcPr>
            <w:vAlign w:val="center"/>
          </w:tcPr>
          <w:p>
            <w:pPr>
              <w:jc w:val="right"/>
            </w:pPr>
            <w:r>
              <w:rPr>
                <w:color w:val="000000"/>
                <w:sz w:val="24"/>
              </w:rPr>
              <w:t>8,000,000</w:t>
            </w:r>
          </w:p>
        </w:tc>
        <w:tc>
          <w:tcPr>
            <w:vAlign w:val="center"/>
          </w:tcPr>
          <w:p>
            <w:pPr>
              <w:jc w:val="right"/>
            </w:pPr>
            <w:r>
              <w:rPr>
                <w:color w:val="000000"/>
                <w:sz w:val="24"/>
              </w:rPr>
              <w:t>800,240,000.00</w:t>
            </w:r>
          </w:p>
        </w:tc>
        <w:tc>
          <w:tcPr>
            <w:vAlign w:val="center"/>
          </w:tcPr>
          <w:p>
            <w:pPr>
              <w:jc w:val="right"/>
            </w:pPr>
            <w:r>
              <w:rPr>
                <w:color w:val="000000"/>
                <w:sz w:val="24"/>
              </w:rPr>
              <w:t>26.92</w:t>
            </w:r>
          </w:p>
        </w:tc>
      </w:tr>
      <w:tr>
        <w:tc>
          <w:tcPr>
            <w:vAlign w:val="center"/>
          </w:tcPr>
          <w:p>
            <w:pPr>
              <w:jc w:val="center"/>
            </w:pPr>
            <w:r>
              <w:rPr>
                <w:color w:val="000000"/>
                <w:sz w:val="24"/>
              </w:rPr>
              <w:t>3</w:t>
            </w:r>
          </w:p>
        </w:tc>
        <w:tc>
          <w:tcPr>
            <w:vAlign w:val="center"/>
          </w:tcPr>
          <w:p>
            <w:pPr>
              <w:jc w:val="center"/>
            </w:pPr>
            <w:r>
              <w:rPr>
                <w:color w:val="000000"/>
                <w:sz w:val="24"/>
              </w:rPr>
              <w:t>180204</w:t>
            </w:r>
          </w:p>
        </w:tc>
        <w:tc>
          <w:tcPr>
            <w:vAlign w:val="center"/>
          </w:tcPr>
          <w:p>
            <w:pPr>
              <w:jc w:val="center"/>
            </w:pPr>
            <w:r>
              <w:rPr>
                <w:color w:val="000000"/>
                <w:sz w:val="24"/>
              </w:rPr>
              <w:t>18国开04</w:t>
            </w:r>
          </w:p>
        </w:tc>
        <w:tc>
          <w:tcPr>
            <w:vAlign w:val="center"/>
          </w:tcPr>
          <w:p>
            <w:pPr>
              <w:jc w:val="right"/>
            </w:pPr>
            <w:r>
              <w:rPr>
                <w:color w:val="000000"/>
                <w:sz w:val="24"/>
              </w:rPr>
              <w:t>6,600,000</w:t>
            </w:r>
          </w:p>
        </w:tc>
        <w:tc>
          <w:tcPr>
            <w:vAlign w:val="center"/>
          </w:tcPr>
          <w:p>
            <w:pPr>
              <w:jc w:val="right"/>
            </w:pPr>
            <w:r>
              <w:rPr>
                <w:color w:val="000000"/>
                <w:sz w:val="24"/>
              </w:rPr>
              <w:t>681,846,000.00</w:t>
            </w:r>
          </w:p>
        </w:tc>
        <w:tc>
          <w:tcPr>
            <w:vAlign w:val="center"/>
          </w:tcPr>
          <w:p>
            <w:pPr>
              <w:jc w:val="right"/>
            </w:pPr>
            <w:r>
              <w:rPr>
                <w:color w:val="000000"/>
                <w:sz w:val="24"/>
              </w:rPr>
              <w:t>22.94</w:t>
            </w:r>
          </w:p>
        </w:tc>
      </w:tr>
      <w:tr>
        <w:tc>
          <w:tcPr>
            <w:vAlign w:val="center"/>
          </w:tcPr>
          <w:p>
            <w:pPr>
              <w:jc w:val="center"/>
            </w:pPr>
            <w:r>
              <w:rPr>
                <w:color w:val="000000"/>
                <w:sz w:val="24"/>
              </w:rPr>
              <w:t>4</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4,400,000</w:t>
            </w:r>
          </w:p>
        </w:tc>
        <w:tc>
          <w:tcPr>
            <w:vAlign w:val="center"/>
          </w:tcPr>
          <w:p>
            <w:pPr>
              <w:jc w:val="right"/>
            </w:pPr>
            <w:r>
              <w:rPr>
                <w:color w:val="000000"/>
                <w:sz w:val="24"/>
              </w:rPr>
              <w:t>445,544,000.00</w:t>
            </w:r>
          </w:p>
        </w:tc>
        <w:tc>
          <w:tcPr>
            <w:vAlign w:val="center"/>
          </w:tcPr>
          <w:p>
            <w:pPr>
              <w:jc w:val="right"/>
            </w:pPr>
            <w:r>
              <w:rPr>
                <w:color w:val="000000"/>
                <w:sz w:val="24"/>
              </w:rPr>
              <w:t>14.99</w:t>
            </w:r>
          </w:p>
        </w:tc>
      </w:tr>
      <w:tr>
        <w:tc>
          <w:tcPr>
            <w:vAlign w:val="center"/>
          </w:tcPr>
          <w:p>
            <w:pPr>
              <w:jc w:val="center"/>
            </w:pPr>
            <w:r>
              <w:rPr>
                <w:color w:val="000000"/>
                <w:sz w:val="24"/>
              </w:rPr>
              <w:t>5</w:t>
            </w:r>
          </w:p>
        </w:tc>
        <w:tc>
          <w:tcPr>
            <w:vAlign w:val="center"/>
          </w:tcPr>
          <w:p>
            <w:pPr>
              <w:jc w:val="center"/>
            </w:pPr>
            <w:r>
              <w:rPr>
                <w:color w:val="000000"/>
                <w:sz w:val="24"/>
              </w:rPr>
              <w:t>190203</w:t>
            </w:r>
          </w:p>
        </w:tc>
        <w:tc>
          <w:tcPr>
            <w:vAlign w:val="center"/>
          </w:tcPr>
          <w:p>
            <w:pPr>
              <w:jc w:val="center"/>
            </w:pPr>
            <w:r>
              <w:rPr>
                <w:color w:val="000000"/>
                <w:sz w:val="24"/>
              </w:rPr>
              <w:t>19国开03</w:t>
            </w:r>
          </w:p>
        </w:tc>
        <w:tc>
          <w:tcPr>
            <w:vAlign w:val="center"/>
          </w:tcPr>
          <w:p>
            <w:pPr>
              <w:jc w:val="right"/>
            </w:pPr>
            <w:r>
              <w:rPr>
                <w:color w:val="000000"/>
                <w:sz w:val="24"/>
              </w:rPr>
              <w:t>2,200,000</w:t>
            </w:r>
          </w:p>
        </w:tc>
        <w:tc>
          <w:tcPr>
            <w:vAlign w:val="center"/>
          </w:tcPr>
          <w:p>
            <w:pPr>
              <w:jc w:val="right"/>
            </w:pPr>
            <w:r>
              <w:rPr>
                <w:color w:val="000000"/>
                <w:sz w:val="24"/>
              </w:rPr>
              <w:t>219,296,000.00</w:t>
            </w:r>
          </w:p>
        </w:tc>
        <w:tc>
          <w:tcPr>
            <w:vAlign w:val="center"/>
          </w:tcPr>
          <w:p>
            <w:pPr>
              <w:jc w:val="right"/>
            </w:pPr>
            <w:r>
              <w:rPr>
                <w:color w:val="000000"/>
                <w:sz w:val="24"/>
              </w:rPr>
              <w:t>7.38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86,763.48</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57,975,856.09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58,062,619.57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交银裕如纯债债券A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交银裕如纯债债券C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5,001,083,546.93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10,314.01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2,091,766,280.14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2,909,327,580.80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1、中国证监会准予交银施罗德裕如纯债债券型证券投资基金募集注册的文件；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2、《交银施罗德裕如纯债债券型证券投资基金基金合同》；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3、《交银施罗德裕如纯债债券型证券投资基金招募说明书》；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4、《交银施罗德裕如纯债债券型证券投资基金托管协议》；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5、关于申请募集注册交银施罗德裕如纯债债券型证券投资基金的法律意见书；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8、报告期内交银施罗德裕如纯债债券型证券投资基金在指定报刊上各项公告的原稿。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pPr>
        <w:spacing w:before="29" w:line="288" w:lineRule="auto"/>
        <w:ind w:firstLine="480" w:firstLineChars="200"/>
        <w:rPr>
          <w:rFonts w:eastAsiaTheme="minorEastAsia"/>
          <w:color w:val="000000"/>
          <w:sz w:val="24"/>
        </w:rPr>
      </w:pPr>
      <w:r>
        <w:rPr>
          <w:rFonts w:eastAsiaTheme="minorEastAsia"/>
          <w:color w:val="000000"/>
          <w:sz w:val="24"/>
        </w:rPr>
        <w:t>备查文件存放于基金管理人的办公场所。</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备查文件目录第7条存放于基金托管人的办公场所。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交银施罗德裕如纯债债券型证券投资基金2020年第3季度报告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