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交银施罗德养老目标日期</w:t>
      </w:r>
      <w:r w:rsidRPr="0081286B">
        <w:rPr>
          <w:b/>
          <w:sz w:val="36"/>
          <w:szCs w:val="36"/>
        </w:rPr>
        <w:t>2035</w:t>
      </w:r>
      <w:r w:rsidRPr="0081286B">
        <w:rPr>
          <w:b/>
          <w:sz w:val="36"/>
          <w:szCs w:val="36"/>
        </w:rPr>
        <w:t>三年持有期混合型基金中基金（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A2DEC" w:rsidRDefault="00E967B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w:t>
      </w:r>
      <w:r>
        <w:rPr>
          <w:color w:val="000000"/>
          <w:sz w:val="24"/>
          <w:szCs w:val="24"/>
        </w:rPr>
        <w:t>定盈利。</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交银养老</w:t>
            </w:r>
            <w:r w:rsidRPr="00414345">
              <w:rPr>
                <w:color w:val="000000"/>
                <w:kern w:val="0"/>
                <w:sz w:val="24"/>
                <w:szCs w:val="24"/>
              </w:rPr>
              <w:t>2035</w:t>
            </w:r>
            <w:r w:rsidRPr="00414345">
              <w:rPr>
                <w:color w:val="000000"/>
                <w:kern w:val="0"/>
                <w:sz w:val="24"/>
                <w:szCs w:val="24"/>
              </w:rPr>
              <w:t>三年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654,747,683.05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本基金为基金中基金，依照下滑曲线进行大类资产配置，力争实现养老资产的长期稳健增值，满足养老资金理财需求。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本基金主要采用目标日期策略来进行投资品种的大类资产配置。随着所设定目标日期</w:t>
            </w:r>
            <w:r w:rsidRPr="00414345">
              <w:rPr>
                <w:color w:val="000000"/>
                <w:kern w:val="0"/>
                <w:sz w:val="24"/>
                <w:szCs w:val="24"/>
              </w:rPr>
              <w:t>2035</w:t>
            </w:r>
            <w:r w:rsidRPr="00414345">
              <w:rPr>
                <w:color w:val="000000"/>
                <w:kern w:val="0"/>
                <w:sz w:val="24"/>
                <w:szCs w:val="24"/>
              </w:rPr>
              <w:t>年的临近，逐步降低权益类资产的配置比例，增加非权益类资产的配置比例。从追求资本增值逐步转变为追求当期收益，通过全方位的定量和定性分析方法精选出优质基金组成投资组合，以期达到效用最大化，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0A2DEC" w:rsidRDefault="00E967B2">
            <w:pPr>
              <w:adjustRightInd w:val="0"/>
              <w:spacing w:before="29" w:line="288" w:lineRule="auto"/>
              <w:ind w:left="17"/>
              <w:jc w:val="left"/>
              <w:rPr>
                <w:color w:val="000000"/>
                <w:sz w:val="24"/>
                <w:szCs w:val="24"/>
              </w:rPr>
            </w:pPr>
            <w:r>
              <w:rPr>
                <w:color w:val="000000"/>
                <w:kern w:val="0"/>
                <w:sz w:val="24"/>
                <w:szCs w:val="24"/>
              </w:rPr>
              <w:t>沪深</w:t>
            </w:r>
            <w:r>
              <w:rPr>
                <w:color w:val="000000"/>
                <w:kern w:val="0"/>
                <w:sz w:val="24"/>
                <w:szCs w:val="24"/>
              </w:rPr>
              <w:t>300</w:t>
            </w:r>
            <w:r>
              <w:rPr>
                <w:color w:val="000000"/>
                <w:kern w:val="0"/>
                <w:sz w:val="24"/>
                <w:szCs w:val="24"/>
              </w:rPr>
              <w:t>指数收益率</w:t>
            </w:r>
            <w:r>
              <w:rPr>
                <w:color w:val="000000"/>
                <w:kern w:val="0"/>
                <w:sz w:val="24"/>
                <w:szCs w:val="24"/>
              </w:rPr>
              <w:t>×X+</w:t>
            </w:r>
            <w:r>
              <w:rPr>
                <w:color w:val="000000"/>
                <w:kern w:val="0"/>
                <w:sz w:val="24"/>
                <w:szCs w:val="24"/>
              </w:rPr>
              <w:t>中债综合全价指数收益率</w:t>
            </w:r>
            <w:r>
              <w:rPr>
                <w:color w:val="000000"/>
                <w:kern w:val="0"/>
                <w:sz w:val="24"/>
                <w:szCs w:val="24"/>
              </w:rPr>
              <w:t>×</w:t>
            </w:r>
            <w:r>
              <w:rPr>
                <w:color w:val="000000"/>
                <w:kern w:val="0"/>
                <w:sz w:val="24"/>
                <w:szCs w:val="24"/>
              </w:rPr>
              <w:t>（</w:t>
            </w:r>
            <w:r>
              <w:rPr>
                <w:color w:val="000000"/>
                <w:kern w:val="0"/>
                <w:sz w:val="24"/>
                <w:szCs w:val="24"/>
              </w:rPr>
              <w:t>1-X</w:t>
            </w:r>
            <w:r>
              <w:rPr>
                <w:color w:val="000000"/>
                <w:kern w:val="0"/>
                <w:sz w:val="24"/>
                <w:szCs w:val="24"/>
              </w:rPr>
              <w:t>）</w:t>
            </w:r>
          </w:p>
          <w:p w:rsidR="000A2DEC" w:rsidRDefault="00E967B2">
            <w:pPr>
              <w:adjustRightInd w:val="0"/>
              <w:spacing w:before="29" w:line="288" w:lineRule="auto"/>
              <w:ind w:left="17"/>
              <w:jc w:val="left"/>
              <w:rPr>
                <w:color w:val="000000"/>
                <w:sz w:val="24"/>
                <w:szCs w:val="24"/>
              </w:rPr>
            </w:pPr>
            <w:r>
              <w:rPr>
                <w:color w:val="000000"/>
                <w:kern w:val="0"/>
                <w:sz w:val="24"/>
                <w:szCs w:val="24"/>
              </w:rPr>
              <w:lastRenderedPageBreak/>
              <w:t>其中</w:t>
            </w:r>
            <w:r>
              <w:rPr>
                <w:color w:val="000000"/>
                <w:kern w:val="0"/>
                <w:sz w:val="24"/>
                <w:szCs w:val="24"/>
              </w:rPr>
              <w:t>X</w:t>
            </w:r>
            <w:r>
              <w:rPr>
                <w:color w:val="000000"/>
                <w:kern w:val="0"/>
                <w:sz w:val="24"/>
                <w:szCs w:val="24"/>
              </w:rPr>
              <w:t>的取值如下表列示：</w:t>
            </w:r>
          </w:p>
          <w:p w:rsidR="000A2DEC" w:rsidRDefault="00E967B2">
            <w:pPr>
              <w:adjustRightInd w:val="0"/>
              <w:spacing w:before="29" w:line="288" w:lineRule="auto"/>
              <w:ind w:left="17"/>
              <w:jc w:val="left"/>
              <w:rPr>
                <w:color w:val="000000"/>
                <w:sz w:val="24"/>
                <w:szCs w:val="24"/>
              </w:rPr>
            </w:pPr>
            <w:r>
              <w:rPr>
                <w:color w:val="000000"/>
                <w:kern w:val="0"/>
                <w:sz w:val="24"/>
                <w:szCs w:val="24"/>
              </w:rPr>
              <w:t>年份</w:t>
            </w:r>
            <w:r>
              <w:rPr>
                <w:color w:val="000000"/>
                <w:kern w:val="0"/>
                <w:sz w:val="24"/>
                <w:szCs w:val="24"/>
              </w:rPr>
              <w:t xml:space="preserve">                          X</w:t>
            </w:r>
            <w:r>
              <w:rPr>
                <w:color w:val="000000"/>
                <w:kern w:val="0"/>
                <w:sz w:val="24"/>
                <w:szCs w:val="24"/>
              </w:rPr>
              <w:t>的取值</w:t>
            </w:r>
          </w:p>
          <w:p w:rsidR="000A2DEC" w:rsidRDefault="00E967B2">
            <w:pPr>
              <w:adjustRightInd w:val="0"/>
              <w:spacing w:before="29" w:line="288" w:lineRule="auto"/>
              <w:ind w:left="17"/>
              <w:jc w:val="left"/>
              <w:rPr>
                <w:color w:val="000000"/>
                <w:sz w:val="24"/>
                <w:szCs w:val="24"/>
              </w:rPr>
            </w:pPr>
            <w:r>
              <w:rPr>
                <w:color w:val="000000"/>
                <w:kern w:val="0"/>
                <w:sz w:val="24"/>
                <w:szCs w:val="24"/>
              </w:rPr>
              <w:t>基金合同生效之日至</w:t>
            </w:r>
            <w:r>
              <w:rPr>
                <w:color w:val="000000"/>
                <w:kern w:val="0"/>
                <w:sz w:val="24"/>
                <w:szCs w:val="24"/>
              </w:rPr>
              <w:t>2020.12.31 53%</w:t>
            </w:r>
          </w:p>
          <w:p w:rsidR="000A2DEC" w:rsidRDefault="00E967B2">
            <w:pPr>
              <w:adjustRightInd w:val="0"/>
              <w:spacing w:before="29" w:line="288" w:lineRule="auto"/>
              <w:ind w:left="17"/>
              <w:jc w:val="left"/>
              <w:rPr>
                <w:color w:val="000000"/>
                <w:sz w:val="24"/>
                <w:szCs w:val="24"/>
              </w:rPr>
            </w:pPr>
            <w:r>
              <w:rPr>
                <w:color w:val="000000"/>
                <w:kern w:val="0"/>
                <w:sz w:val="24"/>
                <w:szCs w:val="24"/>
              </w:rPr>
              <w:t>2021.1.1-2023.12.31           46%</w:t>
            </w:r>
          </w:p>
          <w:p w:rsidR="000A2DEC" w:rsidRDefault="00E967B2">
            <w:pPr>
              <w:adjustRightInd w:val="0"/>
              <w:spacing w:before="29" w:line="288" w:lineRule="auto"/>
              <w:ind w:left="17"/>
              <w:jc w:val="left"/>
              <w:rPr>
                <w:color w:val="000000"/>
                <w:sz w:val="24"/>
                <w:szCs w:val="24"/>
              </w:rPr>
            </w:pPr>
            <w:r>
              <w:rPr>
                <w:color w:val="000000"/>
                <w:kern w:val="0"/>
                <w:sz w:val="24"/>
                <w:szCs w:val="24"/>
              </w:rPr>
              <w:t>2024.1.1-2026.12.31           39%</w:t>
            </w:r>
          </w:p>
          <w:p w:rsidR="000A2DEC" w:rsidRDefault="00E967B2">
            <w:pPr>
              <w:adjustRightInd w:val="0"/>
              <w:spacing w:before="29" w:line="288" w:lineRule="auto"/>
              <w:ind w:left="17"/>
              <w:jc w:val="left"/>
              <w:rPr>
                <w:color w:val="000000"/>
                <w:sz w:val="24"/>
                <w:szCs w:val="24"/>
              </w:rPr>
            </w:pPr>
            <w:r>
              <w:rPr>
                <w:color w:val="000000"/>
                <w:kern w:val="0"/>
                <w:sz w:val="24"/>
                <w:szCs w:val="24"/>
              </w:rPr>
              <w:t>2027.1.1-2029.12.31           35%</w:t>
            </w:r>
          </w:p>
          <w:p w:rsidR="000A2DEC" w:rsidRDefault="00E967B2">
            <w:pPr>
              <w:adjustRightInd w:val="0"/>
              <w:spacing w:before="29" w:line="288" w:lineRule="auto"/>
              <w:ind w:left="17"/>
              <w:jc w:val="left"/>
              <w:rPr>
                <w:color w:val="000000"/>
                <w:sz w:val="24"/>
                <w:szCs w:val="24"/>
              </w:rPr>
            </w:pPr>
            <w:r>
              <w:rPr>
                <w:color w:val="000000"/>
                <w:kern w:val="0"/>
                <w:sz w:val="24"/>
                <w:szCs w:val="24"/>
              </w:rPr>
              <w:t>2030.1.1-2032.12.31           32%</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2033.1.1-2035.12.31           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0A2DEC" w:rsidRDefault="00E967B2">
            <w:pPr>
              <w:adjustRightInd w:val="0"/>
              <w:spacing w:before="29" w:line="288" w:lineRule="auto"/>
              <w:ind w:left="17"/>
              <w:jc w:val="left"/>
              <w:rPr>
                <w:color w:val="000000"/>
                <w:sz w:val="24"/>
                <w:szCs w:val="24"/>
              </w:rPr>
            </w:pPr>
            <w:r>
              <w:rPr>
                <w:color w:val="000000"/>
                <w:kern w:val="0"/>
                <w:sz w:val="24"/>
                <w:szCs w:val="24"/>
              </w:rPr>
              <w:t>本基金为混合型基金中基金，由于本基金主要</w:t>
            </w:r>
            <w:r>
              <w:rPr>
                <w:color w:val="000000"/>
                <w:kern w:val="0"/>
                <w:sz w:val="24"/>
                <w:szCs w:val="24"/>
              </w:rPr>
              <w:t>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967B2" w:rsidRPr="00414345" w:rsidTr="00E967B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967B2" w:rsidRPr="00414345" w:rsidTr="00E967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52,764,780.14</w:t>
            </w:r>
          </w:p>
        </w:tc>
      </w:tr>
      <w:tr w:rsidR="00E967B2" w:rsidRPr="00414345" w:rsidTr="00E967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84,643,370.16</w:t>
            </w:r>
          </w:p>
        </w:tc>
      </w:tr>
      <w:tr w:rsidR="00E967B2" w:rsidRPr="00414345" w:rsidTr="00E967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0.1312</w:t>
            </w:r>
          </w:p>
        </w:tc>
      </w:tr>
      <w:tr w:rsidR="00E967B2" w:rsidRPr="00414345" w:rsidTr="00E967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779,973,636.23</w:t>
            </w:r>
          </w:p>
        </w:tc>
      </w:tr>
      <w:tr w:rsidR="00E967B2" w:rsidRPr="00414345" w:rsidTr="00E967B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1.1913</w:t>
            </w:r>
          </w:p>
        </w:tc>
      </w:tr>
    </w:tbl>
    <w:p w:rsidR="000A2DEC" w:rsidRDefault="00E967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w:t>
      </w:r>
      <w:r w:rsidRPr="00414345">
        <w:rPr>
          <w:color w:val="000000"/>
          <w:sz w:val="24"/>
          <w:szCs w:val="24"/>
        </w:rPr>
        <w:lastRenderedPageBreak/>
        <w:t>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A2DEC">
        <w:trPr>
          <w:jc w:val="center"/>
        </w:trPr>
        <w:tc>
          <w:tcPr>
            <w:tcW w:w="1701" w:type="dxa"/>
            <w:vAlign w:val="center"/>
          </w:tcPr>
          <w:p w:rsidR="000A2DEC" w:rsidRDefault="00E967B2">
            <w:pPr>
              <w:jc w:val="left"/>
            </w:pPr>
            <w:r>
              <w:rPr>
                <w:color w:val="000000"/>
                <w:sz w:val="24"/>
                <w:szCs w:val="24"/>
              </w:rPr>
              <w:t>过去三个月</w:t>
            </w:r>
          </w:p>
        </w:tc>
        <w:tc>
          <w:tcPr>
            <w:tcW w:w="1045" w:type="dxa"/>
            <w:vAlign w:val="center"/>
          </w:tcPr>
          <w:p w:rsidR="000A2DEC" w:rsidRDefault="00E967B2">
            <w:pPr>
              <w:jc w:val="center"/>
            </w:pPr>
            <w:r>
              <w:rPr>
                <w:color w:val="000000"/>
                <w:sz w:val="24"/>
                <w:szCs w:val="24"/>
              </w:rPr>
              <w:t>12.56%</w:t>
            </w:r>
          </w:p>
        </w:tc>
        <w:tc>
          <w:tcPr>
            <w:tcW w:w="1344" w:type="dxa"/>
            <w:vAlign w:val="center"/>
          </w:tcPr>
          <w:p w:rsidR="000A2DEC" w:rsidRDefault="00E967B2">
            <w:pPr>
              <w:jc w:val="center"/>
            </w:pPr>
            <w:r>
              <w:rPr>
                <w:color w:val="000000"/>
                <w:sz w:val="24"/>
                <w:szCs w:val="24"/>
              </w:rPr>
              <w:t>0.88%</w:t>
            </w:r>
          </w:p>
        </w:tc>
        <w:tc>
          <w:tcPr>
            <w:tcW w:w="1194" w:type="dxa"/>
            <w:vAlign w:val="center"/>
          </w:tcPr>
          <w:p w:rsidR="000A2DEC" w:rsidRDefault="00E967B2">
            <w:pPr>
              <w:jc w:val="center"/>
            </w:pPr>
            <w:r>
              <w:rPr>
                <w:color w:val="000000"/>
                <w:sz w:val="24"/>
                <w:szCs w:val="24"/>
              </w:rPr>
              <w:t>4.77%</w:t>
            </w:r>
          </w:p>
        </w:tc>
        <w:tc>
          <w:tcPr>
            <w:tcW w:w="1492" w:type="dxa"/>
            <w:vAlign w:val="center"/>
          </w:tcPr>
          <w:p w:rsidR="000A2DEC" w:rsidRDefault="00E967B2">
            <w:pPr>
              <w:jc w:val="center"/>
            </w:pPr>
            <w:r>
              <w:rPr>
                <w:color w:val="000000"/>
                <w:sz w:val="24"/>
                <w:szCs w:val="24"/>
              </w:rPr>
              <w:t>0.84%</w:t>
            </w:r>
          </w:p>
        </w:tc>
        <w:tc>
          <w:tcPr>
            <w:tcW w:w="1194" w:type="dxa"/>
            <w:vAlign w:val="center"/>
          </w:tcPr>
          <w:p w:rsidR="000A2DEC" w:rsidRDefault="00E967B2">
            <w:pPr>
              <w:jc w:val="center"/>
            </w:pPr>
            <w:r>
              <w:rPr>
                <w:color w:val="000000"/>
                <w:sz w:val="24"/>
                <w:szCs w:val="24"/>
              </w:rPr>
              <w:t>7.79%</w:t>
            </w:r>
          </w:p>
        </w:tc>
        <w:tc>
          <w:tcPr>
            <w:tcW w:w="898" w:type="dxa"/>
            <w:vAlign w:val="center"/>
          </w:tcPr>
          <w:p w:rsidR="000A2DEC" w:rsidRDefault="00E967B2">
            <w:pPr>
              <w:jc w:val="center"/>
            </w:pPr>
            <w:r>
              <w:rPr>
                <w:color w:val="000000"/>
                <w:sz w:val="24"/>
                <w:szCs w:val="24"/>
              </w:rPr>
              <w:t>0.04%</w:t>
            </w:r>
          </w:p>
        </w:tc>
      </w:tr>
      <w:tr w:rsidR="000A2DEC">
        <w:trPr>
          <w:jc w:val="center"/>
        </w:trPr>
        <w:tc>
          <w:tcPr>
            <w:tcW w:w="1701" w:type="dxa"/>
            <w:vAlign w:val="center"/>
          </w:tcPr>
          <w:p w:rsidR="000A2DEC" w:rsidRDefault="00E967B2">
            <w:pPr>
              <w:jc w:val="left"/>
            </w:pPr>
            <w:r>
              <w:rPr>
                <w:color w:val="000000"/>
                <w:sz w:val="24"/>
                <w:szCs w:val="24"/>
              </w:rPr>
              <w:t>自基金合同生效至今</w:t>
            </w:r>
          </w:p>
        </w:tc>
        <w:tc>
          <w:tcPr>
            <w:tcW w:w="1045" w:type="dxa"/>
            <w:vAlign w:val="center"/>
          </w:tcPr>
          <w:p w:rsidR="000A2DEC" w:rsidRDefault="00E967B2">
            <w:pPr>
              <w:jc w:val="center"/>
            </w:pPr>
            <w:r>
              <w:rPr>
                <w:color w:val="000000"/>
                <w:sz w:val="24"/>
                <w:szCs w:val="24"/>
              </w:rPr>
              <w:t>19.13%</w:t>
            </w:r>
          </w:p>
        </w:tc>
        <w:tc>
          <w:tcPr>
            <w:tcW w:w="1344" w:type="dxa"/>
            <w:vAlign w:val="center"/>
          </w:tcPr>
          <w:p w:rsidR="000A2DEC" w:rsidRDefault="00E967B2">
            <w:pPr>
              <w:jc w:val="center"/>
            </w:pPr>
            <w:r>
              <w:rPr>
                <w:color w:val="000000"/>
                <w:sz w:val="24"/>
                <w:szCs w:val="24"/>
              </w:rPr>
              <w:t>0.74%</w:t>
            </w:r>
          </w:p>
        </w:tc>
        <w:tc>
          <w:tcPr>
            <w:tcW w:w="1194" w:type="dxa"/>
            <w:vAlign w:val="center"/>
          </w:tcPr>
          <w:p w:rsidR="000A2DEC" w:rsidRDefault="00E967B2">
            <w:pPr>
              <w:jc w:val="center"/>
            </w:pPr>
            <w:r>
              <w:rPr>
                <w:color w:val="000000"/>
                <w:sz w:val="24"/>
                <w:szCs w:val="24"/>
              </w:rPr>
              <w:t>8.25%</w:t>
            </w:r>
          </w:p>
        </w:tc>
        <w:tc>
          <w:tcPr>
            <w:tcW w:w="1492" w:type="dxa"/>
            <w:vAlign w:val="center"/>
          </w:tcPr>
          <w:p w:rsidR="000A2DEC" w:rsidRDefault="00E967B2">
            <w:pPr>
              <w:jc w:val="center"/>
            </w:pPr>
            <w:r>
              <w:rPr>
                <w:color w:val="000000"/>
                <w:sz w:val="24"/>
                <w:szCs w:val="24"/>
              </w:rPr>
              <w:t>0.71%</w:t>
            </w:r>
          </w:p>
        </w:tc>
        <w:tc>
          <w:tcPr>
            <w:tcW w:w="1194" w:type="dxa"/>
            <w:vAlign w:val="center"/>
          </w:tcPr>
          <w:p w:rsidR="000A2DEC" w:rsidRDefault="00E967B2">
            <w:pPr>
              <w:jc w:val="center"/>
            </w:pPr>
            <w:r>
              <w:rPr>
                <w:color w:val="000000"/>
                <w:sz w:val="24"/>
                <w:szCs w:val="24"/>
              </w:rPr>
              <w:t>10.88%</w:t>
            </w:r>
          </w:p>
        </w:tc>
        <w:tc>
          <w:tcPr>
            <w:tcW w:w="898" w:type="dxa"/>
            <w:vAlign w:val="center"/>
          </w:tcPr>
          <w:p w:rsidR="000A2DEC" w:rsidRDefault="00E967B2">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交银施罗德养老目标日期</w:t>
      </w:r>
      <w:r w:rsidRPr="00414345">
        <w:rPr>
          <w:color w:val="000000"/>
          <w:sz w:val="24"/>
          <w:szCs w:val="24"/>
        </w:rPr>
        <w:t>2035</w:t>
      </w:r>
      <w:r w:rsidRPr="00414345">
        <w:rPr>
          <w:color w:val="000000"/>
          <w:sz w:val="24"/>
          <w:szCs w:val="24"/>
        </w:rPr>
        <w:t>三年持有期混合型基金中基金（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A2DEC">
        <w:trPr>
          <w:jc w:val="center"/>
        </w:trPr>
        <w:tc>
          <w:tcPr>
            <w:tcW w:w="846" w:type="dxa"/>
            <w:vAlign w:val="center"/>
          </w:tcPr>
          <w:p w:rsidR="000A2DEC" w:rsidRDefault="00E967B2">
            <w:pPr>
              <w:jc w:val="center"/>
            </w:pPr>
            <w:r>
              <w:rPr>
                <w:color w:val="000000"/>
                <w:sz w:val="24"/>
                <w:szCs w:val="24"/>
              </w:rPr>
              <w:t>杨喆</w:t>
            </w:r>
          </w:p>
        </w:tc>
        <w:tc>
          <w:tcPr>
            <w:tcW w:w="845" w:type="dxa"/>
            <w:vAlign w:val="center"/>
          </w:tcPr>
          <w:p w:rsidR="000A2DEC" w:rsidRDefault="00E967B2">
            <w:pPr>
              <w:jc w:val="center"/>
            </w:pPr>
            <w:r>
              <w:rPr>
                <w:color w:val="000000"/>
                <w:sz w:val="24"/>
                <w:szCs w:val="24"/>
              </w:rPr>
              <w:t>交银安享稳健养老一年、交银养老</w:t>
            </w:r>
            <w:r>
              <w:rPr>
                <w:color w:val="000000"/>
                <w:sz w:val="24"/>
                <w:szCs w:val="24"/>
              </w:rPr>
              <w:t>2035</w:t>
            </w:r>
            <w:r>
              <w:rPr>
                <w:color w:val="000000"/>
                <w:sz w:val="24"/>
                <w:szCs w:val="24"/>
              </w:rPr>
              <w:t>三年的基金经理，公司多元资产管理副总监。</w:t>
            </w:r>
          </w:p>
        </w:tc>
        <w:tc>
          <w:tcPr>
            <w:tcW w:w="1549" w:type="dxa"/>
            <w:vAlign w:val="center"/>
          </w:tcPr>
          <w:p w:rsidR="000A2DEC" w:rsidRDefault="00E967B2">
            <w:pPr>
              <w:jc w:val="center"/>
            </w:pPr>
            <w:r>
              <w:rPr>
                <w:color w:val="000000"/>
                <w:sz w:val="24"/>
                <w:szCs w:val="24"/>
              </w:rPr>
              <w:t>2020-04-29</w:t>
            </w:r>
          </w:p>
        </w:tc>
        <w:tc>
          <w:tcPr>
            <w:tcW w:w="1548" w:type="dxa"/>
            <w:vAlign w:val="center"/>
          </w:tcPr>
          <w:p w:rsidR="000A2DEC" w:rsidRDefault="00E967B2">
            <w:pPr>
              <w:jc w:val="center"/>
            </w:pPr>
            <w:r>
              <w:rPr>
                <w:color w:val="000000"/>
                <w:sz w:val="24"/>
                <w:szCs w:val="24"/>
              </w:rPr>
              <w:t>-</w:t>
            </w:r>
          </w:p>
        </w:tc>
        <w:tc>
          <w:tcPr>
            <w:tcW w:w="1407" w:type="dxa"/>
            <w:vAlign w:val="center"/>
          </w:tcPr>
          <w:p w:rsidR="000A2DEC" w:rsidRDefault="00E967B2">
            <w:pPr>
              <w:jc w:val="center"/>
            </w:pPr>
            <w:r>
              <w:rPr>
                <w:color w:val="000000"/>
                <w:sz w:val="24"/>
                <w:szCs w:val="24"/>
              </w:rPr>
              <w:t>12</w:t>
            </w:r>
            <w:r>
              <w:rPr>
                <w:color w:val="000000"/>
                <w:sz w:val="24"/>
                <w:szCs w:val="24"/>
              </w:rPr>
              <w:t>年</w:t>
            </w:r>
          </w:p>
        </w:tc>
        <w:tc>
          <w:tcPr>
            <w:tcW w:w="2673" w:type="dxa"/>
            <w:vAlign w:val="center"/>
          </w:tcPr>
          <w:p w:rsidR="000A2DEC" w:rsidRDefault="00E967B2">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A2DEC" w:rsidRDefault="00E967B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A2DEC" w:rsidRDefault="00E967B2">
      <w:pPr>
        <w:spacing w:before="29" w:line="288" w:lineRule="auto"/>
        <w:ind w:firstLineChars="200" w:firstLine="480"/>
        <w:rPr>
          <w:color w:val="000000"/>
          <w:sz w:val="24"/>
          <w:szCs w:val="24"/>
        </w:rPr>
      </w:pPr>
      <w:r>
        <w:rPr>
          <w:color w:val="000000"/>
          <w:sz w:val="24"/>
          <w:szCs w:val="24"/>
        </w:rPr>
        <w:t>公司建立</w:t>
      </w:r>
      <w:r>
        <w:rPr>
          <w:color w:val="000000"/>
          <w:sz w:val="24"/>
          <w:szCs w:val="24"/>
        </w:rPr>
        <w:t>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A2DEC" w:rsidRDefault="00E967B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w:t>
      </w:r>
      <w:r>
        <w:rPr>
          <w:color w:val="000000"/>
          <w:sz w:val="24"/>
          <w:szCs w:val="24"/>
        </w:rPr>
        <w:t>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A2DEC" w:rsidRDefault="00E967B2">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国内经济动能不断修复，工业生产持续向好，市场需求继续恢复，一个以国内循环为主、国际国内互促的双循环发展的新格局正在形成。货币政策继续推进正常化并留有政策空间，社融增速在政府债发行的支撑下稳中有升，债券收益率中枢逐步抬升。国外宏观环境的不确定性较多，世界经济多元化格局依旧在发展中。与此同时，国内外市场投资环境仍处于高波动态势，新的挑战不断涌现。</w:t>
      </w:r>
    </w:p>
    <w:p w:rsidR="000A2DEC" w:rsidRDefault="00E967B2">
      <w:pPr>
        <w:spacing w:before="29" w:line="288" w:lineRule="auto"/>
        <w:ind w:firstLineChars="200" w:firstLine="480"/>
        <w:rPr>
          <w:color w:val="000000"/>
          <w:sz w:val="24"/>
          <w:szCs w:val="24"/>
        </w:rPr>
      </w:pPr>
      <w:r>
        <w:rPr>
          <w:color w:val="000000"/>
          <w:sz w:val="24"/>
          <w:szCs w:val="24"/>
        </w:rPr>
        <w:t>报告期内，本基金精选中长期超额收益明显并且业绩稳健的优质权益基金加以配置，积极把握市场机会，并根据市场风险情况，灵活调整权益资产的仓位，以应对市场波动。</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全球经济形式总体呈复苏态势，但各国节奏有所不同，美欧面临疫情二次爆发的冲击，在逆全球化、低利润率、低利率、长期通胀上升、政府债务增加和居民财富的配置需求提升的趋势下，仍需坚持多元组合的资产配置策略。我们将持续关注海内外风险、中美关系和政策走向，做好大类资产配置，深入挖掘优质投资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132,175,322.87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132,175,322.87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506,919,877.60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64.93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44,111.40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44,111.40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140,152,239.64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17.95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1,366,652.71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780,658,204.22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3,171,153.00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101,562,335.32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3,268,768.83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18,653.36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13,105,834.26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1,406,856.00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3,618,063.40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5,957,729.40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37,551.82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132,175,322.87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A2DEC">
        <w:trPr>
          <w:jc w:val="center"/>
        </w:trPr>
        <w:tc>
          <w:tcPr>
            <w:tcW w:w="855" w:type="dxa"/>
            <w:vAlign w:val="center"/>
          </w:tcPr>
          <w:p w:rsidR="000A2DEC" w:rsidRDefault="00E967B2">
            <w:pPr>
              <w:jc w:val="center"/>
            </w:pPr>
            <w:r>
              <w:rPr>
                <w:color w:val="000000"/>
                <w:sz w:val="24"/>
                <w:szCs w:val="24"/>
              </w:rPr>
              <w:t>1</w:t>
            </w:r>
          </w:p>
        </w:tc>
        <w:tc>
          <w:tcPr>
            <w:tcW w:w="1334" w:type="dxa"/>
            <w:vAlign w:val="center"/>
          </w:tcPr>
          <w:p w:rsidR="000A2DEC" w:rsidRDefault="00E967B2">
            <w:pPr>
              <w:jc w:val="center"/>
            </w:pPr>
            <w:r>
              <w:rPr>
                <w:color w:val="000000"/>
                <w:sz w:val="24"/>
                <w:szCs w:val="24"/>
              </w:rPr>
              <w:t>000858</w:t>
            </w:r>
          </w:p>
        </w:tc>
        <w:tc>
          <w:tcPr>
            <w:tcW w:w="1777" w:type="dxa"/>
            <w:vAlign w:val="center"/>
          </w:tcPr>
          <w:p w:rsidR="000A2DEC" w:rsidRDefault="00E967B2">
            <w:pPr>
              <w:jc w:val="center"/>
            </w:pPr>
            <w:r>
              <w:rPr>
                <w:color w:val="000000"/>
                <w:sz w:val="24"/>
                <w:szCs w:val="24"/>
              </w:rPr>
              <w:t>五粮液</w:t>
            </w:r>
          </w:p>
        </w:tc>
        <w:tc>
          <w:tcPr>
            <w:tcW w:w="1334" w:type="dxa"/>
            <w:vAlign w:val="center"/>
          </w:tcPr>
          <w:p w:rsidR="000A2DEC" w:rsidRDefault="00E967B2">
            <w:pPr>
              <w:jc w:val="right"/>
            </w:pPr>
            <w:r>
              <w:rPr>
                <w:color w:val="000000"/>
                <w:sz w:val="24"/>
                <w:szCs w:val="24"/>
              </w:rPr>
              <w:t>29,900</w:t>
            </w:r>
          </w:p>
        </w:tc>
        <w:tc>
          <w:tcPr>
            <w:tcW w:w="1924" w:type="dxa"/>
            <w:vAlign w:val="center"/>
          </w:tcPr>
          <w:p w:rsidR="000A2DEC" w:rsidRDefault="00E967B2">
            <w:pPr>
              <w:jc w:val="right"/>
            </w:pPr>
            <w:r>
              <w:rPr>
                <w:color w:val="000000"/>
                <w:sz w:val="24"/>
                <w:szCs w:val="24"/>
              </w:rPr>
              <w:t>6,607,900.00</w:t>
            </w:r>
          </w:p>
        </w:tc>
        <w:tc>
          <w:tcPr>
            <w:tcW w:w="1644" w:type="dxa"/>
            <w:vAlign w:val="center"/>
          </w:tcPr>
          <w:p w:rsidR="000A2DEC" w:rsidRDefault="00E967B2">
            <w:pPr>
              <w:jc w:val="right"/>
            </w:pPr>
            <w:r>
              <w:rPr>
                <w:color w:val="000000"/>
                <w:sz w:val="24"/>
                <w:szCs w:val="24"/>
              </w:rPr>
              <w:t>0.85</w:t>
            </w:r>
          </w:p>
        </w:tc>
      </w:tr>
      <w:tr w:rsidR="000A2DEC">
        <w:trPr>
          <w:jc w:val="center"/>
        </w:trPr>
        <w:tc>
          <w:tcPr>
            <w:tcW w:w="855" w:type="dxa"/>
            <w:vAlign w:val="center"/>
          </w:tcPr>
          <w:p w:rsidR="000A2DEC" w:rsidRDefault="00E967B2">
            <w:pPr>
              <w:jc w:val="center"/>
            </w:pPr>
            <w:r>
              <w:rPr>
                <w:color w:val="000000"/>
                <w:sz w:val="24"/>
                <w:szCs w:val="24"/>
              </w:rPr>
              <w:t>2</w:t>
            </w:r>
          </w:p>
        </w:tc>
        <w:tc>
          <w:tcPr>
            <w:tcW w:w="1334" w:type="dxa"/>
            <w:vAlign w:val="center"/>
          </w:tcPr>
          <w:p w:rsidR="000A2DEC" w:rsidRDefault="00E967B2">
            <w:pPr>
              <w:jc w:val="center"/>
            </w:pPr>
            <w:r>
              <w:rPr>
                <w:color w:val="000000"/>
                <w:sz w:val="24"/>
                <w:szCs w:val="24"/>
              </w:rPr>
              <w:t>002475</w:t>
            </w:r>
          </w:p>
        </w:tc>
        <w:tc>
          <w:tcPr>
            <w:tcW w:w="1777" w:type="dxa"/>
            <w:vAlign w:val="center"/>
          </w:tcPr>
          <w:p w:rsidR="000A2DEC" w:rsidRDefault="00E967B2">
            <w:pPr>
              <w:jc w:val="center"/>
            </w:pPr>
            <w:r>
              <w:rPr>
                <w:color w:val="000000"/>
                <w:sz w:val="24"/>
                <w:szCs w:val="24"/>
              </w:rPr>
              <w:t>立讯精密</w:t>
            </w:r>
          </w:p>
        </w:tc>
        <w:tc>
          <w:tcPr>
            <w:tcW w:w="1334" w:type="dxa"/>
            <w:vAlign w:val="center"/>
          </w:tcPr>
          <w:p w:rsidR="000A2DEC" w:rsidRDefault="00E967B2">
            <w:pPr>
              <w:jc w:val="right"/>
            </w:pPr>
            <w:r>
              <w:rPr>
                <w:color w:val="000000"/>
                <w:sz w:val="24"/>
                <w:szCs w:val="24"/>
              </w:rPr>
              <w:t>115,028</w:t>
            </w:r>
          </w:p>
        </w:tc>
        <w:tc>
          <w:tcPr>
            <w:tcW w:w="1924" w:type="dxa"/>
            <w:vAlign w:val="center"/>
          </w:tcPr>
          <w:p w:rsidR="000A2DEC" w:rsidRDefault="00E967B2">
            <w:pPr>
              <w:jc w:val="right"/>
            </w:pPr>
            <w:r>
              <w:rPr>
                <w:color w:val="000000"/>
                <w:sz w:val="24"/>
                <w:szCs w:val="24"/>
              </w:rPr>
              <w:t>6,571,549.64</w:t>
            </w:r>
          </w:p>
        </w:tc>
        <w:tc>
          <w:tcPr>
            <w:tcW w:w="1644" w:type="dxa"/>
            <w:vAlign w:val="center"/>
          </w:tcPr>
          <w:p w:rsidR="000A2DEC" w:rsidRDefault="00E967B2">
            <w:pPr>
              <w:jc w:val="right"/>
            </w:pPr>
            <w:r>
              <w:rPr>
                <w:color w:val="000000"/>
                <w:sz w:val="24"/>
                <w:szCs w:val="24"/>
              </w:rPr>
              <w:t>0.84</w:t>
            </w:r>
          </w:p>
        </w:tc>
      </w:tr>
      <w:tr w:rsidR="000A2DEC">
        <w:trPr>
          <w:jc w:val="center"/>
        </w:trPr>
        <w:tc>
          <w:tcPr>
            <w:tcW w:w="855" w:type="dxa"/>
            <w:vAlign w:val="center"/>
          </w:tcPr>
          <w:p w:rsidR="000A2DEC" w:rsidRDefault="00E967B2">
            <w:pPr>
              <w:jc w:val="center"/>
            </w:pPr>
            <w:r>
              <w:rPr>
                <w:color w:val="000000"/>
                <w:sz w:val="24"/>
                <w:szCs w:val="24"/>
              </w:rPr>
              <w:t>3</w:t>
            </w:r>
          </w:p>
        </w:tc>
        <w:tc>
          <w:tcPr>
            <w:tcW w:w="1334" w:type="dxa"/>
            <w:vAlign w:val="center"/>
          </w:tcPr>
          <w:p w:rsidR="000A2DEC" w:rsidRDefault="00E967B2">
            <w:pPr>
              <w:jc w:val="center"/>
            </w:pPr>
            <w:r>
              <w:rPr>
                <w:color w:val="000000"/>
                <w:sz w:val="24"/>
                <w:szCs w:val="24"/>
              </w:rPr>
              <w:t>600519</w:t>
            </w:r>
          </w:p>
        </w:tc>
        <w:tc>
          <w:tcPr>
            <w:tcW w:w="1777" w:type="dxa"/>
            <w:vAlign w:val="center"/>
          </w:tcPr>
          <w:p w:rsidR="000A2DEC" w:rsidRDefault="00E967B2">
            <w:pPr>
              <w:jc w:val="center"/>
            </w:pPr>
            <w:r>
              <w:rPr>
                <w:color w:val="000000"/>
                <w:sz w:val="24"/>
                <w:szCs w:val="24"/>
              </w:rPr>
              <w:t>贵州茅台</w:t>
            </w:r>
          </w:p>
        </w:tc>
        <w:tc>
          <w:tcPr>
            <w:tcW w:w="1334" w:type="dxa"/>
            <w:vAlign w:val="center"/>
          </w:tcPr>
          <w:p w:rsidR="000A2DEC" w:rsidRDefault="00E967B2">
            <w:pPr>
              <w:jc w:val="right"/>
            </w:pPr>
            <w:r>
              <w:rPr>
                <w:color w:val="000000"/>
                <w:sz w:val="24"/>
                <w:szCs w:val="24"/>
              </w:rPr>
              <w:t>3,800</w:t>
            </w:r>
          </w:p>
        </w:tc>
        <w:tc>
          <w:tcPr>
            <w:tcW w:w="1924" w:type="dxa"/>
            <w:vAlign w:val="center"/>
          </w:tcPr>
          <w:p w:rsidR="000A2DEC" w:rsidRDefault="00E967B2">
            <w:pPr>
              <w:jc w:val="right"/>
            </w:pPr>
            <w:r>
              <w:rPr>
                <w:color w:val="000000"/>
                <w:sz w:val="24"/>
                <w:szCs w:val="24"/>
              </w:rPr>
              <w:t>6,340,300.00</w:t>
            </w:r>
          </w:p>
        </w:tc>
        <w:tc>
          <w:tcPr>
            <w:tcW w:w="1644" w:type="dxa"/>
            <w:vAlign w:val="center"/>
          </w:tcPr>
          <w:p w:rsidR="000A2DEC" w:rsidRDefault="00E967B2">
            <w:pPr>
              <w:jc w:val="right"/>
            </w:pPr>
            <w:r>
              <w:rPr>
                <w:color w:val="000000"/>
                <w:sz w:val="24"/>
                <w:szCs w:val="24"/>
              </w:rPr>
              <w:t>0.81</w:t>
            </w:r>
          </w:p>
        </w:tc>
      </w:tr>
      <w:tr w:rsidR="000A2DEC">
        <w:trPr>
          <w:jc w:val="center"/>
        </w:trPr>
        <w:tc>
          <w:tcPr>
            <w:tcW w:w="855" w:type="dxa"/>
            <w:vAlign w:val="center"/>
          </w:tcPr>
          <w:p w:rsidR="000A2DEC" w:rsidRDefault="00E967B2">
            <w:pPr>
              <w:jc w:val="center"/>
            </w:pPr>
            <w:r>
              <w:rPr>
                <w:color w:val="000000"/>
                <w:sz w:val="24"/>
                <w:szCs w:val="24"/>
              </w:rPr>
              <w:t>4</w:t>
            </w:r>
          </w:p>
        </w:tc>
        <w:tc>
          <w:tcPr>
            <w:tcW w:w="1334" w:type="dxa"/>
            <w:vAlign w:val="center"/>
          </w:tcPr>
          <w:p w:rsidR="000A2DEC" w:rsidRDefault="00E967B2">
            <w:pPr>
              <w:jc w:val="center"/>
            </w:pPr>
            <w:r>
              <w:rPr>
                <w:color w:val="000000"/>
                <w:sz w:val="24"/>
                <w:szCs w:val="24"/>
              </w:rPr>
              <w:t>600276</w:t>
            </w:r>
          </w:p>
        </w:tc>
        <w:tc>
          <w:tcPr>
            <w:tcW w:w="1777" w:type="dxa"/>
            <w:vAlign w:val="center"/>
          </w:tcPr>
          <w:p w:rsidR="000A2DEC" w:rsidRDefault="00E967B2">
            <w:pPr>
              <w:jc w:val="center"/>
            </w:pPr>
            <w:r>
              <w:rPr>
                <w:color w:val="000000"/>
                <w:sz w:val="24"/>
                <w:szCs w:val="24"/>
              </w:rPr>
              <w:t>恒瑞医药</w:t>
            </w:r>
          </w:p>
        </w:tc>
        <w:tc>
          <w:tcPr>
            <w:tcW w:w="1334" w:type="dxa"/>
            <w:vAlign w:val="center"/>
          </w:tcPr>
          <w:p w:rsidR="000A2DEC" w:rsidRDefault="00E967B2">
            <w:pPr>
              <w:jc w:val="right"/>
            </w:pPr>
            <w:r>
              <w:rPr>
                <w:color w:val="000000"/>
                <w:sz w:val="24"/>
                <w:szCs w:val="24"/>
              </w:rPr>
              <w:t>68,660</w:t>
            </w:r>
          </w:p>
        </w:tc>
        <w:tc>
          <w:tcPr>
            <w:tcW w:w="1924" w:type="dxa"/>
            <w:vAlign w:val="center"/>
          </w:tcPr>
          <w:p w:rsidR="000A2DEC" w:rsidRDefault="00E967B2">
            <w:pPr>
              <w:jc w:val="right"/>
            </w:pPr>
            <w:r>
              <w:rPr>
                <w:color w:val="000000"/>
                <w:sz w:val="24"/>
                <w:szCs w:val="24"/>
              </w:rPr>
              <w:t>6,167,041.20</w:t>
            </w:r>
          </w:p>
        </w:tc>
        <w:tc>
          <w:tcPr>
            <w:tcW w:w="1644" w:type="dxa"/>
            <w:vAlign w:val="center"/>
          </w:tcPr>
          <w:p w:rsidR="000A2DEC" w:rsidRDefault="00E967B2">
            <w:pPr>
              <w:jc w:val="right"/>
            </w:pPr>
            <w:r>
              <w:rPr>
                <w:color w:val="000000"/>
                <w:sz w:val="24"/>
                <w:szCs w:val="24"/>
              </w:rPr>
              <w:t>0.79</w:t>
            </w:r>
          </w:p>
        </w:tc>
      </w:tr>
      <w:tr w:rsidR="000A2DEC">
        <w:trPr>
          <w:jc w:val="center"/>
        </w:trPr>
        <w:tc>
          <w:tcPr>
            <w:tcW w:w="855" w:type="dxa"/>
            <w:vAlign w:val="center"/>
          </w:tcPr>
          <w:p w:rsidR="000A2DEC" w:rsidRDefault="00E967B2">
            <w:pPr>
              <w:jc w:val="center"/>
            </w:pPr>
            <w:r>
              <w:rPr>
                <w:color w:val="000000"/>
                <w:sz w:val="24"/>
                <w:szCs w:val="24"/>
              </w:rPr>
              <w:t>5</w:t>
            </w:r>
          </w:p>
        </w:tc>
        <w:tc>
          <w:tcPr>
            <w:tcW w:w="1334" w:type="dxa"/>
            <w:vAlign w:val="center"/>
          </w:tcPr>
          <w:p w:rsidR="000A2DEC" w:rsidRDefault="00E967B2">
            <w:pPr>
              <w:jc w:val="center"/>
            </w:pPr>
            <w:r>
              <w:rPr>
                <w:color w:val="000000"/>
                <w:sz w:val="24"/>
                <w:szCs w:val="24"/>
              </w:rPr>
              <w:t>300760</w:t>
            </w:r>
          </w:p>
        </w:tc>
        <w:tc>
          <w:tcPr>
            <w:tcW w:w="1777" w:type="dxa"/>
            <w:vAlign w:val="center"/>
          </w:tcPr>
          <w:p w:rsidR="000A2DEC" w:rsidRDefault="00E967B2">
            <w:pPr>
              <w:jc w:val="center"/>
            </w:pPr>
            <w:r>
              <w:rPr>
                <w:color w:val="000000"/>
                <w:sz w:val="24"/>
                <w:szCs w:val="24"/>
              </w:rPr>
              <w:t>迈瑞医疗</w:t>
            </w:r>
          </w:p>
        </w:tc>
        <w:tc>
          <w:tcPr>
            <w:tcW w:w="1334" w:type="dxa"/>
            <w:vAlign w:val="center"/>
          </w:tcPr>
          <w:p w:rsidR="000A2DEC" w:rsidRDefault="00E967B2">
            <w:pPr>
              <w:jc w:val="right"/>
            </w:pPr>
            <w:r>
              <w:rPr>
                <w:color w:val="000000"/>
                <w:sz w:val="24"/>
                <w:szCs w:val="24"/>
              </w:rPr>
              <w:t>16,800</w:t>
            </w:r>
          </w:p>
        </w:tc>
        <w:tc>
          <w:tcPr>
            <w:tcW w:w="1924" w:type="dxa"/>
            <w:vAlign w:val="center"/>
          </w:tcPr>
          <w:p w:rsidR="000A2DEC" w:rsidRDefault="00E967B2">
            <w:pPr>
              <w:jc w:val="right"/>
            </w:pPr>
            <w:r>
              <w:rPr>
                <w:color w:val="000000"/>
                <w:sz w:val="24"/>
                <w:szCs w:val="24"/>
              </w:rPr>
              <w:t>5,846,400.00</w:t>
            </w:r>
          </w:p>
        </w:tc>
        <w:tc>
          <w:tcPr>
            <w:tcW w:w="1644" w:type="dxa"/>
            <w:vAlign w:val="center"/>
          </w:tcPr>
          <w:p w:rsidR="000A2DEC" w:rsidRDefault="00E967B2">
            <w:pPr>
              <w:jc w:val="right"/>
            </w:pPr>
            <w:r>
              <w:rPr>
                <w:color w:val="000000"/>
                <w:sz w:val="24"/>
                <w:szCs w:val="24"/>
              </w:rPr>
              <w:t>0.75</w:t>
            </w:r>
          </w:p>
        </w:tc>
      </w:tr>
      <w:tr w:rsidR="000A2DEC">
        <w:trPr>
          <w:jc w:val="center"/>
        </w:trPr>
        <w:tc>
          <w:tcPr>
            <w:tcW w:w="855" w:type="dxa"/>
            <w:vAlign w:val="center"/>
          </w:tcPr>
          <w:p w:rsidR="000A2DEC" w:rsidRDefault="00E967B2">
            <w:pPr>
              <w:jc w:val="center"/>
            </w:pPr>
            <w:r>
              <w:rPr>
                <w:color w:val="000000"/>
                <w:sz w:val="24"/>
                <w:szCs w:val="24"/>
              </w:rPr>
              <w:t>6</w:t>
            </w:r>
          </w:p>
        </w:tc>
        <w:tc>
          <w:tcPr>
            <w:tcW w:w="1334" w:type="dxa"/>
            <w:vAlign w:val="center"/>
          </w:tcPr>
          <w:p w:rsidR="000A2DEC" w:rsidRDefault="00E967B2">
            <w:pPr>
              <w:jc w:val="center"/>
            </w:pPr>
            <w:r>
              <w:rPr>
                <w:color w:val="000000"/>
                <w:sz w:val="24"/>
                <w:szCs w:val="24"/>
              </w:rPr>
              <w:t>002415</w:t>
            </w:r>
          </w:p>
        </w:tc>
        <w:tc>
          <w:tcPr>
            <w:tcW w:w="1777" w:type="dxa"/>
            <w:vAlign w:val="center"/>
          </w:tcPr>
          <w:p w:rsidR="000A2DEC" w:rsidRDefault="00E967B2">
            <w:pPr>
              <w:jc w:val="center"/>
            </w:pPr>
            <w:r>
              <w:rPr>
                <w:color w:val="000000"/>
                <w:sz w:val="24"/>
                <w:szCs w:val="24"/>
              </w:rPr>
              <w:t>海康威视</w:t>
            </w:r>
          </w:p>
        </w:tc>
        <w:tc>
          <w:tcPr>
            <w:tcW w:w="1334" w:type="dxa"/>
            <w:vAlign w:val="center"/>
          </w:tcPr>
          <w:p w:rsidR="000A2DEC" w:rsidRDefault="00E967B2">
            <w:pPr>
              <w:jc w:val="right"/>
            </w:pPr>
            <w:r>
              <w:rPr>
                <w:color w:val="000000"/>
                <w:sz w:val="24"/>
                <w:szCs w:val="24"/>
              </w:rPr>
              <w:t>150,000</w:t>
            </w:r>
          </w:p>
        </w:tc>
        <w:tc>
          <w:tcPr>
            <w:tcW w:w="1924" w:type="dxa"/>
            <w:vAlign w:val="center"/>
          </w:tcPr>
          <w:p w:rsidR="000A2DEC" w:rsidRDefault="00E967B2">
            <w:pPr>
              <w:jc w:val="right"/>
            </w:pPr>
            <w:r>
              <w:rPr>
                <w:color w:val="000000"/>
                <w:sz w:val="24"/>
                <w:szCs w:val="24"/>
              </w:rPr>
              <w:t>5,716,500.00</w:t>
            </w:r>
          </w:p>
        </w:tc>
        <w:tc>
          <w:tcPr>
            <w:tcW w:w="1644" w:type="dxa"/>
            <w:vAlign w:val="center"/>
          </w:tcPr>
          <w:p w:rsidR="000A2DEC" w:rsidRDefault="00E967B2">
            <w:pPr>
              <w:jc w:val="right"/>
            </w:pPr>
            <w:r>
              <w:rPr>
                <w:color w:val="000000"/>
                <w:sz w:val="24"/>
                <w:szCs w:val="24"/>
              </w:rPr>
              <w:t>0.73</w:t>
            </w:r>
          </w:p>
        </w:tc>
      </w:tr>
      <w:tr w:rsidR="000A2DEC">
        <w:trPr>
          <w:jc w:val="center"/>
        </w:trPr>
        <w:tc>
          <w:tcPr>
            <w:tcW w:w="855" w:type="dxa"/>
            <w:vAlign w:val="center"/>
          </w:tcPr>
          <w:p w:rsidR="000A2DEC" w:rsidRDefault="00E967B2">
            <w:pPr>
              <w:jc w:val="center"/>
            </w:pPr>
            <w:r>
              <w:rPr>
                <w:color w:val="000000"/>
                <w:sz w:val="24"/>
                <w:szCs w:val="24"/>
              </w:rPr>
              <w:t>7</w:t>
            </w:r>
          </w:p>
        </w:tc>
        <w:tc>
          <w:tcPr>
            <w:tcW w:w="1334" w:type="dxa"/>
            <w:vAlign w:val="center"/>
          </w:tcPr>
          <w:p w:rsidR="000A2DEC" w:rsidRDefault="00E967B2">
            <w:pPr>
              <w:jc w:val="center"/>
            </w:pPr>
            <w:r>
              <w:rPr>
                <w:color w:val="000000"/>
                <w:sz w:val="24"/>
                <w:szCs w:val="24"/>
              </w:rPr>
              <w:t>603288</w:t>
            </w:r>
          </w:p>
        </w:tc>
        <w:tc>
          <w:tcPr>
            <w:tcW w:w="1777" w:type="dxa"/>
            <w:vAlign w:val="center"/>
          </w:tcPr>
          <w:p w:rsidR="000A2DEC" w:rsidRDefault="00E967B2">
            <w:pPr>
              <w:jc w:val="center"/>
            </w:pPr>
            <w:r>
              <w:rPr>
                <w:color w:val="000000"/>
                <w:sz w:val="24"/>
                <w:szCs w:val="24"/>
              </w:rPr>
              <w:t>海天味业</w:t>
            </w:r>
          </w:p>
        </w:tc>
        <w:tc>
          <w:tcPr>
            <w:tcW w:w="1334" w:type="dxa"/>
            <w:vAlign w:val="center"/>
          </w:tcPr>
          <w:p w:rsidR="000A2DEC" w:rsidRDefault="00E967B2">
            <w:pPr>
              <w:jc w:val="right"/>
            </w:pPr>
            <w:r>
              <w:rPr>
                <w:color w:val="000000"/>
                <w:sz w:val="24"/>
                <w:szCs w:val="24"/>
              </w:rPr>
              <w:t>35,140</w:t>
            </w:r>
          </w:p>
        </w:tc>
        <w:tc>
          <w:tcPr>
            <w:tcW w:w="1924" w:type="dxa"/>
            <w:vAlign w:val="center"/>
          </w:tcPr>
          <w:p w:rsidR="000A2DEC" w:rsidRDefault="00E967B2">
            <w:pPr>
              <w:jc w:val="right"/>
            </w:pPr>
            <w:r>
              <w:rPr>
                <w:color w:val="000000"/>
                <w:sz w:val="24"/>
                <w:szCs w:val="24"/>
              </w:rPr>
              <w:t>5,696,194.00</w:t>
            </w:r>
          </w:p>
        </w:tc>
        <w:tc>
          <w:tcPr>
            <w:tcW w:w="1644" w:type="dxa"/>
            <w:vAlign w:val="center"/>
          </w:tcPr>
          <w:p w:rsidR="000A2DEC" w:rsidRDefault="00E967B2">
            <w:pPr>
              <w:jc w:val="right"/>
            </w:pPr>
            <w:r>
              <w:rPr>
                <w:color w:val="000000"/>
                <w:sz w:val="24"/>
                <w:szCs w:val="24"/>
              </w:rPr>
              <w:t>0.73</w:t>
            </w:r>
          </w:p>
        </w:tc>
      </w:tr>
      <w:tr w:rsidR="000A2DEC">
        <w:trPr>
          <w:jc w:val="center"/>
        </w:trPr>
        <w:tc>
          <w:tcPr>
            <w:tcW w:w="855" w:type="dxa"/>
            <w:vAlign w:val="center"/>
          </w:tcPr>
          <w:p w:rsidR="000A2DEC" w:rsidRDefault="00E967B2">
            <w:pPr>
              <w:jc w:val="center"/>
            </w:pPr>
            <w:r>
              <w:rPr>
                <w:color w:val="000000"/>
                <w:sz w:val="24"/>
                <w:szCs w:val="24"/>
              </w:rPr>
              <w:t>8</w:t>
            </w:r>
          </w:p>
        </w:tc>
        <w:tc>
          <w:tcPr>
            <w:tcW w:w="1334" w:type="dxa"/>
            <w:vAlign w:val="center"/>
          </w:tcPr>
          <w:p w:rsidR="000A2DEC" w:rsidRDefault="00E967B2">
            <w:pPr>
              <w:jc w:val="center"/>
            </w:pPr>
            <w:r>
              <w:rPr>
                <w:color w:val="000000"/>
                <w:sz w:val="24"/>
                <w:szCs w:val="24"/>
              </w:rPr>
              <w:t>603259</w:t>
            </w:r>
          </w:p>
        </w:tc>
        <w:tc>
          <w:tcPr>
            <w:tcW w:w="1777" w:type="dxa"/>
            <w:vAlign w:val="center"/>
          </w:tcPr>
          <w:p w:rsidR="000A2DEC" w:rsidRDefault="00E967B2">
            <w:pPr>
              <w:jc w:val="center"/>
            </w:pPr>
            <w:r>
              <w:rPr>
                <w:color w:val="000000"/>
                <w:sz w:val="24"/>
                <w:szCs w:val="24"/>
              </w:rPr>
              <w:t>药明康德</w:t>
            </w:r>
          </w:p>
        </w:tc>
        <w:tc>
          <w:tcPr>
            <w:tcW w:w="1334" w:type="dxa"/>
            <w:vAlign w:val="center"/>
          </w:tcPr>
          <w:p w:rsidR="000A2DEC" w:rsidRDefault="00E967B2">
            <w:pPr>
              <w:jc w:val="right"/>
            </w:pPr>
            <w:r>
              <w:rPr>
                <w:color w:val="000000"/>
                <w:sz w:val="24"/>
                <w:szCs w:val="24"/>
              </w:rPr>
              <w:t>35,500</w:t>
            </w:r>
          </w:p>
        </w:tc>
        <w:tc>
          <w:tcPr>
            <w:tcW w:w="1924" w:type="dxa"/>
            <w:vAlign w:val="center"/>
          </w:tcPr>
          <w:p w:rsidR="000A2DEC" w:rsidRDefault="00E967B2">
            <w:pPr>
              <w:jc w:val="right"/>
            </w:pPr>
            <w:r>
              <w:rPr>
                <w:color w:val="000000"/>
                <w:sz w:val="24"/>
                <w:szCs w:val="24"/>
              </w:rPr>
              <w:t>3,603,250.00</w:t>
            </w:r>
          </w:p>
        </w:tc>
        <w:tc>
          <w:tcPr>
            <w:tcW w:w="1644" w:type="dxa"/>
            <w:vAlign w:val="center"/>
          </w:tcPr>
          <w:p w:rsidR="000A2DEC" w:rsidRDefault="00E967B2">
            <w:pPr>
              <w:jc w:val="right"/>
            </w:pPr>
            <w:r>
              <w:rPr>
                <w:color w:val="000000"/>
                <w:sz w:val="24"/>
                <w:szCs w:val="24"/>
              </w:rPr>
              <w:t>0.46</w:t>
            </w:r>
          </w:p>
        </w:tc>
      </w:tr>
      <w:tr w:rsidR="000A2DEC">
        <w:trPr>
          <w:jc w:val="center"/>
        </w:trPr>
        <w:tc>
          <w:tcPr>
            <w:tcW w:w="855" w:type="dxa"/>
            <w:vAlign w:val="center"/>
          </w:tcPr>
          <w:p w:rsidR="000A2DEC" w:rsidRDefault="00E967B2">
            <w:pPr>
              <w:jc w:val="center"/>
            </w:pPr>
            <w:r>
              <w:rPr>
                <w:color w:val="000000"/>
                <w:sz w:val="24"/>
                <w:szCs w:val="24"/>
              </w:rPr>
              <w:t>9</w:t>
            </w:r>
          </w:p>
        </w:tc>
        <w:tc>
          <w:tcPr>
            <w:tcW w:w="1334" w:type="dxa"/>
            <w:vAlign w:val="center"/>
          </w:tcPr>
          <w:p w:rsidR="000A2DEC" w:rsidRDefault="00E967B2">
            <w:pPr>
              <w:jc w:val="center"/>
            </w:pPr>
            <w:r>
              <w:rPr>
                <w:color w:val="000000"/>
                <w:sz w:val="24"/>
                <w:szCs w:val="24"/>
              </w:rPr>
              <w:t>603501</w:t>
            </w:r>
          </w:p>
        </w:tc>
        <w:tc>
          <w:tcPr>
            <w:tcW w:w="1777" w:type="dxa"/>
            <w:vAlign w:val="center"/>
          </w:tcPr>
          <w:p w:rsidR="000A2DEC" w:rsidRDefault="00E967B2">
            <w:pPr>
              <w:jc w:val="center"/>
            </w:pPr>
            <w:r>
              <w:rPr>
                <w:color w:val="000000"/>
                <w:sz w:val="24"/>
                <w:szCs w:val="24"/>
              </w:rPr>
              <w:t>韦尔股份</w:t>
            </w:r>
          </w:p>
        </w:tc>
        <w:tc>
          <w:tcPr>
            <w:tcW w:w="1334" w:type="dxa"/>
            <w:vAlign w:val="center"/>
          </w:tcPr>
          <w:p w:rsidR="000A2DEC" w:rsidRDefault="00E967B2">
            <w:pPr>
              <w:jc w:val="right"/>
            </w:pPr>
            <w:r>
              <w:rPr>
                <w:color w:val="000000"/>
                <w:sz w:val="24"/>
                <w:szCs w:val="24"/>
              </w:rPr>
              <w:t>17,900</w:t>
            </w:r>
          </w:p>
        </w:tc>
        <w:tc>
          <w:tcPr>
            <w:tcW w:w="1924" w:type="dxa"/>
            <w:vAlign w:val="center"/>
          </w:tcPr>
          <w:p w:rsidR="000A2DEC" w:rsidRDefault="00E967B2">
            <w:pPr>
              <w:jc w:val="right"/>
            </w:pPr>
            <w:r>
              <w:rPr>
                <w:color w:val="000000"/>
                <w:sz w:val="24"/>
                <w:szCs w:val="24"/>
              </w:rPr>
              <w:t>3,174,923.00</w:t>
            </w:r>
          </w:p>
        </w:tc>
        <w:tc>
          <w:tcPr>
            <w:tcW w:w="1644" w:type="dxa"/>
            <w:vAlign w:val="center"/>
          </w:tcPr>
          <w:p w:rsidR="000A2DEC" w:rsidRDefault="00E967B2">
            <w:pPr>
              <w:jc w:val="right"/>
            </w:pPr>
            <w:r>
              <w:rPr>
                <w:color w:val="000000"/>
                <w:sz w:val="24"/>
                <w:szCs w:val="24"/>
              </w:rPr>
              <w:t>0.41</w:t>
            </w:r>
          </w:p>
        </w:tc>
      </w:tr>
      <w:tr w:rsidR="000A2DEC">
        <w:trPr>
          <w:jc w:val="center"/>
        </w:trPr>
        <w:tc>
          <w:tcPr>
            <w:tcW w:w="855" w:type="dxa"/>
            <w:vAlign w:val="center"/>
          </w:tcPr>
          <w:p w:rsidR="000A2DEC" w:rsidRDefault="00E967B2">
            <w:pPr>
              <w:jc w:val="center"/>
            </w:pPr>
            <w:r>
              <w:rPr>
                <w:color w:val="000000"/>
                <w:sz w:val="24"/>
                <w:szCs w:val="24"/>
              </w:rPr>
              <w:t>10</w:t>
            </w:r>
          </w:p>
        </w:tc>
        <w:tc>
          <w:tcPr>
            <w:tcW w:w="1334" w:type="dxa"/>
            <w:vAlign w:val="center"/>
          </w:tcPr>
          <w:p w:rsidR="000A2DEC" w:rsidRDefault="00E967B2">
            <w:pPr>
              <w:jc w:val="center"/>
            </w:pPr>
            <w:r>
              <w:rPr>
                <w:color w:val="000000"/>
                <w:sz w:val="24"/>
                <w:szCs w:val="24"/>
              </w:rPr>
              <w:t>300122</w:t>
            </w:r>
          </w:p>
        </w:tc>
        <w:tc>
          <w:tcPr>
            <w:tcW w:w="1777" w:type="dxa"/>
            <w:vAlign w:val="center"/>
          </w:tcPr>
          <w:p w:rsidR="000A2DEC" w:rsidRDefault="00E967B2">
            <w:pPr>
              <w:jc w:val="center"/>
            </w:pPr>
            <w:r>
              <w:rPr>
                <w:color w:val="000000"/>
                <w:sz w:val="24"/>
                <w:szCs w:val="24"/>
              </w:rPr>
              <w:t>智飞生物</w:t>
            </w:r>
          </w:p>
        </w:tc>
        <w:tc>
          <w:tcPr>
            <w:tcW w:w="1334" w:type="dxa"/>
            <w:vAlign w:val="center"/>
          </w:tcPr>
          <w:p w:rsidR="000A2DEC" w:rsidRDefault="00E967B2">
            <w:pPr>
              <w:jc w:val="right"/>
            </w:pPr>
            <w:r>
              <w:rPr>
                <w:color w:val="000000"/>
                <w:sz w:val="24"/>
                <w:szCs w:val="24"/>
              </w:rPr>
              <w:t>22,300</w:t>
            </w:r>
          </w:p>
        </w:tc>
        <w:tc>
          <w:tcPr>
            <w:tcW w:w="1924" w:type="dxa"/>
            <w:vAlign w:val="center"/>
          </w:tcPr>
          <w:p w:rsidR="000A2DEC" w:rsidRDefault="00E967B2">
            <w:pPr>
              <w:jc w:val="right"/>
            </w:pPr>
            <w:r>
              <w:rPr>
                <w:color w:val="000000"/>
                <w:sz w:val="24"/>
                <w:szCs w:val="24"/>
              </w:rPr>
              <w:t>3,106,613.00</w:t>
            </w:r>
          </w:p>
        </w:tc>
        <w:tc>
          <w:tcPr>
            <w:tcW w:w="1644" w:type="dxa"/>
            <w:vAlign w:val="center"/>
          </w:tcPr>
          <w:p w:rsidR="000A2DEC" w:rsidRDefault="00E967B2">
            <w:pPr>
              <w:jc w:val="right"/>
            </w:pPr>
            <w:r>
              <w:rPr>
                <w:color w:val="000000"/>
                <w:sz w:val="24"/>
                <w:szCs w:val="24"/>
              </w:rPr>
              <w:t>0.40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44,111.40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44,111.40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A2DEC">
        <w:trPr>
          <w:jc w:val="center"/>
        </w:trPr>
        <w:tc>
          <w:tcPr>
            <w:tcW w:w="850" w:type="dxa"/>
            <w:vAlign w:val="center"/>
          </w:tcPr>
          <w:p w:rsidR="000A2DEC" w:rsidRDefault="00E967B2">
            <w:pPr>
              <w:jc w:val="center"/>
            </w:pPr>
            <w:r>
              <w:rPr>
                <w:color w:val="000000"/>
                <w:sz w:val="24"/>
                <w:szCs w:val="24"/>
              </w:rPr>
              <w:t>1</w:t>
            </w:r>
          </w:p>
        </w:tc>
        <w:tc>
          <w:tcPr>
            <w:tcW w:w="1475" w:type="dxa"/>
            <w:vAlign w:val="center"/>
          </w:tcPr>
          <w:p w:rsidR="000A2DEC" w:rsidRDefault="00E967B2">
            <w:pPr>
              <w:jc w:val="center"/>
            </w:pPr>
            <w:r>
              <w:rPr>
                <w:color w:val="000000"/>
                <w:sz w:val="24"/>
                <w:szCs w:val="24"/>
              </w:rPr>
              <w:t>113602</w:t>
            </w:r>
          </w:p>
        </w:tc>
        <w:tc>
          <w:tcPr>
            <w:tcW w:w="1769" w:type="dxa"/>
            <w:vAlign w:val="center"/>
          </w:tcPr>
          <w:p w:rsidR="000A2DEC" w:rsidRDefault="00E967B2">
            <w:pPr>
              <w:jc w:val="center"/>
            </w:pPr>
            <w:r>
              <w:rPr>
                <w:color w:val="000000"/>
                <w:sz w:val="24"/>
                <w:szCs w:val="24"/>
              </w:rPr>
              <w:t>景</w:t>
            </w:r>
            <w:r>
              <w:rPr>
                <w:color w:val="000000"/>
                <w:sz w:val="24"/>
                <w:szCs w:val="24"/>
              </w:rPr>
              <w:t>20</w:t>
            </w:r>
            <w:r>
              <w:rPr>
                <w:color w:val="000000"/>
                <w:sz w:val="24"/>
                <w:szCs w:val="24"/>
              </w:rPr>
              <w:t>转债</w:t>
            </w:r>
          </w:p>
        </w:tc>
        <w:tc>
          <w:tcPr>
            <w:tcW w:w="1387" w:type="dxa"/>
            <w:vAlign w:val="center"/>
          </w:tcPr>
          <w:p w:rsidR="000A2DEC" w:rsidRDefault="00E967B2">
            <w:pPr>
              <w:jc w:val="right"/>
            </w:pPr>
            <w:r>
              <w:rPr>
                <w:color w:val="000000"/>
                <w:sz w:val="24"/>
                <w:szCs w:val="24"/>
              </w:rPr>
              <w:t>370</w:t>
            </w:r>
          </w:p>
        </w:tc>
        <w:tc>
          <w:tcPr>
            <w:tcW w:w="2150" w:type="dxa"/>
            <w:vAlign w:val="center"/>
          </w:tcPr>
          <w:p w:rsidR="000A2DEC" w:rsidRDefault="00E967B2">
            <w:pPr>
              <w:jc w:val="right"/>
            </w:pPr>
            <w:r>
              <w:rPr>
                <w:color w:val="000000"/>
                <w:sz w:val="24"/>
                <w:szCs w:val="24"/>
              </w:rPr>
              <w:t>44,111.40</w:t>
            </w:r>
          </w:p>
        </w:tc>
        <w:tc>
          <w:tcPr>
            <w:tcW w:w="1237" w:type="dxa"/>
            <w:vAlign w:val="center"/>
          </w:tcPr>
          <w:p w:rsidR="000A2DEC" w:rsidRDefault="00E967B2">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71,914.62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179,281.46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17,268.81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1,098,187.82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1,366,652.71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F8289A">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4E5CD0">
              <w:rPr>
                <w:rFonts w:ascii="Times New Roman" w:hAnsi="Times New Roman" w:cs="Times New Roman"/>
              </w:rPr>
              <w:t>（</w:t>
            </w:r>
            <w:r w:rsidR="004E5CD0">
              <w:rPr>
                <w:rFonts w:ascii="Times New Roman" w:hAnsi="Times New Roman" w:cs="Times New Roman" w:hint="eastAsia"/>
              </w:rPr>
              <w:t>%</w:t>
            </w:r>
            <w:r w:rsidR="004E5CD0" w:rsidRPr="00575270">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0A2DEC">
        <w:tc>
          <w:tcPr>
            <w:tcW w:w="835" w:type="dxa"/>
            <w:vAlign w:val="center"/>
          </w:tcPr>
          <w:p w:rsidR="000A2DEC" w:rsidRDefault="00E967B2">
            <w:pPr>
              <w:jc w:val="center"/>
            </w:pPr>
            <w:r>
              <w:rPr>
                <w:sz w:val="24"/>
                <w:szCs w:val="24"/>
              </w:rPr>
              <w:t>1</w:t>
            </w:r>
          </w:p>
        </w:tc>
        <w:tc>
          <w:tcPr>
            <w:tcW w:w="1159" w:type="dxa"/>
            <w:vAlign w:val="center"/>
          </w:tcPr>
          <w:p w:rsidR="000A2DEC" w:rsidRDefault="00E967B2">
            <w:pPr>
              <w:jc w:val="center"/>
            </w:pPr>
            <w:r>
              <w:rPr>
                <w:sz w:val="24"/>
                <w:szCs w:val="24"/>
              </w:rPr>
              <w:t>519694</w:t>
            </w:r>
          </w:p>
        </w:tc>
        <w:tc>
          <w:tcPr>
            <w:tcW w:w="1161" w:type="dxa"/>
            <w:vAlign w:val="center"/>
          </w:tcPr>
          <w:p w:rsidR="000A2DEC" w:rsidRDefault="00E967B2">
            <w:pPr>
              <w:jc w:val="center"/>
            </w:pPr>
            <w:r>
              <w:rPr>
                <w:sz w:val="24"/>
                <w:szCs w:val="24"/>
              </w:rPr>
              <w:t>交银蓝筹混合</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43,711,861.11</w:t>
            </w:r>
          </w:p>
        </w:tc>
        <w:tc>
          <w:tcPr>
            <w:tcW w:w="1305" w:type="dxa"/>
            <w:vAlign w:val="center"/>
          </w:tcPr>
          <w:p w:rsidR="000A2DEC" w:rsidRDefault="00E967B2">
            <w:pPr>
              <w:jc w:val="center"/>
            </w:pPr>
            <w:r>
              <w:rPr>
                <w:sz w:val="24"/>
                <w:szCs w:val="24"/>
              </w:rPr>
              <w:t>57,074,577.05</w:t>
            </w:r>
          </w:p>
        </w:tc>
        <w:tc>
          <w:tcPr>
            <w:tcW w:w="1161" w:type="dxa"/>
            <w:vAlign w:val="center"/>
          </w:tcPr>
          <w:p w:rsidR="000A2DEC" w:rsidRDefault="00E967B2">
            <w:pPr>
              <w:jc w:val="center"/>
            </w:pPr>
            <w:r>
              <w:rPr>
                <w:sz w:val="24"/>
                <w:szCs w:val="24"/>
              </w:rPr>
              <w:t>7.32</w:t>
            </w:r>
          </w:p>
        </w:tc>
        <w:tc>
          <w:tcPr>
            <w:tcW w:w="1301" w:type="dxa"/>
            <w:vAlign w:val="center"/>
          </w:tcPr>
          <w:p w:rsidR="000A2DEC" w:rsidRDefault="00E967B2">
            <w:pPr>
              <w:jc w:val="center"/>
            </w:pPr>
            <w:r>
              <w:rPr>
                <w:sz w:val="24"/>
                <w:szCs w:val="24"/>
              </w:rPr>
              <w:t>是</w:t>
            </w:r>
          </w:p>
        </w:tc>
      </w:tr>
      <w:tr w:rsidR="000A2DEC">
        <w:tc>
          <w:tcPr>
            <w:tcW w:w="835" w:type="dxa"/>
            <w:vAlign w:val="center"/>
          </w:tcPr>
          <w:p w:rsidR="000A2DEC" w:rsidRDefault="00E967B2">
            <w:pPr>
              <w:jc w:val="center"/>
            </w:pPr>
            <w:r>
              <w:rPr>
                <w:sz w:val="24"/>
                <w:szCs w:val="24"/>
              </w:rPr>
              <w:t>2</w:t>
            </w:r>
          </w:p>
        </w:tc>
        <w:tc>
          <w:tcPr>
            <w:tcW w:w="1159" w:type="dxa"/>
            <w:vAlign w:val="center"/>
          </w:tcPr>
          <w:p w:rsidR="000A2DEC" w:rsidRDefault="00E967B2">
            <w:pPr>
              <w:jc w:val="center"/>
            </w:pPr>
            <w:r>
              <w:rPr>
                <w:sz w:val="24"/>
                <w:szCs w:val="24"/>
              </w:rPr>
              <w:t>161015</w:t>
            </w:r>
          </w:p>
        </w:tc>
        <w:tc>
          <w:tcPr>
            <w:tcW w:w="1161" w:type="dxa"/>
            <w:vAlign w:val="center"/>
          </w:tcPr>
          <w:p w:rsidR="000A2DEC" w:rsidRDefault="00E967B2">
            <w:pPr>
              <w:jc w:val="center"/>
            </w:pPr>
            <w:r>
              <w:rPr>
                <w:sz w:val="24"/>
                <w:szCs w:val="24"/>
              </w:rPr>
              <w:t>富国天盈债券</w:t>
            </w:r>
            <w:r>
              <w:rPr>
                <w:sz w:val="24"/>
                <w:szCs w:val="24"/>
              </w:rPr>
              <w:t>(LOF)C</w:t>
            </w:r>
          </w:p>
        </w:tc>
        <w:tc>
          <w:tcPr>
            <w:tcW w:w="1161" w:type="dxa"/>
            <w:vAlign w:val="center"/>
          </w:tcPr>
          <w:p w:rsidR="000A2DEC" w:rsidRDefault="00E967B2">
            <w:pPr>
              <w:jc w:val="center"/>
            </w:pPr>
            <w:r>
              <w:rPr>
                <w:sz w:val="24"/>
                <w:szCs w:val="24"/>
              </w:rPr>
              <w:t>契约型开放式</w:t>
            </w:r>
            <w:r>
              <w:rPr>
                <w:sz w:val="24"/>
                <w:szCs w:val="24"/>
              </w:rPr>
              <w:t>(LOF)</w:t>
            </w:r>
          </w:p>
        </w:tc>
        <w:tc>
          <w:tcPr>
            <w:tcW w:w="1159" w:type="dxa"/>
            <w:vAlign w:val="center"/>
          </w:tcPr>
          <w:p w:rsidR="000A2DEC" w:rsidRDefault="00E967B2">
            <w:pPr>
              <w:jc w:val="center"/>
            </w:pPr>
            <w:r>
              <w:rPr>
                <w:sz w:val="24"/>
                <w:szCs w:val="24"/>
              </w:rPr>
              <w:t>45,195,697.37</w:t>
            </w:r>
          </w:p>
        </w:tc>
        <w:tc>
          <w:tcPr>
            <w:tcW w:w="1305" w:type="dxa"/>
            <w:vAlign w:val="center"/>
          </w:tcPr>
          <w:p w:rsidR="000A2DEC" w:rsidRDefault="00E967B2">
            <w:pPr>
              <w:jc w:val="center"/>
            </w:pPr>
            <w:r>
              <w:rPr>
                <w:sz w:val="24"/>
                <w:szCs w:val="24"/>
              </w:rPr>
              <w:t>49,959,323.87</w:t>
            </w:r>
          </w:p>
        </w:tc>
        <w:tc>
          <w:tcPr>
            <w:tcW w:w="1161" w:type="dxa"/>
            <w:vAlign w:val="center"/>
          </w:tcPr>
          <w:p w:rsidR="000A2DEC" w:rsidRDefault="00E967B2">
            <w:pPr>
              <w:jc w:val="center"/>
            </w:pPr>
            <w:r>
              <w:rPr>
                <w:sz w:val="24"/>
                <w:szCs w:val="24"/>
              </w:rPr>
              <w:t>6.41</w:t>
            </w:r>
          </w:p>
        </w:tc>
        <w:tc>
          <w:tcPr>
            <w:tcW w:w="1301" w:type="dxa"/>
            <w:vAlign w:val="center"/>
          </w:tcPr>
          <w:p w:rsidR="000A2DEC" w:rsidRDefault="00E967B2">
            <w:pPr>
              <w:jc w:val="center"/>
            </w:pPr>
            <w:r>
              <w:rPr>
                <w:sz w:val="24"/>
                <w:szCs w:val="24"/>
              </w:rPr>
              <w:t>否</w:t>
            </w:r>
          </w:p>
        </w:tc>
      </w:tr>
      <w:tr w:rsidR="000A2DEC">
        <w:tc>
          <w:tcPr>
            <w:tcW w:w="835" w:type="dxa"/>
            <w:vAlign w:val="center"/>
          </w:tcPr>
          <w:p w:rsidR="000A2DEC" w:rsidRDefault="00E967B2">
            <w:pPr>
              <w:jc w:val="center"/>
            </w:pPr>
            <w:r>
              <w:rPr>
                <w:sz w:val="24"/>
                <w:szCs w:val="24"/>
              </w:rPr>
              <w:t>3</w:t>
            </w:r>
          </w:p>
        </w:tc>
        <w:tc>
          <w:tcPr>
            <w:tcW w:w="1159" w:type="dxa"/>
            <w:vAlign w:val="center"/>
          </w:tcPr>
          <w:p w:rsidR="000A2DEC" w:rsidRDefault="00E967B2">
            <w:pPr>
              <w:jc w:val="center"/>
            </w:pPr>
            <w:r>
              <w:rPr>
                <w:sz w:val="24"/>
                <w:szCs w:val="24"/>
              </w:rPr>
              <w:t>005656</w:t>
            </w:r>
          </w:p>
        </w:tc>
        <w:tc>
          <w:tcPr>
            <w:tcW w:w="1161" w:type="dxa"/>
            <w:vAlign w:val="center"/>
          </w:tcPr>
          <w:p w:rsidR="000A2DEC" w:rsidRDefault="00E967B2">
            <w:pPr>
              <w:jc w:val="center"/>
            </w:pPr>
            <w:r>
              <w:rPr>
                <w:sz w:val="24"/>
                <w:szCs w:val="24"/>
              </w:rPr>
              <w:t>光大保德信安泽债券</w:t>
            </w:r>
            <w:r>
              <w:rPr>
                <w:sz w:val="24"/>
                <w:szCs w:val="24"/>
              </w:rPr>
              <w:t>A</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43,218,082.81</w:t>
            </w:r>
          </w:p>
        </w:tc>
        <w:tc>
          <w:tcPr>
            <w:tcW w:w="1305" w:type="dxa"/>
            <w:vAlign w:val="center"/>
          </w:tcPr>
          <w:p w:rsidR="000A2DEC" w:rsidRDefault="00E967B2">
            <w:pPr>
              <w:jc w:val="center"/>
            </w:pPr>
            <w:r>
              <w:rPr>
                <w:sz w:val="24"/>
                <w:szCs w:val="24"/>
              </w:rPr>
              <w:t>49,916,885.65</w:t>
            </w:r>
          </w:p>
        </w:tc>
        <w:tc>
          <w:tcPr>
            <w:tcW w:w="1161" w:type="dxa"/>
            <w:vAlign w:val="center"/>
          </w:tcPr>
          <w:p w:rsidR="000A2DEC" w:rsidRDefault="00E967B2">
            <w:pPr>
              <w:jc w:val="center"/>
            </w:pPr>
            <w:r>
              <w:rPr>
                <w:sz w:val="24"/>
                <w:szCs w:val="24"/>
              </w:rPr>
              <w:t>6.40</w:t>
            </w:r>
          </w:p>
        </w:tc>
        <w:tc>
          <w:tcPr>
            <w:tcW w:w="1301" w:type="dxa"/>
            <w:vAlign w:val="center"/>
          </w:tcPr>
          <w:p w:rsidR="000A2DEC" w:rsidRDefault="00E967B2">
            <w:pPr>
              <w:jc w:val="center"/>
            </w:pPr>
            <w:r>
              <w:rPr>
                <w:sz w:val="24"/>
                <w:szCs w:val="24"/>
              </w:rPr>
              <w:t>否</w:t>
            </w:r>
          </w:p>
        </w:tc>
      </w:tr>
      <w:tr w:rsidR="000A2DEC">
        <w:tc>
          <w:tcPr>
            <w:tcW w:w="835" w:type="dxa"/>
            <w:vAlign w:val="center"/>
          </w:tcPr>
          <w:p w:rsidR="000A2DEC" w:rsidRDefault="00E967B2">
            <w:pPr>
              <w:jc w:val="center"/>
            </w:pPr>
            <w:r>
              <w:rPr>
                <w:sz w:val="24"/>
                <w:szCs w:val="24"/>
              </w:rPr>
              <w:t>4</w:t>
            </w:r>
          </w:p>
        </w:tc>
        <w:tc>
          <w:tcPr>
            <w:tcW w:w="1159" w:type="dxa"/>
            <w:vAlign w:val="center"/>
          </w:tcPr>
          <w:p w:rsidR="000A2DEC" w:rsidRDefault="00E967B2">
            <w:pPr>
              <w:jc w:val="center"/>
            </w:pPr>
            <w:r>
              <w:rPr>
                <w:sz w:val="24"/>
                <w:szCs w:val="24"/>
              </w:rPr>
              <w:t>400030</w:t>
            </w:r>
          </w:p>
        </w:tc>
        <w:tc>
          <w:tcPr>
            <w:tcW w:w="1161" w:type="dxa"/>
            <w:vAlign w:val="center"/>
          </w:tcPr>
          <w:p w:rsidR="000A2DEC" w:rsidRDefault="00E967B2">
            <w:pPr>
              <w:jc w:val="center"/>
            </w:pPr>
            <w:r>
              <w:rPr>
                <w:sz w:val="24"/>
                <w:szCs w:val="24"/>
              </w:rPr>
              <w:t>东方添益债券</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41,731,908.85</w:t>
            </w:r>
          </w:p>
        </w:tc>
        <w:tc>
          <w:tcPr>
            <w:tcW w:w="1305" w:type="dxa"/>
            <w:vAlign w:val="center"/>
          </w:tcPr>
          <w:p w:rsidR="000A2DEC" w:rsidRDefault="00E967B2">
            <w:pPr>
              <w:jc w:val="center"/>
            </w:pPr>
            <w:r>
              <w:rPr>
                <w:sz w:val="24"/>
                <w:szCs w:val="24"/>
              </w:rPr>
              <w:t>49,865,457.88</w:t>
            </w:r>
          </w:p>
        </w:tc>
        <w:tc>
          <w:tcPr>
            <w:tcW w:w="1161" w:type="dxa"/>
            <w:vAlign w:val="center"/>
          </w:tcPr>
          <w:p w:rsidR="000A2DEC" w:rsidRDefault="00E967B2">
            <w:pPr>
              <w:jc w:val="center"/>
            </w:pPr>
            <w:r>
              <w:rPr>
                <w:sz w:val="24"/>
                <w:szCs w:val="24"/>
              </w:rPr>
              <w:t>6.39</w:t>
            </w:r>
          </w:p>
        </w:tc>
        <w:tc>
          <w:tcPr>
            <w:tcW w:w="1301" w:type="dxa"/>
            <w:vAlign w:val="center"/>
          </w:tcPr>
          <w:p w:rsidR="000A2DEC" w:rsidRDefault="00E967B2">
            <w:pPr>
              <w:jc w:val="center"/>
            </w:pPr>
            <w:r>
              <w:rPr>
                <w:sz w:val="24"/>
                <w:szCs w:val="24"/>
              </w:rPr>
              <w:t>否</w:t>
            </w:r>
          </w:p>
        </w:tc>
      </w:tr>
      <w:tr w:rsidR="000A2DEC">
        <w:tc>
          <w:tcPr>
            <w:tcW w:w="835" w:type="dxa"/>
            <w:vAlign w:val="center"/>
          </w:tcPr>
          <w:p w:rsidR="000A2DEC" w:rsidRDefault="00E967B2">
            <w:pPr>
              <w:jc w:val="center"/>
            </w:pPr>
            <w:r>
              <w:rPr>
                <w:sz w:val="24"/>
                <w:szCs w:val="24"/>
              </w:rPr>
              <w:t>5</w:t>
            </w:r>
          </w:p>
        </w:tc>
        <w:tc>
          <w:tcPr>
            <w:tcW w:w="1159" w:type="dxa"/>
            <w:vAlign w:val="center"/>
          </w:tcPr>
          <w:p w:rsidR="000A2DEC" w:rsidRDefault="00E967B2">
            <w:pPr>
              <w:jc w:val="center"/>
            </w:pPr>
            <w:r>
              <w:rPr>
                <w:sz w:val="24"/>
                <w:szCs w:val="24"/>
              </w:rPr>
              <w:t>004025</w:t>
            </w:r>
          </w:p>
        </w:tc>
        <w:tc>
          <w:tcPr>
            <w:tcW w:w="1161" w:type="dxa"/>
            <w:vAlign w:val="center"/>
          </w:tcPr>
          <w:p w:rsidR="000A2DEC" w:rsidRDefault="00E967B2">
            <w:pPr>
              <w:jc w:val="center"/>
            </w:pPr>
            <w:r>
              <w:rPr>
                <w:sz w:val="24"/>
                <w:szCs w:val="24"/>
              </w:rPr>
              <w:t>融通收益增强债券</w:t>
            </w:r>
            <w:r>
              <w:rPr>
                <w:sz w:val="24"/>
                <w:szCs w:val="24"/>
              </w:rPr>
              <w:t>A</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36,528,767.12</w:t>
            </w:r>
          </w:p>
        </w:tc>
        <w:tc>
          <w:tcPr>
            <w:tcW w:w="1305" w:type="dxa"/>
            <w:vAlign w:val="center"/>
          </w:tcPr>
          <w:p w:rsidR="000A2DEC" w:rsidRDefault="00E967B2">
            <w:pPr>
              <w:jc w:val="center"/>
            </w:pPr>
            <w:r>
              <w:rPr>
                <w:sz w:val="24"/>
                <w:szCs w:val="24"/>
              </w:rPr>
              <w:t>40,137,809.31</w:t>
            </w:r>
          </w:p>
        </w:tc>
        <w:tc>
          <w:tcPr>
            <w:tcW w:w="1161" w:type="dxa"/>
            <w:vAlign w:val="center"/>
          </w:tcPr>
          <w:p w:rsidR="000A2DEC" w:rsidRDefault="00E967B2">
            <w:pPr>
              <w:jc w:val="center"/>
            </w:pPr>
            <w:r>
              <w:rPr>
                <w:sz w:val="24"/>
                <w:szCs w:val="24"/>
              </w:rPr>
              <w:t>5.15</w:t>
            </w:r>
          </w:p>
        </w:tc>
        <w:tc>
          <w:tcPr>
            <w:tcW w:w="1301" w:type="dxa"/>
            <w:vAlign w:val="center"/>
          </w:tcPr>
          <w:p w:rsidR="000A2DEC" w:rsidRDefault="00E967B2">
            <w:pPr>
              <w:jc w:val="center"/>
            </w:pPr>
            <w:r>
              <w:rPr>
                <w:sz w:val="24"/>
                <w:szCs w:val="24"/>
              </w:rPr>
              <w:t>否</w:t>
            </w:r>
          </w:p>
        </w:tc>
      </w:tr>
      <w:tr w:rsidR="000A2DEC">
        <w:tc>
          <w:tcPr>
            <w:tcW w:w="835" w:type="dxa"/>
            <w:vAlign w:val="center"/>
          </w:tcPr>
          <w:p w:rsidR="000A2DEC" w:rsidRDefault="00E967B2">
            <w:pPr>
              <w:jc w:val="center"/>
            </w:pPr>
            <w:r>
              <w:rPr>
                <w:sz w:val="24"/>
                <w:szCs w:val="24"/>
              </w:rPr>
              <w:t>6</w:t>
            </w:r>
          </w:p>
        </w:tc>
        <w:tc>
          <w:tcPr>
            <w:tcW w:w="1159" w:type="dxa"/>
            <w:vAlign w:val="center"/>
          </w:tcPr>
          <w:p w:rsidR="000A2DEC" w:rsidRDefault="00E967B2">
            <w:pPr>
              <w:jc w:val="center"/>
            </w:pPr>
            <w:r>
              <w:rPr>
                <w:sz w:val="24"/>
                <w:szCs w:val="24"/>
              </w:rPr>
              <w:t>121012</w:t>
            </w:r>
          </w:p>
        </w:tc>
        <w:tc>
          <w:tcPr>
            <w:tcW w:w="1161" w:type="dxa"/>
            <w:vAlign w:val="center"/>
          </w:tcPr>
          <w:p w:rsidR="000A2DEC" w:rsidRDefault="00E967B2">
            <w:pPr>
              <w:jc w:val="center"/>
            </w:pPr>
            <w:r>
              <w:rPr>
                <w:sz w:val="24"/>
                <w:szCs w:val="24"/>
              </w:rPr>
              <w:t>国投瑞银优化增强债券</w:t>
            </w:r>
            <w:r>
              <w:rPr>
                <w:sz w:val="24"/>
                <w:szCs w:val="24"/>
              </w:rPr>
              <w:t>A/B</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24,539,263.80</w:t>
            </w:r>
          </w:p>
        </w:tc>
        <w:tc>
          <w:tcPr>
            <w:tcW w:w="1305" w:type="dxa"/>
            <w:vAlign w:val="center"/>
          </w:tcPr>
          <w:p w:rsidR="000A2DEC" w:rsidRDefault="00E967B2">
            <w:pPr>
              <w:jc w:val="center"/>
            </w:pPr>
            <w:r>
              <w:rPr>
                <w:sz w:val="24"/>
                <w:szCs w:val="24"/>
              </w:rPr>
              <w:t>40,023,539.26</w:t>
            </w:r>
          </w:p>
        </w:tc>
        <w:tc>
          <w:tcPr>
            <w:tcW w:w="1161" w:type="dxa"/>
            <w:vAlign w:val="center"/>
          </w:tcPr>
          <w:p w:rsidR="000A2DEC" w:rsidRDefault="00E967B2">
            <w:pPr>
              <w:jc w:val="center"/>
            </w:pPr>
            <w:r>
              <w:rPr>
                <w:sz w:val="24"/>
                <w:szCs w:val="24"/>
              </w:rPr>
              <w:t>5.13</w:t>
            </w:r>
          </w:p>
        </w:tc>
        <w:tc>
          <w:tcPr>
            <w:tcW w:w="1301" w:type="dxa"/>
            <w:vAlign w:val="center"/>
          </w:tcPr>
          <w:p w:rsidR="000A2DEC" w:rsidRDefault="00E967B2">
            <w:pPr>
              <w:jc w:val="center"/>
            </w:pPr>
            <w:r>
              <w:rPr>
                <w:sz w:val="24"/>
                <w:szCs w:val="24"/>
              </w:rPr>
              <w:t>否</w:t>
            </w:r>
          </w:p>
        </w:tc>
      </w:tr>
      <w:tr w:rsidR="000A2DEC">
        <w:tc>
          <w:tcPr>
            <w:tcW w:w="835" w:type="dxa"/>
            <w:vAlign w:val="center"/>
          </w:tcPr>
          <w:p w:rsidR="000A2DEC" w:rsidRDefault="00E967B2">
            <w:pPr>
              <w:jc w:val="center"/>
            </w:pPr>
            <w:r>
              <w:rPr>
                <w:sz w:val="24"/>
                <w:szCs w:val="24"/>
              </w:rPr>
              <w:t>7</w:t>
            </w:r>
          </w:p>
        </w:tc>
        <w:tc>
          <w:tcPr>
            <w:tcW w:w="1159" w:type="dxa"/>
            <w:vAlign w:val="center"/>
          </w:tcPr>
          <w:p w:rsidR="000A2DEC" w:rsidRDefault="00E967B2">
            <w:pPr>
              <w:jc w:val="center"/>
            </w:pPr>
            <w:r>
              <w:rPr>
                <w:sz w:val="24"/>
                <w:szCs w:val="24"/>
              </w:rPr>
              <w:t>675100</w:t>
            </w:r>
          </w:p>
        </w:tc>
        <w:tc>
          <w:tcPr>
            <w:tcW w:w="1161" w:type="dxa"/>
            <w:vAlign w:val="center"/>
          </w:tcPr>
          <w:p w:rsidR="000A2DEC" w:rsidRDefault="00E967B2">
            <w:pPr>
              <w:jc w:val="center"/>
            </w:pPr>
            <w:r>
              <w:rPr>
                <w:sz w:val="24"/>
                <w:szCs w:val="24"/>
              </w:rPr>
              <w:t>西部利得得尊债券</w:t>
            </w:r>
            <w:r>
              <w:rPr>
                <w:sz w:val="24"/>
                <w:szCs w:val="24"/>
              </w:rPr>
              <w:t>A</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33,686,205.15</w:t>
            </w:r>
          </w:p>
        </w:tc>
        <w:tc>
          <w:tcPr>
            <w:tcW w:w="1305" w:type="dxa"/>
            <w:vAlign w:val="center"/>
          </w:tcPr>
          <w:p w:rsidR="000A2DEC" w:rsidRDefault="00E967B2">
            <w:pPr>
              <w:jc w:val="center"/>
            </w:pPr>
            <w:r>
              <w:rPr>
                <w:sz w:val="24"/>
                <w:szCs w:val="24"/>
              </w:rPr>
              <w:t>39,904,678.62</w:t>
            </w:r>
          </w:p>
        </w:tc>
        <w:tc>
          <w:tcPr>
            <w:tcW w:w="1161" w:type="dxa"/>
            <w:vAlign w:val="center"/>
          </w:tcPr>
          <w:p w:rsidR="000A2DEC" w:rsidRDefault="00E967B2">
            <w:pPr>
              <w:jc w:val="center"/>
            </w:pPr>
            <w:r>
              <w:rPr>
                <w:sz w:val="24"/>
                <w:szCs w:val="24"/>
              </w:rPr>
              <w:t>5.12</w:t>
            </w:r>
          </w:p>
        </w:tc>
        <w:tc>
          <w:tcPr>
            <w:tcW w:w="1301" w:type="dxa"/>
            <w:vAlign w:val="center"/>
          </w:tcPr>
          <w:p w:rsidR="000A2DEC" w:rsidRDefault="00E967B2">
            <w:pPr>
              <w:jc w:val="center"/>
            </w:pPr>
            <w:r>
              <w:rPr>
                <w:sz w:val="24"/>
                <w:szCs w:val="24"/>
              </w:rPr>
              <w:t>否</w:t>
            </w:r>
          </w:p>
        </w:tc>
      </w:tr>
      <w:tr w:rsidR="000A2DEC">
        <w:tc>
          <w:tcPr>
            <w:tcW w:w="835" w:type="dxa"/>
            <w:vAlign w:val="center"/>
          </w:tcPr>
          <w:p w:rsidR="000A2DEC" w:rsidRDefault="00E967B2">
            <w:pPr>
              <w:jc w:val="center"/>
            </w:pPr>
            <w:r>
              <w:rPr>
                <w:sz w:val="24"/>
                <w:szCs w:val="24"/>
              </w:rPr>
              <w:t>8</w:t>
            </w:r>
          </w:p>
        </w:tc>
        <w:tc>
          <w:tcPr>
            <w:tcW w:w="1159" w:type="dxa"/>
            <w:vAlign w:val="center"/>
          </w:tcPr>
          <w:p w:rsidR="000A2DEC" w:rsidRDefault="00E967B2">
            <w:pPr>
              <w:jc w:val="center"/>
            </w:pPr>
            <w:r>
              <w:rPr>
                <w:sz w:val="24"/>
                <w:szCs w:val="24"/>
              </w:rPr>
              <w:t>005004</w:t>
            </w:r>
          </w:p>
        </w:tc>
        <w:tc>
          <w:tcPr>
            <w:tcW w:w="1161" w:type="dxa"/>
            <w:vAlign w:val="center"/>
          </w:tcPr>
          <w:p w:rsidR="000A2DEC" w:rsidRDefault="00E967B2">
            <w:pPr>
              <w:jc w:val="center"/>
            </w:pPr>
            <w:r>
              <w:rPr>
                <w:sz w:val="24"/>
                <w:szCs w:val="24"/>
              </w:rPr>
              <w:t>交银品质升级混合</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22,703,698.04</w:t>
            </w:r>
          </w:p>
        </w:tc>
        <w:tc>
          <w:tcPr>
            <w:tcW w:w="1305" w:type="dxa"/>
            <w:vAlign w:val="center"/>
          </w:tcPr>
          <w:p w:rsidR="000A2DEC" w:rsidRDefault="00E967B2">
            <w:pPr>
              <w:jc w:val="center"/>
            </w:pPr>
            <w:r>
              <w:rPr>
                <w:sz w:val="24"/>
                <w:szCs w:val="24"/>
              </w:rPr>
              <w:t>38,253,460.83</w:t>
            </w:r>
          </w:p>
        </w:tc>
        <w:tc>
          <w:tcPr>
            <w:tcW w:w="1161" w:type="dxa"/>
            <w:vAlign w:val="center"/>
          </w:tcPr>
          <w:p w:rsidR="000A2DEC" w:rsidRDefault="00E967B2">
            <w:pPr>
              <w:jc w:val="center"/>
            </w:pPr>
            <w:r>
              <w:rPr>
                <w:sz w:val="24"/>
                <w:szCs w:val="24"/>
              </w:rPr>
              <w:t>4.90</w:t>
            </w:r>
          </w:p>
        </w:tc>
        <w:tc>
          <w:tcPr>
            <w:tcW w:w="1301" w:type="dxa"/>
            <w:vAlign w:val="center"/>
          </w:tcPr>
          <w:p w:rsidR="000A2DEC" w:rsidRDefault="00E967B2">
            <w:pPr>
              <w:jc w:val="center"/>
            </w:pPr>
            <w:r>
              <w:rPr>
                <w:sz w:val="24"/>
                <w:szCs w:val="24"/>
              </w:rPr>
              <w:t>是</w:t>
            </w:r>
          </w:p>
        </w:tc>
      </w:tr>
      <w:tr w:rsidR="000A2DEC">
        <w:tc>
          <w:tcPr>
            <w:tcW w:w="835" w:type="dxa"/>
            <w:vAlign w:val="center"/>
          </w:tcPr>
          <w:p w:rsidR="000A2DEC" w:rsidRDefault="00E967B2">
            <w:pPr>
              <w:jc w:val="center"/>
            </w:pPr>
            <w:r>
              <w:rPr>
                <w:sz w:val="24"/>
                <w:szCs w:val="24"/>
              </w:rPr>
              <w:t>9</w:t>
            </w:r>
          </w:p>
        </w:tc>
        <w:tc>
          <w:tcPr>
            <w:tcW w:w="1159" w:type="dxa"/>
            <w:vAlign w:val="center"/>
          </w:tcPr>
          <w:p w:rsidR="000A2DEC" w:rsidRDefault="00E967B2">
            <w:pPr>
              <w:jc w:val="center"/>
            </w:pPr>
            <w:r>
              <w:rPr>
                <w:sz w:val="24"/>
                <w:szCs w:val="24"/>
              </w:rPr>
              <w:t>519702</w:t>
            </w:r>
          </w:p>
        </w:tc>
        <w:tc>
          <w:tcPr>
            <w:tcW w:w="1161" w:type="dxa"/>
            <w:vAlign w:val="center"/>
          </w:tcPr>
          <w:p w:rsidR="000A2DEC" w:rsidRDefault="00E967B2">
            <w:pPr>
              <w:jc w:val="center"/>
            </w:pPr>
            <w:r>
              <w:rPr>
                <w:sz w:val="24"/>
                <w:szCs w:val="24"/>
              </w:rPr>
              <w:t>交银趋势优先混合</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13,906,806.28</w:t>
            </w:r>
          </w:p>
        </w:tc>
        <w:tc>
          <w:tcPr>
            <w:tcW w:w="1305" w:type="dxa"/>
            <w:vAlign w:val="center"/>
          </w:tcPr>
          <w:p w:rsidR="000A2DEC" w:rsidRDefault="00E967B2">
            <w:pPr>
              <w:jc w:val="center"/>
            </w:pPr>
            <w:r>
              <w:rPr>
                <w:sz w:val="24"/>
                <w:szCs w:val="24"/>
              </w:rPr>
              <w:t>36,074,255.49</w:t>
            </w:r>
          </w:p>
        </w:tc>
        <w:tc>
          <w:tcPr>
            <w:tcW w:w="1161" w:type="dxa"/>
            <w:vAlign w:val="center"/>
          </w:tcPr>
          <w:p w:rsidR="000A2DEC" w:rsidRDefault="00E967B2">
            <w:pPr>
              <w:jc w:val="center"/>
            </w:pPr>
            <w:r>
              <w:rPr>
                <w:sz w:val="24"/>
                <w:szCs w:val="24"/>
              </w:rPr>
              <w:t>4.63</w:t>
            </w:r>
          </w:p>
        </w:tc>
        <w:tc>
          <w:tcPr>
            <w:tcW w:w="1301" w:type="dxa"/>
            <w:vAlign w:val="center"/>
          </w:tcPr>
          <w:p w:rsidR="000A2DEC" w:rsidRDefault="00E967B2">
            <w:pPr>
              <w:jc w:val="center"/>
            </w:pPr>
            <w:r>
              <w:rPr>
                <w:sz w:val="24"/>
                <w:szCs w:val="24"/>
              </w:rPr>
              <w:t>是</w:t>
            </w:r>
          </w:p>
        </w:tc>
      </w:tr>
      <w:tr w:rsidR="000A2DEC">
        <w:tc>
          <w:tcPr>
            <w:tcW w:w="835" w:type="dxa"/>
            <w:vAlign w:val="center"/>
          </w:tcPr>
          <w:p w:rsidR="000A2DEC" w:rsidRDefault="00E967B2">
            <w:pPr>
              <w:jc w:val="center"/>
            </w:pPr>
            <w:r>
              <w:rPr>
                <w:sz w:val="24"/>
                <w:szCs w:val="24"/>
              </w:rPr>
              <w:t>10</w:t>
            </w:r>
          </w:p>
        </w:tc>
        <w:tc>
          <w:tcPr>
            <w:tcW w:w="1159" w:type="dxa"/>
            <w:vAlign w:val="center"/>
          </w:tcPr>
          <w:p w:rsidR="000A2DEC" w:rsidRDefault="00E967B2">
            <w:pPr>
              <w:jc w:val="center"/>
            </w:pPr>
            <w:r>
              <w:rPr>
                <w:sz w:val="24"/>
                <w:szCs w:val="24"/>
              </w:rPr>
              <w:t>519773</w:t>
            </w:r>
          </w:p>
        </w:tc>
        <w:tc>
          <w:tcPr>
            <w:tcW w:w="1161" w:type="dxa"/>
            <w:vAlign w:val="center"/>
          </w:tcPr>
          <w:p w:rsidR="000A2DEC" w:rsidRDefault="00E967B2">
            <w:pPr>
              <w:jc w:val="center"/>
            </w:pPr>
            <w:r>
              <w:rPr>
                <w:sz w:val="24"/>
                <w:szCs w:val="24"/>
              </w:rPr>
              <w:t>交银数据产业灵活配置混合</w:t>
            </w:r>
          </w:p>
        </w:tc>
        <w:tc>
          <w:tcPr>
            <w:tcW w:w="1161" w:type="dxa"/>
            <w:vAlign w:val="center"/>
          </w:tcPr>
          <w:p w:rsidR="000A2DEC" w:rsidRDefault="00E967B2">
            <w:pPr>
              <w:jc w:val="center"/>
            </w:pPr>
            <w:r>
              <w:rPr>
                <w:sz w:val="24"/>
                <w:szCs w:val="24"/>
              </w:rPr>
              <w:t>契约型开放式</w:t>
            </w:r>
          </w:p>
        </w:tc>
        <w:tc>
          <w:tcPr>
            <w:tcW w:w="1159" w:type="dxa"/>
            <w:vAlign w:val="center"/>
          </w:tcPr>
          <w:p w:rsidR="000A2DEC" w:rsidRDefault="00E967B2">
            <w:pPr>
              <w:jc w:val="center"/>
            </w:pPr>
            <w:r>
              <w:rPr>
                <w:sz w:val="24"/>
                <w:szCs w:val="24"/>
              </w:rPr>
              <w:t>16,884,031.54</w:t>
            </w:r>
          </w:p>
        </w:tc>
        <w:tc>
          <w:tcPr>
            <w:tcW w:w="1305" w:type="dxa"/>
            <w:vAlign w:val="center"/>
          </w:tcPr>
          <w:p w:rsidR="000A2DEC" w:rsidRDefault="00E967B2">
            <w:pPr>
              <w:jc w:val="center"/>
            </w:pPr>
            <w:r>
              <w:rPr>
                <w:sz w:val="24"/>
                <w:szCs w:val="24"/>
              </w:rPr>
              <w:t>32,231,616.21</w:t>
            </w:r>
          </w:p>
        </w:tc>
        <w:tc>
          <w:tcPr>
            <w:tcW w:w="1161" w:type="dxa"/>
            <w:vAlign w:val="center"/>
          </w:tcPr>
          <w:p w:rsidR="000A2DEC" w:rsidRDefault="00E967B2">
            <w:pPr>
              <w:jc w:val="center"/>
            </w:pPr>
            <w:r>
              <w:rPr>
                <w:sz w:val="24"/>
                <w:szCs w:val="24"/>
              </w:rPr>
              <w:t>4.13</w:t>
            </w:r>
          </w:p>
        </w:tc>
        <w:tc>
          <w:tcPr>
            <w:tcW w:w="1301" w:type="dxa"/>
            <w:vAlign w:val="center"/>
          </w:tcPr>
          <w:p w:rsidR="000A2DEC" w:rsidRDefault="00E967B2">
            <w:pPr>
              <w:jc w:val="center"/>
            </w:pPr>
            <w:r>
              <w:rPr>
                <w:sz w:val="24"/>
                <w:szCs w:val="24"/>
              </w:rPr>
              <w:t>是</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firstRow="1" w:lastRow="0" w:firstColumn="1" w:lastColumn="0" w:noHBand="0" w:noVBand="1"/>
      </w:tblPr>
      <w:tblGrid>
        <w:gridCol w:w="3012"/>
        <w:gridCol w:w="3012"/>
        <w:gridCol w:w="3012"/>
      </w:tblGrid>
      <w:tr w:rsidR="004046D7" w:rsidRPr="00575270" w:rsidTr="00B32CA0">
        <w:tc>
          <w:tcPr>
            <w:tcW w:w="3012" w:type="dxa"/>
            <w:vAlign w:val="center"/>
          </w:tcPr>
          <w:p w:rsidR="004046D7" w:rsidRPr="00575270" w:rsidRDefault="004046D7" w:rsidP="00374293">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本期费用</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r w:rsidR="004C4960" w:rsidRPr="00575270">
              <w:rPr>
                <w:sz w:val="24"/>
                <w:szCs w:val="24"/>
              </w:rPr>
              <w:t>（元）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4,000.00</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118,557.57</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98,436.64</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4046D7" w:rsidRPr="00575270" w:rsidRDefault="00E967B2" w:rsidP="00E967B2">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43,925.48</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4046D7" w:rsidRPr="00575270" w:rsidRDefault="00E967B2" w:rsidP="00E967B2">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1,205,636.69</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812,222.00</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4046D7" w:rsidRPr="00575270" w:rsidRDefault="00E967B2"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234,767.39</w:t>
            </w:r>
            <w:bookmarkStart w:id="0" w:name="_GoBack"/>
            <w:bookmarkEnd w:id="0"/>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135,370.28</w:t>
            </w:r>
          </w:p>
        </w:tc>
      </w:tr>
    </w:tbl>
    <w:p w:rsidR="000A2DEC" w:rsidRDefault="00E967B2">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R="004046D7" w:rsidRDefault="004046D7" w:rsidP="004046D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575270">
        <w:rPr>
          <w:rFonts w:eastAsiaTheme="minorEastAsia"/>
          <w:color w:val="000000" w:themeColor="text1"/>
          <w:sz w:val="24"/>
          <w:szCs w:val="24"/>
        </w:rPr>
        <w:t>ETF</w:t>
      </w:r>
      <w:r w:rsidRPr="00575270">
        <w:rPr>
          <w:rFonts w:eastAsiaTheme="minorEastAsia"/>
          <w:color w:val="000000" w:themeColor="text1"/>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634,352,131.31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20,395,551.74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654,747,683.05</w:t>
            </w:r>
          </w:p>
        </w:tc>
      </w:tr>
    </w:tbl>
    <w:p w:rsidR="000A2DEC" w:rsidRDefault="00E967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A2DEC" w:rsidRDefault="00E967B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）基金合同》；</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）托管协议》；</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A2DEC" w:rsidRDefault="00E967B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、报告期内交银施罗德养老目标日期</w:t>
      </w:r>
      <w:r w:rsidRPr="00414345">
        <w:rPr>
          <w:color w:val="000000"/>
          <w:sz w:val="24"/>
          <w:szCs w:val="24"/>
        </w:rPr>
        <w:t>2035</w:t>
      </w:r>
      <w:r w:rsidRPr="00414345">
        <w:rPr>
          <w:color w:val="000000"/>
          <w:sz w:val="24"/>
          <w:szCs w:val="24"/>
        </w:rPr>
        <w:t>三年持有期混合型基金中基金（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A2DEC" w:rsidRDefault="00E967B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w:t>
      </w:r>
      <w:r>
        <w:rPr>
          <w:color w:val="000000"/>
          <w:sz w:val="24"/>
          <w:szCs w:val="24"/>
        </w:rPr>
        <w:t>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3F" w:rsidRDefault="009A4C3F" w:rsidP="00876D65">
      <w:r>
        <w:separator/>
      </w:r>
    </w:p>
  </w:endnote>
  <w:endnote w:type="continuationSeparator" w:id="0">
    <w:p w:rsidR="009A4C3F" w:rsidRDefault="009A4C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967B2">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967B2">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3F" w:rsidRDefault="009A4C3F" w:rsidP="00876D65">
      <w:r>
        <w:separator/>
      </w:r>
    </w:p>
  </w:footnote>
  <w:footnote w:type="continuationSeparator" w:id="0">
    <w:p w:rsidR="009A4C3F" w:rsidRDefault="009A4C3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交银施罗德养老目标日期</w:t>
    </w:r>
    <w:r w:rsidRPr="003E676C">
      <w:rPr>
        <w:sz w:val="24"/>
        <w:szCs w:val="24"/>
      </w:rPr>
      <w:t>2035</w:t>
    </w:r>
    <w:r w:rsidRPr="003E676C">
      <w:rPr>
        <w:sz w:val="24"/>
        <w:szCs w:val="24"/>
      </w:rPr>
      <w:t>三年持有期混合型基金中基金（</w:t>
    </w:r>
    <w:r w:rsidRPr="003E676C">
      <w:rPr>
        <w:sz w:val="24"/>
        <w:szCs w:val="24"/>
      </w:rPr>
      <w:t>FOF</w:t>
    </w:r>
    <w:r w:rsidRPr="003E676C">
      <w:rPr>
        <w:sz w:val="24"/>
        <w:szCs w:val="24"/>
      </w:rPr>
      <w:t>）</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DEC"/>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967B2"/>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8D9B-0045-44D4-982A-7B863D34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14</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徐珉</cp:lastModifiedBy>
  <cp:revision>605</cp:revision>
  <dcterms:created xsi:type="dcterms:W3CDTF">2012-10-16T06:07:00Z</dcterms:created>
  <dcterms:modified xsi:type="dcterms:W3CDTF">2020-10-21T05:04:00Z</dcterms:modified>
</cp:coreProperties>
</file>