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交银施罗德信用添利债券证券投资基金（LOF）</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交银信用添利债券（LOF）</w:t>
            </w:r>
          </w:p>
        </w:tc>
      </w:tr>
      <w:tr w:rsidR="006E6726" w:rsidRPr="00414345" w:rsidTr="006E6726">
        <w:trPr>
          <w:jc w:val="center"/>
        </w:trPr>
        <w:tc>
          <w:tcPr>
            <w:tcW w:type="dxa" w:w="3023"/>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type="dxa" w:w="5845"/>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2011年1月27日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3,061,980,974.20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80%×中债企业债总全价指数收益率+20%×中债国债总全价指数收益率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根据本基金《基金合同》及《招募说明书》的相关规定，本基金在基金合同生效之日起三年(含三年)的期间内，采取封闭式运作，在深圳证券交易所上市交易，封闭期结束后转为上市开放式基金（LOF）。本基金封闭期自2011年1月27日(基金合同生效日)起至2014年1月27日止，自2014年1月28日起基金运作方式转为“上市契约型开放式”，并于同日起开放本基金的申购、赎回业务。本基金在募集期仅开通前端基金份额的认购，转为上市开放式基金（LOF）后同时开通前端基金份额和后端基金份额的申购和赎回。</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16,434,991.20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4,106,838.46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3,572,376,605.77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1.1667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0.15%</w:t>
            </w:r>
          </w:p>
        </w:tc>
        <w:tc>
          <w:tcPr>
            <w:vAlign w:val="center"/>
          </w:tcPr>
          <w:p>
            <w:pPr>
              <w:jc w:val="center"/>
            </w:pPr>
            <w:r>
              <w:rPr>
                <w:color w:val="000000"/>
                <w:sz w:val="24"/>
                <w:szCs w:val="24"/>
              </w:rPr>
              <w:t>0.06%</w:t>
            </w:r>
          </w:p>
        </w:tc>
        <w:tc>
          <w:tcPr>
            <w:vAlign w:val="center"/>
          </w:tcPr>
          <w:p>
            <w:pPr>
              <w:jc w:val="center"/>
            </w:pPr>
            <w:r>
              <w:rPr>
                <w:color w:val="000000"/>
                <w:sz w:val="24"/>
                <w:szCs w:val="24"/>
              </w:rPr>
              <w:t>-1.02%</w:t>
            </w:r>
          </w:p>
        </w:tc>
        <w:tc>
          <w:tcPr>
            <w:vAlign w:val="center"/>
          </w:tcPr>
          <w:p>
            <w:pPr>
              <w:jc w:val="center"/>
            </w:pPr>
            <w:r>
              <w:rPr>
                <w:color w:val="000000"/>
                <w:sz w:val="24"/>
                <w:szCs w:val="24"/>
              </w:rPr>
              <w:t>0.06%</w:t>
            </w:r>
          </w:p>
        </w:tc>
        <w:tc>
          <w:tcPr>
            <w:vAlign w:val="center"/>
          </w:tcPr>
          <w:p>
            <w:pPr>
              <w:jc w:val="center"/>
            </w:pPr>
            <w:r>
              <w:rPr>
                <w:color w:val="000000"/>
                <w:sz w:val="24"/>
                <w:szCs w:val="24"/>
              </w:rPr>
              <w:t>1.17%</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0.15%</w:t>
            </w:r>
          </w:p>
        </w:tc>
        <w:tc>
          <w:tcPr>
            <w:vAlign w:val="center"/>
          </w:tcPr>
          <w:p>
            <w:pPr>
              <w:jc w:val="center"/>
            </w:pPr>
            <w:r>
              <w:rPr>
                <w:color w:val="000000"/>
                <w:sz w:val="24"/>
                <w:szCs w:val="24"/>
              </w:rPr>
              <w:t>0.08%</w:t>
            </w:r>
          </w:p>
        </w:tc>
        <w:tc>
          <w:tcPr>
            <w:vAlign w:val="center"/>
          </w:tcPr>
          <w:p>
            <w:pPr>
              <w:jc w:val="center"/>
            </w:pPr>
            <w:r>
              <w:rPr>
                <w:color w:val="000000"/>
                <w:sz w:val="24"/>
                <w:szCs w:val="24"/>
              </w:rPr>
              <w:t>-2.32%</w:t>
            </w:r>
          </w:p>
        </w:tc>
        <w:tc>
          <w:tcPr>
            <w:vAlign w:val="center"/>
          </w:tcPr>
          <w:p>
            <w:pPr>
              <w:jc w:val="center"/>
            </w:pPr>
            <w:r>
              <w:rPr>
                <w:color w:val="000000"/>
                <w:sz w:val="24"/>
                <w:szCs w:val="24"/>
              </w:rPr>
              <w:t>0.08%</w:t>
            </w:r>
          </w:p>
        </w:tc>
        <w:tc>
          <w:tcPr>
            <w:vAlign w:val="center"/>
          </w:tcPr>
          <w:p>
            <w:pPr>
              <w:jc w:val="center"/>
            </w:pPr>
            <w:r>
              <w:rPr>
                <w:color w:val="000000"/>
                <w:sz w:val="24"/>
                <w:szCs w:val="24"/>
              </w:rPr>
              <w:t>2.47%</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2.77%</w:t>
            </w:r>
          </w:p>
        </w:tc>
        <w:tc>
          <w:tcPr>
            <w:vAlign w:val="center"/>
          </w:tcPr>
          <w:p>
            <w:pPr>
              <w:jc w:val="center"/>
            </w:pPr>
            <w:r>
              <w:rPr>
                <w:color w:val="000000"/>
                <w:sz w:val="24"/>
                <w:szCs w:val="24"/>
              </w:rPr>
              <w:t>0.07%</w:t>
            </w:r>
          </w:p>
        </w:tc>
        <w:tc>
          <w:tcPr>
            <w:vAlign w:val="center"/>
          </w:tcPr>
          <w:p>
            <w:pPr>
              <w:jc w:val="center"/>
            </w:pPr>
            <w:r>
              <w:rPr>
                <w:color w:val="000000"/>
                <w:sz w:val="24"/>
                <w:szCs w:val="24"/>
              </w:rPr>
              <w:t>-0.55%</w:t>
            </w:r>
          </w:p>
        </w:tc>
        <w:tc>
          <w:tcPr>
            <w:vAlign w:val="center"/>
          </w:tcPr>
          <w:p>
            <w:pPr>
              <w:jc w:val="center"/>
            </w:pPr>
            <w:r>
              <w:rPr>
                <w:color w:val="000000"/>
                <w:sz w:val="24"/>
                <w:szCs w:val="24"/>
              </w:rPr>
              <w:t>0.07%</w:t>
            </w:r>
          </w:p>
        </w:tc>
        <w:tc>
          <w:tcPr>
            <w:vAlign w:val="center"/>
          </w:tcPr>
          <w:p>
            <w:pPr>
              <w:jc w:val="center"/>
            </w:pPr>
            <w:r>
              <w:rPr>
                <w:color w:val="000000"/>
                <w:sz w:val="24"/>
                <w:szCs w:val="24"/>
              </w:rPr>
              <w:t>3.32%</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12.95%</w:t>
            </w:r>
          </w:p>
        </w:tc>
        <w:tc>
          <w:tcPr>
            <w:vAlign w:val="center"/>
          </w:tcPr>
          <w:p>
            <w:pPr>
              <w:jc w:val="center"/>
            </w:pPr>
            <w:r>
              <w:rPr>
                <w:color w:val="000000"/>
                <w:sz w:val="24"/>
                <w:szCs w:val="24"/>
              </w:rPr>
              <w:t>0.08%</w:t>
            </w:r>
          </w:p>
        </w:tc>
        <w:tc>
          <w:tcPr>
            <w:vAlign w:val="center"/>
          </w:tcPr>
          <w:p>
            <w:pPr>
              <w:jc w:val="center"/>
            </w:pPr>
            <w:r>
              <w:rPr>
                <w:color w:val="000000"/>
                <w:sz w:val="24"/>
                <w:szCs w:val="24"/>
              </w:rPr>
              <w:t>1.58%</w:t>
            </w:r>
          </w:p>
        </w:tc>
        <w:tc>
          <w:tcPr>
            <w:vAlign w:val="center"/>
          </w:tcPr>
          <w:p>
            <w:pPr>
              <w:jc w:val="center"/>
            </w:pPr>
            <w:r>
              <w:rPr>
                <w:color w:val="000000"/>
                <w:sz w:val="24"/>
                <w:szCs w:val="24"/>
              </w:rPr>
              <w:t>0.06%</w:t>
            </w:r>
          </w:p>
        </w:tc>
        <w:tc>
          <w:tcPr>
            <w:vAlign w:val="center"/>
          </w:tcPr>
          <w:p>
            <w:pPr>
              <w:jc w:val="center"/>
            </w:pPr>
            <w:r>
              <w:rPr>
                <w:color w:val="000000"/>
                <w:sz w:val="24"/>
                <w:szCs w:val="24"/>
              </w:rPr>
              <w:t>11.37%</w:t>
            </w:r>
          </w:p>
        </w:tc>
        <w:tc>
          <w:tcPr>
            <w:vAlign w:val="center"/>
          </w:tcPr>
          <w:p>
            <w:pPr>
              <w:jc w:val="center"/>
            </w:pPr>
            <w:r>
              <w:rPr>
                <w:color w:val="000000"/>
                <w:sz w:val="24"/>
                <w:szCs w:val="24"/>
              </w:rPr>
              <w:t>0.02%</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20.17%</w:t>
            </w:r>
          </w:p>
        </w:tc>
        <w:tc>
          <w:tcPr>
            <w:vAlign w:val="center"/>
          </w:tcPr>
          <w:p>
            <w:pPr>
              <w:jc w:val="center"/>
            </w:pPr>
            <w:r>
              <w:rPr>
                <w:color w:val="000000"/>
                <w:sz w:val="24"/>
                <w:szCs w:val="24"/>
              </w:rPr>
              <w:t>0.08%</w:t>
            </w:r>
          </w:p>
        </w:tc>
        <w:tc>
          <w:tcPr>
            <w:vAlign w:val="center"/>
          </w:tcPr>
          <w:p>
            <w:pPr>
              <w:jc w:val="center"/>
            </w:pPr>
            <w:r>
              <w:rPr>
                <w:color w:val="000000"/>
                <w:sz w:val="24"/>
                <w:szCs w:val="24"/>
              </w:rPr>
              <w:t>-11.62%</w:t>
            </w:r>
          </w:p>
        </w:tc>
        <w:tc>
          <w:tcPr>
            <w:vAlign w:val="center"/>
          </w:tcPr>
          <w:p>
            <w:pPr>
              <w:jc w:val="center"/>
            </w:pPr>
            <w:r>
              <w:rPr>
                <w:color w:val="000000"/>
                <w:sz w:val="24"/>
                <w:szCs w:val="24"/>
              </w:rPr>
              <w:t>0.08%</w:t>
            </w:r>
          </w:p>
        </w:tc>
        <w:tc>
          <w:tcPr>
            <w:vAlign w:val="center"/>
          </w:tcPr>
          <w:p>
            <w:pPr>
              <w:jc w:val="center"/>
            </w:pPr>
            <w:r>
              <w:rPr>
                <w:color w:val="000000"/>
                <w:sz w:val="24"/>
                <w:szCs w:val="24"/>
              </w:rPr>
              <w:t>31.79%</w:t>
            </w:r>
          </w:p>
        </w:tc>
        <w:tc>
          <w:tcPr>
            <w:vAlign w:val="center"/>
          </w:tcPr>
          <w:p>
            <w:pPr>
              <w:jc w:val="center"/>
            </w:pPr>
            <w:r>
              <w:rPr>
                <w:color w:val="000000"/>
                <w:sz w:val="24"/>
                <w:szCs w:val="24"/>
              </w:rPr>
              <w:t>0.00%</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73.45%</w:t>
            </w:r>
          </w:p>
        </w:tc>
        <w:tc>
          <w:tcPr>
            <w:vAlign w:val="center"/>
          </w:tcPr>
          <w:p>
            <w:pPr>
              <w:jc w:val="center"/>
            </w:pPr>
            <w:r>
              <w:rPr>
                <w:color w:val="000000"/>
                <w:sz w:val="24"/>
                <w:szCs w:val="24"/>
              </w:rPr>
              <w:t>0.22%</w:t>
            </w:r>
          </w:p>
        </w:tc>
        <w:tc>
          <w:tcPr>
            <w:vAlign w:val="center"/>
          </w:tcPr>
          <w:p>
            <w:pPr>
              <w:jc w:val="center"/>
            </w:pPr>
            <w:r>
              <w:rPr>
                <w:color w:val="000000"/>
                <w:sz w:val="24"/>
                <w:szCs w:val="24"/>
              </w:rPr>
              <w:t>-6.19%</w:t>
            </w:r>
          </w:p>
        </w:tc>
        <w:tc>
          <w:tcPr>
            <w:vAlign w:val="center"/>
          </w:tcPr>
          <w:p>
            <w:pPr>
              <w:jc w:val="center"/>
            </w:pPr>
            <w:r>
              <w:rPr>
                <w:color w:val="000000"/>
                <w:sz w:val="24"/>
                <w:szCs w:val="24"/>
              </w:rPr>
              <w:t>0.09%</w:t>
            </w:r>
          </w:p>
        </w:tc>
        <w:tc>
          <w:tcPr>
            <w:vAlign w:val="center"/>
          </w:tcPr>
          <w:p>
            <w:pPr>
              <w:jc w:val="center"/>
            </w:pPr>
            <w:r>
              <w:rPr>
                <w:color w:val="000000"/>
                <w:sz w:val="24"/>
                <w:szCs w:val="24"/>
              </w:rPr>
              <w:t>79.64%</w:t>
            </w:r>
          </w:p>
        </w:tc>
        <w:tc>
          <w:tcPr>
            <w:vAlign w:val="center"/>
          </w:tcPr>
          <w:p>
            <w:pPr>
              <w:jc w:val="center"/>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交银施罗德信用添利债券证券投资基金（LOF）</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2011年1月27日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szCs w:val="24"/>
              </w:rPr>
              <w:t>2015-08-04</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2020年三季度债券市场在震荡中逐步下跌。首先，从七月开始，央行在公开市场净回笼资金，叠加MLF大量到期、企业集中缴税等因素，银行间流动性出现持续收紧状态，资金利率中枢边际抬升，进入八月央行开展14天逆回购操作，引导DR007向2.2%收敛。其次，利率债供给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w:t>
      </w:r>
    </w:p>
    <w:p>
      <w:pPr>
        <w:spacing w:before="29" w:line="288" w:lineRule="auto"/>
        <w:ind w:firstLine="480" w:firstLineChars="200"/>
        <w:rPr>
          <w:color w:val="000000"/>
          <w:sz w:val="24"/>
          <w:szCs w:val="24"/>
        </w:rPr>
      </w:pPr>
      <w:r>
        <w:rPr>
          <w:color w:val="000000"/>
          <w:sz w:val="24"/>
          <w:szCs w:val="24"/>
        </w:rPr>
        <w:t>报告期内，我们认为债券市场有一定回调压力，在基金操作中，逐步降低了组合的杠杆和久期水平，在板块上仍然保持部分中短久期中低等级城投债品种的配置，以提升底仓的静态收益。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一方面随着企业库存回升和通胀预期抬升，国内经济或从复苏期进入扩张期，宏观环境对债券市场略为不利；另一方面预期四季度利率债的供给压力将明显减弱，叠加美国大选临近中美摩擦可能升级，海外疫情或仍有反复，情绪方面可能对避险资产偏利好。组合策略方面，我们预计维持中性的杠杆水平，控制组合久期风险，同时视融资成本及市场收益率变动情况，择优配置中短久期的信用债个券，持续组合静态收益，并关注长端利率的波段交易机会，以期提升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3,781,176,826.60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3,751,176,826.60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94.88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30,000,000.00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0.76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110,000,485.00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2.78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2,034,077.61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60,461,500.35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3,953,672,889.56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188,939,000.00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188,939,000.00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693,398,500.00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19.41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439,972,000.00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12.32</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2,428,865,000.00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67.99</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2,326.60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3,751,176,826.60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105.01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102000710</w:t>
            </w:r>
          </w:p>
        </w:tc>
        <w:tc>
          <w:tcPr>
            <w:vAlign w:val="center"/>
          </w:tcPr>
          <w:p>
            <w:pPr>
              <w:jc w:val="center"/>
            </w:pPr>
            <w:r>
              <w:rPr>
                <w:color w:val="000000"/>
                <w:sz w:val="24"/>
                <w:szCs w:val="24"/>
              </w:rPr>
              <w:t>20南京浦口MTN002</w:t>
            </w:r>
          </w:p>
        </w:tc>
        <w:tc>
          <w:tcPr>
            <w:vAlign w:val="center"/>
          </w:tcPr>
          <w:p>
            <w:pPr>
              <w:jc w:val="right"/>
            </w:pPr>
            <w:r>
              <w:rPr>
                <w:color w:val="000000"/>
                <w:sz w:val="24"/>
                <w:szCs w:val="24"/>
              </w:rPr>
              <w:t>700,000</w:t>
            </w:r>
          </w:p>
        </w:tc>
        <w:tc>
          <w:tcPr>
            <w:vAlign w:val="center"/>
          </w:tcPr>
          <w:p>
            <w:pPr>
              <w:jc w:val="right"/>
            </w:pPr>
            <w:r>
              <w:rPr>
                <w:color w:val="000000"/>
                <w:sz w:val="24"/>
                <w:szCs w:val="24"/>
              </w:rPr>
              <w:t>69,321,000.00</w:t>
            </w:r>
          </w:p>
        </w:tc>
        <w:tc>
          <w:tcPr>
            <w:vAlign w:val="center"/>
          </w:tcPr>
          <w:p>
            <w:pPr>
              <w:jc w:val="right"/>
            </w:pPr>
            <w:r>
              <w:rPr>
                <w:color w:val="000000"/>
                <w:sz w:val="24"/>
                <w:szCs w:val="24"/>
              </w:rPr>
              <w:t>1.94</w:t>
            </w:r>
          </w:p>
        </w:tc>
      </w:tr>
      <w:tr>
        <w:tc>
          <w:tcPr>
            <w:vAlign w:val="center"/>
          </w:tcPr>
          <w:p>
            <w:pPr>
              <w:jc w:val="center"/>
            </w:pPr>
            <w:r>
              <w:rPr>
                <w:color w:val="000000"/>
                <w:sz w:val="24"/>
                <w:szCs w:val="24"/>
              </w:rPr>
              <w:t>2</w:t>
            </w:r>
          </w:p>
        </w:tc>
        <w:tc>
          <w:tcPr>
            <w:vAlign w:val="center"/>
          </w:tcPr>
          <w:p>
            <w:pPr>
              <w:jc w:val="center"/>
            </w:pPr>
            <w:r>
              <w:rPr>
                <w:color w:val="000000"/>
                <w:sz w:val="24"/>
                <w:szCs w:val="24"/>
              </w:rPr>
              <w:t>101761029</w:t>
            </w:r>
          </w:p>
        </w:tc>
        <w:tc>
          <w:tcPr>
            <w:vAlign w:val="center"/>
          </w:tcPr>
          <w:p>
            <w:pPr>
              <w:jc w:val="center"/>
            </w:pPr>
            <w:r>
              <w:rPr>
                <w:color w:val="000000"/>
                <w:sz w:val="24"/>
                <w:szCs w:val="24"/>
              </w:rPr>
              <w:t>17徐州经开MTN005</w:t>
            </w:r>
          </w:p>
        </w:tc>
        <w:tc>
          <w:tcPr>
            <w:vAlign w:val="center"/>
          </w:tcPr>
          <w:p>
            <w:pPr>
              <w:jc w:val="right"/>
            </w:pPr>
            <w:r>
              <w:rPr>
                <w:color w:val="000000"/>
                <w:sz w:val="24"/>
                <w:szCs w:val="24"/>
              </w:rPr>
              <w:t>600,000</w:t>
            </w:r>
          </w:p>
        </w:tc>
        <w:tc>
          <w:tcPr>
            <w:vAlign w:val="center"/>
          </w:tcPr>
          <w:p>
            <w:pPr>
              <w:jc w:val="right"/>
            </w:pPr>
            <w:r>
              <w:rPr>
                <w:color w:val="000000"/>
                <w:sz w:val="24"/>
                <w:szCs w:val="24"/>
              </w:rPr>
              <w:t>62,022,000.00</w:t>
            </w:r>
          </w:p>
        </w:tc>
        <w:tc>
          <w:tcPr>
            <w:vAlign w:val="center"/>
          </w:tcPr>
          <w:p>
            <w:pPr>
              <w:jc w:val="right"/>
            </w:pPr>
            <w:r>
              <w:rPr>
                <w:color w:val="000000"/>
                <w:sz w:val="24"/>
                <w:szCs w:val="24"/>
              </w:rPr>
              <w:t>1.74</w:t>
            </w:r>
          </w:p>
        </w:tc>
      </w:tr>
      <w:tr>
        <w:tc>
          <w:tcPr>
            <w:vAlign w:val="center"/>
          </w:tcPr>
          <w:p>
            <w:pPr>
              <w:jc w:val="center"/>
            </w:pPr>
            <w:r>
              <w:rPr>
                <w:color w:val="000000"/>
                <w:sz w:val="24"/>
                <w:szCs w:val="24"/>
              </w:rPr>
              <w:t>3</w:t>
            </w:r>
          </w:p>
        </w:tc>
        <w:tc>
          <w:tcPr>
            <w:vAlign w:val="center"/>
          </w:tcPr>
          <w:p>
            <w:pPr>
              <w:jc w:val="center"/>
            </w:pPr>
            <w:r>
              <w:rPr>
                <w:color w:val="000000"/>
                <w:sz w:val="24"/>
                <w:szCs w:val="24"/>
              </w:rPr>
              <w:t>127418</w:t>
            </w:r>
          </w:p>
        </w:tc>
        <w:tc>
          <w:tcPr>
            <w:vAlign w:val="center"/>
          </w:tcPr>
          <w:p>
            <w:pPr>
              <w:jc w:val="center"/>
            </w:pPr>
            <w:r>
              <w:rPr>
                <w:color w:val="000000"/>
                <w:sz w:val="24"/>
                <w:szCs w:val="24"/>
              </w:rPr>
              <w:t>PR启交通</w:t>
            </w:r>
          </w:p>
        </w:tc>
        <w:tc>
          <w:tcPr>
            <w:vAlign w:val="center"/>
          </w:tcPr>
          <w:p>
            <w:pPr>
              <w:jc w:val="right"/>
            </w:pPr>
            <w:r>
              <w:rPr>
                <w:color w:val="000000"/>
                <w:sz w:val="24"/>
                <w:szCs w:val="24"/>
              </w:rPr>
              <w:t>1,000,000</w:t>
            </w:r>
          </w:p>
        </w:tc>
        <w:tc>
          <w:tcPr>
            <w:vAlign w:val="center"/>
          </w:tcPr>
          <w:p>
            <w:pPr>
              <w:jc w:val="right"/>
            </w:pPr>
            <w:r>
              <w:rPr>
                <w:color w:val="000000"/>
                <w:sz w:val="24"/>
                <w:szCs w:val="24"/>
              </w:rPr>
              <w:t>59,910,000.00</w:t>
            </w:r>
          </w:p>
        </w:tc>
        <w:tc>
          <w:tcPr>
            <w:vAlign w:val="center"/>
          </w:tcPr>
          <w:p>
            <w:pPr>
              <w:jc w:val="right"/>
            </w:pPr>
            <w:r>
              <w:rPr>
                <w:color w:val="000000"/>
                <w:sz w:val="24"/>
                <w:szCs w:val="24"/>
              </w:rPr>
              <w:t>1.68</w:t>
            </w:r>
          </w:p>
        </w:tc>
      </w:tr>
      <w:tr>
        <w:tc>
          <w:tcPr>
            <w:vAlign w:val="center"/>
          </w:tcPr>
          <w:p>
            <w:pPr>
              <w:jc w:val="center"/>
            </w:pPr>
            <w:r>
              <w:rPr>
                <w:color w:val="000000"/>
                <w:sz w:val="24"/>
                <w:szCs w:val="24"/>
              </w:rPr>
              <w:t>4</w:t>
            </w:r>
          </w:p>
        </w:tc>
        <w:tc>
          <w:tcPr>
            <w:vAlign w:val="center"/>
          </w:tcPr>
          <w:p>
            <w:pPr>
              <w:jc w:val="center"/>
            </w:pPr>
            <w:r>
              <w:rPr>
                <w:color w:val="000000"/>
                <w:sz w:val="24"/>
                <w:szCs w:val="24"/>
              </w:rPr>
              <w:t>1680320</w:t>
            </w:r>
          </w:p>
        </w:tc>
        <w:tc>
          <w:tcPr>
            <w:vAlign w:val="center"/>
          </w:tcPr>
          <w:p>
            <w:pPr>
              <w:jc w:val="center"/>
            </w:pPr>
            <w:r>
              <w:rPr>
                <w:color w:val="000000"/>
                <w:sz w:val="24"/>
                <w:szCs w:val="24"/>
              </w:rPr>
              <w:t>16章丘债</w:t>
            </w:r>
          </w:p>
        </w:tc>
        <w:tc>
          <w:tcPr>
            <w:vAlign w:val="center"/>
          </w:tcPr>
          <w:p>
            <w:pPr>
              <w:jc w:val="right"/>
            </w:pPr>
            <w:r>
              <w:rPr>
                <w:color w:val="000000"/>
                <w:sz w:val="24"/>
                <w:szCs w:val="24"/>
              </w:rPr>
              <w:t>1,000,000</w:t>
            </w:r>
          </w:p>
        </w:tc>
        <w:tc>
          <w:tcPr>
            <w:vAlign w:val="center"/>
          </w:tcPr>
          <w:p>
            <w:pPr>
              <w:jc w:val="right"/>
            </w:pPr>
            <w:r>
              <w:rPr>
                <w:color w:val="000000"/>
                <w:sz w:val="24"/>
                <w:szCs w:val="24"/>
              </w:rPr>
              <w:t>59,910,000.00</w:t>
            </w:r>
          </w:p>
        </w:tc>
        <w:tc>
          <w:tcPr>
            <w:vAlign w:val="center"/>
          </w:tcPr>
          <w:p>
            <w:pPr>
              <w:jc w:val="right"/>
            </w:pPr>
            <w:r>
              <w:rPr>
                <w:color w:val="000000"/>
                <w:sz w:val="24"/>
                <w:szCs w:val="24"/>
              </w:rPr>
              <w:t>1.68</w:t>
            </w:r>
          </w:p>
        </w:tc>
      </w:tr>
      <w:tr>
        <w:tc>
          <w:tcPr>
            <w:vAlign w:val="center"/>
          </w:tcPr>
          <w:p>
            <w:pPr>
              <w:jc w:val="center"/>
            </w:pPr>
            <w:r>
              <w:rPr>
                <w:color w:val="000000"/>
                <w:sz w:val="24"/>
                <w:szCs w:val="24"/>
              </w:rPr>
              <w:t>5</w:t>
            </w:r>
          </w:p>
        </w:tc>
        <w:tc>
          <w:tcPr>
            <w:vAlign w:val="center"/>
          </w:tcPr>
          <w:p>
            <w:pPr>
              <w:jc w:val="center"/>
            </w:pPr>
            <w:r>
              <w:rPr>
                <w:color w:val="000000"/>
                <w:sz w:val="24"/>
                <w:szCs w:val="24"/>
              </w:rPr>
              <w:t>200308</w:t>
            </w:r>
          </w:p>
        </w:tc>
        <w:tc>
          <w:tcPr>
            <w:vAlign w:val="center"/>
          </w:tcPr>
          <w:p>
            <w:pPr>
              <w:jc w:val="center"/>
            </w:pPr>
            <w:r>
              <w:rPr>
                <w:color w:val="000000"/>
                <w:sz w:val="24"/>
                <w:szCs w:val="24"/>
              </w:rPr>
              <w:t>20进出08</w:t>
            </w:r>
          </w:p>
        </w:tc>
        <w:tc>
          <w:tcPr>
            <w:vAlign w:val="center"/>
          </w:tcPr>
          <w:p>
            <w:pPr>
              <w:jc w:val="right"/>
            </w:pPr>
            <w:r>
              <w:rPr>
                <w:color w:val="000000"/>
                <w:sz w:val="24"/>
                <w:szCs w:val="24"/>
              </w:rPr>
              <w:t>600,000</w:t>
            </w:r>
          </w:p>
        </w:tc>
        <w:tc>
          <w:tcPr>
            <w:vAlign w:val="center"/>
          </w:tcPr>
          <w:p>
            <w:pPr>
              <w:jc w:val="right"/>
            </w:pPr>
            <w:r>
              <w:rPr>
                <w:color w:val="000000"/>
                <w:sz w:val="24"/>
                <w:szCs w:val="24"/>
              </w:rPr>
              <w:t>59,772,000.00</w:t>
            </w:r>
          </w:p>
        </w:tc>
        <w:tc>
          <w:tcPr>
            <w:vAlign w:val="center"/>
          </w:tcPr>
          <w:p>
            <w:pPr>
              <w:jc w:val="right"/>
            </w:pPr>
            <w:r>
              <w:rPr>
                <w:color w:val="000000"/>
                <w:sz w:val="24"/>
                <w:szCs w:val="24"/>
              </w:rPr>
              <w:t>1.67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D03EB3" w:rsidR="00D03EB3" w:rsidRDefault="00D03EB3" w:rsidRPr="00D03EB3">
      <w:pPr>
        <w:autoSpaceDE w:val="0"/>
        <w:autoSpaceDN w:val="0"/>
        <w:adjustRightInd w:val="0"/>
        <w:spacing w:before="29" w:line="288" w:lineRule="auto"/>
        <w:jc w:val="right"/>
        <w:rPr>
          <w:bCs/>
          <w:color w:val="000000"/>
          <w:kern w:val="0"/>
          <w:sz w:val="24"/>
          <w:szCs w:val="24"/>
        </w:rPr>
      </w:pPr>
      <w:r w:rsidRPr="00D03EB3">
        <w:rPr>
          <w:rFonts w:hint="eastAsia"/>
          <w:bCs/>
          <w:color w:val="000000"/>
          <w:kern w:val="0"/>
          <w:sz w:val="24"/>
          <w:szCs w:val="24"/>
        </w:rPr>
        <w:t/>
      </w:r>
      <w:r w:rsidRPr="00D03EB3">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295"/>
        <w:gridCol w:w="1339"/>
        <w:gridCol w:w="1322"/>
        <w:gridCol w:w="1567"/>
        <w:gridCol w:w="1660"/>
        <w:gridCol w:w="1685"/>
      </w:tblGrid>
      <w:tr w:rsidR="00D57B7C" w:rsidRPr="00414345" w:rsidTr="00A324F4">
        <w:trPr>
          <w:jc w:val="center"/>
        </w:trPr>
        <w:tc>
          <w:tcPr>
            <w:tcW w:type="dxa" w:w="1246"/>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28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证券代码</w:t>
            </w:r>
          </w:p>
        </w:tc>
        <w:tc>
          <w:tcPr>
            <w:tcW w:type="dxa" w:w="127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证券名称</w:t>
            </w:r>
          </w:p>
        </w:tc>
        <w:tc>
          <w:tcPr>
            <w:tcW w:type="dxa" w:w="1507"/>
            <w:vAlign w:val="center"/>
          </w:tcPr>
          <w:p w:rsidP="00C15CAC" w:rsidR="00D03EB3" w:rsidRDefault="003E62FB">
            <w:pPr>
              <w:spacing w:before="29" w:line="288" w:lineRule="auto"/>
              <w:ind w:left="17"/>
              <w:jc w:val="center"/>
              <w:rPr>
                <w:color w:val="000000"/>
                <w:sz w:val="24"/>
                <w:szCs w:val="24"/>
              </w:rPr>
            </w:pPr>
            <w:r w:rsidRPr="00414345">
              <w:rPr>
                <w:color w:val="000000"/>
                <w:sz w:val="24"/>
                <w:szCs w:val="24"/>
              </w:rPr>
              <w:t>数量</w:t>
            </w:r>
          </w:p>
          <w:p w:rsidP="00C15CAC" w:rsidR="003E62FB" w:rsidRDefault="00D57B7C" w:rsidRPr="00414345">
            <w:pPr>
              <w:spacing w:before="29" w:line="288" w:lineRule="auto"/>
              <w:ind w:left="17"/>
              <w:jc w:val="center"/>
              <w:rPr>
                <w:color w:val="000000"/>
                <w:sz w:val="24"/>
                <w:szCs w:val="24"/>
              </w:rPr>
            </w:pPr>
            <w:r w:rsidRPr="00414345">
              <w:rPr>
                <w:color w:val="000000"/>
                <w:sz w:val="24"/>
                <w:szCs w:val="24"/>
              </w:rPr>
              <w:t>(</w:t>
            </w:r>
            <w:r w:rsidR="003E62FB" w:rsidRPr="00414345">
              <w:rPr>
                <w:color w:val="000000"/>
                <w:sz w:val="24"/>
                <w:szCs w:val="24"/>
              </w:rPr>
              <w:t>份</w:t>
            </w:r>
            <w:r w:rsidRPr="00414345">
              <w:rPr>
                <w:color w:val="000000"/>
                <w:sz w:val="24"/>
                <w:szCs w:val="24"/>
              </w:rPr>
              <w:t>)</w:t>
            </w:r>
          </w:p>
        </w:tc>
        <w:tc>
          <w:tcPr>
            <w:tcW w:type="dxa" w:w="1596"/>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57B7C" w:rsidRPr="00414345">
              <w:rPr>
                <w:color w:val="000000"/>
                <w:sz w:val="24"/>
                <w:szCs w:val="24"/>
              </w:rPr>
              <w:t>(</w:t>
            </w:r>
            <w:r w:rsidRPr="00414345">
              <w:rPr>
                <w:color w:val="000000"/>
                <w:sz w:val="24"/>
                <w:szCs w:val="24"/>
              </w:rPr>
              <w:t>％</w:t>
            </w:r>
            <w:r w:rsidR="00D57B7C"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169422</w:t>
            </w:r>
          </w:p>
        </w:tc>
        <w:tc>
          <w:tcPr>
            <w:vAlign w:val="center"/>
          </w:tcPr>
          <w:p>
            <w:pPr>
              <w:jc w:val="center"/>
            </w:pPr>
            <w:r>
              <w:rPr>
                <w:color w:val="000000"/>
                <w:sz w:val="24"/>
                <w:szCs w:val="24"/>
              </w:rPr>
              <w:t>霄驰01A</w:t>
            </w:r>
          </w:p>
        </w:tc>
        <w:tc>
          <w:tcPr>
            <w:vAlign w:val="center"/>
          </w:tcPr>
          <w:p>
            <w:pPr>
              <w:jc w:val="right"/>
            </w:pPr>
            <w:r>
              <w:rPr>
                <w:color w:val="000000"/>
                <w:sz w:val="24"/>
                <w:szCs w:val="24"/>
              </w:rPr>
              <w:t>300,000</w:t>
            </w:r>
          </w:p>
        </w:tc>
        <w:tc>
          <w:tcPr>
            <w:vAlign w:val="center"/>
          </w:tcPr>
          <w:p>
            <w:pPr>
              <w:jc w:val="right"/>
            </w:pPr>
            <w:r>
              <w:rPr>
                <w:color w:val="000000"/>
                <w:sz w:val="24"/>
                <w:szCs w:val="24"/>
              </w:rPr>
              <w:t>30,000,000.00</w:t>
            </w:r>
          </w:p>
        </w:tc>
        <w:tc>
          <w:tcPr>
            <w:vAlign w:val="center"/>
          </w:tcPr>
          <w:p>
            <w:pPr>
              <w:jc w:val="right"/>
            </w:pPr>
            <w:r>
              <w:rPr>
                <w:color w:val="000000"/>
                <w:sz w:val="24"/>
                <w:szCs w:val="24"/>
              </w:rPr>
              <w:t>0.84</w:t>
            </w:r>
          </w:p>
        </w:tc>
      </w:tr>
    </w:tbl>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11,628.71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55,493,440.18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4,956,231.46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200.00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60,461,500.35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本基金本报告期末未持有股票。</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2,904,206,746.99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987,093,087.50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829,318,860.29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3,061,980,974.20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1、中国证监会核准交银施罗德信用添利债券证券投资基金募集的文件； </w:t>
      </w:r>
    </w:p>
    <w:p>
      <w:pPr>
        <w:spacing w:before="29" w:line="288" w:lineRule="auto"/>
        <w:ind w:firstLine="480" w:firstLineChars="200"/>
        <w:rPr>
          <w:color w:val="000000"/>
          <w:sz w:val="24"/>
          <w:szCs w:val="24"/>
        </w:rPr>
      </w:pPr>
      <w:r>
        <w:rPr>
          <w:color w:val="000000"/>
          <w:sz w:val="24"/>
          <w:szCs w:val="24"/>
        </w:rPr>
        <w:t>2、《交银施罗德信用添利债券证券投资基金基金合同》；</w:t>
      </w:r>
    </w:p>
    <w:p>
      <w:pPr>
        <w:spacing w:before="29" w:line="288" w:lineRule="auto"/>
        <w:ind w:firstLine="480" w:firstLineChars="200"/>
        <w:rPr>
          <w:color w:val="000000"/>
          <w:sz w:val="24"/>
          <w:szCs w:val="24"/>
        </w:rPr>
      </w:pPr>
      <w:r>
        <w:rPr>
          <w:color w:val="000000"/>
          <w:sz w:val="24"/>
          <w:szCs w:val="24"/>
        </w:rPr>
        <w:t xml:space="preserve">3、《交银施罗德信用添利债券证券投资基金招募说明书》； </w:t>
      </w:r>
    </w:p>
    <w:p>
      <w:pPr>
        <w:spacing w:before="29" w:line="288" w:lineRule="auto"/>
        <w:ind w:firstLine="480" w:firstLineChars="200"/>
        <w:rPr>
          <w:color w:val="000000"/>
          <w:sz w:val="24"/>
          <w:szCs w:val="24"/>
        </w:rPr>
      </w:pPr>
      <w:r>
        <w:rPr>
          <w:color w:val="000000"/>
          <w:sz w:val="24"/>
          <w:szCs w:val="24"/>
        </w:rPr>
        <w:t xml:space="preserve">4、《交银施罗德信用添利债券证券投资基金托管协议》；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7、关于申请募集交银施罗德信用添利债券证券投资基金之法律意见书；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8、报告期内交银施罗德信用添利债券证券投资基金在指定报刊上各项公告的原稿。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交银施罗德信用添利债券证券投资基金（LOF）2020年第3季度报告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