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FC7F43" w:rsidRDefault="00FC7F4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2D2A00" w:rsidRPr="005858C2">
      <w:pPr>
        <w:spacing w:before="29" w:line="288" w:lineRule="auto"/>
        <w:jc w:val="center"/>
        <w:rPr>
          <w:rFonts w:eastAsiaTheme="minorEastAsia"/>
          <w:b/>
          <w:sz w:val="36"/>
          <w:szCs w:val="36"/>
        </w:rPr>
      </w:pPr>
      <w:r w:rsidRPr="005858C2">
        <w:rPr>
          <w:rFonts w:eastAsiaTheme="minorEastAsia"/>
          <w:b/>
          <w:sz w:val="36"/>
          <w:szCs w:val="36"/>
        </w:rPr>
        <w:t>交银施罗德境尚收益债券型证券投资基金</w:t>
      </w:r>
    </w:p>
    <w:p w:rsidP="007C14DF" w:rsidR="002D2A00" w:rsidRDefault="002D2A00" w:rsidRPr="005858C2">
      <w:pPr>
        <w:spacing w:before="29" w:line="288" w:lineRule="auto"/>
        <w:jc w:val="center"/>
        <w:rPr>
          <w:rFonts w:eastAsiaTheme="minorEastAsia"/>
          <w:b/>
          <w:sz w:val="36"/>
          <w:szCs w:val="36"/>
        </w:rPr>
      </w:pPr>
      <w:r w:rsidRPr="005858C2">
        <w:rPr>
          <w:rFonts w:eastAsiaTheme="minorEastAsia"/>
          <w:b/>
          <w:sz w:val="36"/>
          <w:szCs w:val="36"/>
        </w:rPr>
        <w:t>2020年第3季度报告</w:t>
      </w:r>
    </w:p>
    <w:p w:rsidP="007C14DF" w:rsidR="009A2283" w:rsidRDefault="00577209" w:rsidRPr="005858C2">
      <w:pPr>
        <w:spacing w:before="29" w:line="288" w:lineRule="auto"/>
        <w:jc w:val="center"/>
        <w:rPr>
          <w:b/>
          <w:sz w:val="36"/>
          <w:szCs w:val="36"/>
        </w:rPr>
      </w:pPr>
      <w:r w:rsidRPr="005858C2">
        <w:rPr>
          <w:b/>
          <w:sz w:val="36"/>
          <w:szCs w:val="36"/>
        </w:rPr>
        <w:t/>
      </w:r>
      <w:r w:rsidR="00121533" w:rsidRPr="005858C2">
        <w:rPr>
          <w:b/>
          <w:sz w:val="36"/>
          <w:szCs w:val="36"/>
        </w:rPr>
        <w:t>2020年9月30日</w:t>
      </w: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657487">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E27360" w:rsidRDefault="00E27360"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rPr>
          <w:color w:val="000000"/>
          <w:sz w:val="24"/>
        </w:rPr>
      </w:pP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基金管理人：</w:t>
      </w:r>
      <w:r w:rsidR="00BF377F" w:rsidRPr="005858C2">
        <w:rPr>
          <w:b/>
          <w:color w:val="000000"/>
          <w:sz w:val="24"/>
        </w:rPr>
        <w:t>交银施罗德基金管理有限公司</w:t>
      </w: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基金托管人：</w:t>
      </w:r>
      <w:r w:rsidR="00BF377F" w:rsidRPr="005858C2">
        <w:rPr>
          <w:b/>
          <w:color w:val="000000"/>
          <w:sz w:val="24"/>
        </w:rPr>
        <w:t>招商银行股份有限公司</w:t>
      </w:r>
    </w:p>
    <w:p w:rsidP="007C14DF" w:rsidR="009A2283" w:rsidRDefault="009A2283" w:rsidRPr="005858C2">
      <w:pPr>
        <w:spacing w:before="29" w:line="288" w:lineRule="auto"/>
        <w:ind w:firstLine="2168" w:firstLineChars="900"/>
        <w:rPr>
          <w:b/>
          <w:sz w:val="24"/>
        </w:rPr>
        <w:sectPr w:rsidR="009A2283" w:rsidRPr="005858C2" w:rsidSect="00D3445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5858C2">
        <w:rPr>
          <w:b/>
          <w:color w:val="000000"/>
          <w:sz w:val="24"/>
        </w:rPr>
        <w:t>报告送出日期：</w:t>
      </w:r>
      <w:r w:rsidR="00D04410" w:rsidRPr="005858C2">
        <w:rPr>
          <w:b/>
          <w:color w:val="000000"/>
          <w:sz w:val="24"/>
        </w:rPr>
        <w:t>二〇二〇年十月二十八日</w:t>
      </w:r>
    </w:p>
    <w:p w:rsidP="000A2988" w:rsidR="009238DB" w:rsidRDefault="009238DB" w:rsidRPr="007F52FA">
      <w:pPr>
        <w:pStyle w:val="1"/>
        <w:spacing w:after="312" w:afterLines="100" w:before="312" w:beforeLines="100"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基金托管人招商银行股份有限公司根据本基金合同规定，于2020年10月27日复核了本报告中的财务指标、净值表现和投资组合报告等内容，保证复核内容不存在虚假记载、误导性陈述或者重大遗漏。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基金管理人承诺以诚实信用、勤勉尽责的原则管理和运用基金资产，但不保证基金一定盈利。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基金的过往业绩并不代表其未来表现。投资有风险，投资者在作出投资决策前应仔细阅读本基金的招募说明书。 </w:t>
      </w:r>
    </w:p>
    <w:p>
      <w:pPr>
        <w:spacing w:before="29" w:line="288" w:lineRule="auto"/>
        <w:ind w:firstLine="480" w:firstLineChars="200"/>
        <w:rPr>
          <w:rFonts w:eastAsiaTheme="minorEastAsia"/>
          <w:color w:val="000000"/>
          <w:sz w:val="24"/>
        </w:rPr>
      </w:pPr>
      <w:r>
        <w:rPr>
          <w:rFonts w:eastAsiaTheme="minorEastAsia"/>
          <w:color w:val="000000"/>
          <w:sz w:val="24"/>
        </w:rPr>
        <w:t>本报告中财务资料未经审计。</w:t>
      </w:r>
    </w:p>
    <w:p w:rsidP="007C14DF" w:rsidR="009238DB" w:rsidRDefault="00267DA9"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本报告期自2020年7月1日起至9月30日止。</w:t>
      </w:r>
    </w:p>
    <w:p w:rsidP="007C14DF" w:rsidR="00740635" w:rsidRDefault="00740635" w:rsidRPr="007F52FA">
      <w:pPr>
        <w:spacing w:before="29" w:line="288" w:lineRule="auto"/>
        <w:ind w:firstLine="480" w:firstLineChars="200"/>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type="dxa" w:w="8993"/>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3048"/>
      </w:tblGrid>
      <w:tr w:rsidR="00A6200E" w:rsidRPr="007F52FA" w:rsidTr="009416C9">
        <w:trPr>
          <w:jc w:val="center"/>
        </w:trPr>
        <w:tc>
          <w:tcPr>
            <w:tcW w:type="dxa" w:w="3023"/>
            <w:vAlign w:val="center"/>
          </w:tcPr>
          <w:p w:rsidP="007C14DF" w:rsidR="00A6200E" w:rsidRDefault="00A6200E" w:rsidRPr="007F52FA">
            <w:pPr>
              <w:adjustRightInd w:val="0"/>
              <w:spacing w:before="29" w:line="288" w:lineRule="auto"/>
              <w:ind w:left="17"/>
              <w:jc w:val="left"/>
              <w:rPr>
                <w:kern w:val="0"/>
                <w:sz w:val="24"/>
              </w:rPr>
            </w:pPr>
            <w:r w:rsidRPr="007F52FA">
              <w:rPr>
                <w:kern w:val="0"/>
                <w:sz w:val="24"/>
              </w:rPr>
              <w:t>基金简称</w:t>
            </w:r>
          </w:p>
        </w:tc>
        <w:tc>
          <w:tcPr>
            <w:tcW w:type="dxa" w:w="5970"/>
            <w:gridSpan w:val="2"/>
            <w:vAlign w:val="center"/>
          </w:tcPr>
          <w:p w:rsidP="007C14DF" w:rsidR="00A6200E" w:rsidRDefault="00A6200E" w:rsidRPr="007F52FA">
            <w:pPr>
              <w:adjustRightInd w:val="0"/>
              <w:spacing w:before="29" w:line="288" w:lineRule="auto"/>
              <w:ind w:left="17"/>
              <w:jc w:val="left"/>
              <w:rPr>
                <w:color w:val="000000"/>
                <w:kern w:val="0"/>
                <w:sz w:val="24"/>
              </w:rPr>
            </w:pPr>
            <w:r w:rsidRPr="007F52FA">
              <w:rPr>
                <w:color w:val="000000"/>
                <w:kern w:val="0"/>
                <w:sz w:val="24"/>
              </w:rPr>
              <w:t>交银境尚收益债券</w:t>
            </w:r>
          </w:p>
        </w:tc>
      </w:tr>
      <w:tr w:rsidR="00B95753" w:rsidRPr="007F52FA" w:rsidTr="009416C9">
        <w:trPr>
          <w:jc w:val="center"/>
        </w:trPr>
        <w:tc>
          <w:tcPr>
            <w:tcW w:type="dxa" w:w="3023"/>
            <w:vAlign w:val="center"/>
          </w:tcPr>
          <w:p w:rsidP="007C14DF" w:rsidR="00B95753" w:rsidRDefault="00B95753" w:rsidRPr="007F52FA">
            <w:pPr>
              <w:adjustRightInd w:val="0"/>
              <w:spacing w:before="29" w:line="288" w:lineRule="auto"/>
              <w:ind w:left="17"/>
              <w:jc w:val="left"/>
              <w:rPr>
                <w:kern w:val="0"/>
                <w:sz w:val="24"/>
              </w:rPr>
            </w:pPr>
            <w:r w:rsidRPr="007F52FA">
              <w:rPr>
                <w:kern w:val="0"/>
                <w:sz w:val="24"/>
              </w:rPr>
              <w:t>基金主代码</w:t>
            </w:r>
          </w:p>
        </w:tc>
        <w:tc>
          <w:tcPr>
            <w:tcW w:type="dxa" w:w="5970"/>
            <w:gridSpan w:val="2"/>
            <w:tcBorders>
              <w:bottom w:color="auto" w:space="0" w:sz="4" w:val="single"/>
            </w:tcBorders>
            <w:vAlign w:val="center"/>
          </w:tcPr>
          <w:p w:rsidP="007C14DF" w:rsidR="00B95753" w:rsidRDefault="00B95753" w:rsidRPr="007F52FA">
            <w:pPr>
              <w:adjustRightInd w:val="0"/>
              <w:spacing w:before="29" w:line="288" w:lineRule="auto"/>
              <w:ind w:left="17"/>
              <w:jc w:val="left"/>
              <w:rPr>
                <w:color w:val="000000"/>
                <w:kern w:val="0"/>
                <w:sz w:val="24"/>
              </w:rPr>
            </w:pPr>
            <w:r w:rsidRPr="007F52FA">
              <w:rPr>
                <w:color w:val="000000"/>
                <w:kern w:val="0"/>
                <w:sz w:val="24"/>
              </w:rPr>
              <w:t>519784</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基金运作方式</w:t>
            </w:r>
          </w:p>
        </w:tc>
        <w:tc>
          <w:tcPr>
            <w:tcW w:type="dxa" w:w="5970"/>
            <w:gridSpan w:val="2"/>
            <w:tcBorders>
              <w:top w:color="auto" w:space="0" w:sz="4" w:val="single"/>
            </w:tcBorders>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契约型。本基金在基金合同生效之日起两年（含两年）的期间内封闭式运作，封闭期结束后转为开放式运作。</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基金合同生效日</w:t>
            </w:r>
          </w:p>
        </w:tc>
        <w:tc>
          <w:tcPr>
            <w:tcW w:type="dxa" w:w="5970"/>
            <w:gridSpan w:val="2"/>
            <w:vAlign w:val="center"/>
          </w:tcPr>
          <w:p w:rsidP="007C14DF" w:rsidR="008532F3" w:rsidRDefault="008532F3" w:rsidRPr="007F52FA">
            <w:pPr>
              <w:adjustRightInd w:val="0"/>
              <w:spacing w:before="29" w:line="288" w:lineRule="auto"/>
              <w:ind w:left="17"/>
              <w:jc w:val="left"/>
              <w:rPr>
                <w:color w:val="000000"/>
                <w:kern w:val="0"/>
                <w:sz w:val="24"/>
              </w:rPr>
            </w:pPr>
            <w:r w:rsidRPr="007F52FA">
              <w:rPr>
                <w:color w:val="000000"/>
                <w:kern w:val="0"/>
                <w:sz w:val="24"/>
              </w:rPr>
              <w:t>2017年3月3日</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报告期末基金份额总额</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3,944,926,485.24</w:t>
            </w:r>
            <w:r w:rsidRPr="007F52FA">
              <w:rPr>
                <w:color w:val="000000"/>
                <w:kern w:val="0"/>
                <w:sz w:val="24"/>
              </w:rPr>
              <w:t>份</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投资目标</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在严格控制风险的前提下,力求获得高于业绩基准的投资收益。</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投资策略</w:t>
            </w:r>
          </w:p>
        </w:tc>
        <w:tc>
          <w:tcPr>
            <w:tcW w:type="dxa" w:w="5970"/>
            <w:gridSpan w:val="2"/>
            <w:vAlign w:val="center"/>
          </w:tcPr>
          <w:p>
            <w:pPr>
              <w:adjustRightInd w:val="0"/>
              <w:spacing w:before="29" w:line="288" w:lineRule="auto"/>
              <w:ind w:left="17"/>
              <w:jc w:val="left"/>
              <w:rPr>
                <w:color w:val="000000"/>
                <w:sz w:val="24"/>
              </w:rPr>
            </w:pPr>
            <w:r>
              <w:rPr>
                <w:color w:val="000000"/>
                <w:kern w:val="0"/>
                <w:sz w:val="24"/>
              </w:rPr>
              <w:t>封闭期内投资策略：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投资标的。</w:t>
            </w:r>
          </w:p>
          <w:p>
            <w:pPr>
              <w:adjustRightInd w:val="0"/>
              <w:spacing w:before="29" w:line="288" w:lineRule="auto"/>
              <w:ind w:left="17"/>
              <w:jc w:val="left"/>
              <w:rPr>
                <w:color w:val="000000"/>
                <w:sz w:val="24"/>
              </w:rPr>
            </w:pPr>
            <w:r>
              <w:rPr>
                <w:color w:val="000000"/>
                <w:kern w:val="0"/>
                <w:sz w:val="24"/>
              </w:rPr>
              <w:t/>
            </w:r>
          </w:p>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开放期内投资策略：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业绩比较基准</w:t>
            </w:r>
          </w:p>
        </w:tc>
        <w:tc>
          <w:tcPr>
            <w:tcW w:type="dxa" w:w="5970"/>
            <w:gridSpan w:val="2"/>
            <w:vAlign w:val="center"/>
          </w:tcPr>
          <w:p>
            <w:pPr>
              <w:adjustRightInd w:val="0"/>
              <w:spacing w:before="29" w:line="288" w:lineRule="auto"/>
              <w:ind w:left="17"/>
              <w:jc w:val="left"/>
              <w:rPr>
                <w:color w:val="000000"/>
                <w:sz w:val="24"/>
              </w:rPr>
            </w:pPr>
            <w:r>
              <w:rPr>
                <w:color w:val="000000"/>
                <w:kern w:val="0"/>
                <w:sz w:val="24"/>
              </w:rPr>
              <w:t>封闭期内业绩比较基准：两年期银行定期存款税后收益率+1.25%。</w:t>
            </w:r>
          </w:p>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开放期内业绩比较基准：中债综合全价指数收益率。</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风险收益特征</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本基金是一只债券型基金，其风险与预期收益高于货币市场基金，低于混合型基金和股票型基金，属于证券投资基金中中等风险的品种。</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基金管理人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基金托管人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招商银行股份有限公司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kern w:val="0"/>
                <w:sz w:val="24"/>
              </w:rPr>
            </w:pPr>
            <w:r w:rsidRPr="007F52FA">
              <w:rPr>
                <w:color w:val="000000"/>
                <w:sz w:val="24"/>
              </w:rPr>
              <w:t>下属两级基金的基金简称</w:t>
            </w:r>
          </w:p>
        </w:tc>
        <w:tc>
          <w:tcPr>
            <w:tcW w:type="dxa" w:w="2922"/>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交银境尚收益债券A</w:t>
            </w:r>
          </w:p>
        </w:tc>
        <w:tc>
          <w:tcPr>
            <w:tcW w:type="dxa" w:w="3048"/>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交银境尚收益债券C</w:t>
            </w:r>
          </w:p>
        </w:tc>
      </w:tr>
      <w:tr w:rsidR="00C23B30" w:rsidRPr="007F52FA" w:rsidTr="009416C9">
        <w:trPr>
          <w:jc w:val="center"/>
        </w:trPr>
        <w:tc>
          <w:tcPr>
            <w:tcW w:type="dxa" w:w="3023"/>
            <w:vAlign w:val="center"/>
          </w:tcPr>
          <w:p w:rsidP="007C14DF" w:rsidR="00C23B30" w:rsidRDefault="007C3DC6">
            <w:pPr>
              <w:adjustRightInd w:val="0"/>
              <w:spacing w:before="29" w:line="288" w:lineRule="auto"/>
              <w:ind w:left="17"/>
              <w:jc w:val="left"/>
              <w:rPr>
                <w:color w:val="000000"/>
                <w:sz w:val="24"/>
              </w:rPr>
            </w:pPr>
            <w:r w:rsidRPr="007F52FA">
              <w:rPr>
                <w:color w:val="000000"/>
                <w:sz w:val="24"/>
              </w:rPr>
              <w:t>下属两级基金的交易代码</w:t>
            </w:r>
          </w:p>
          <w:p w:rsidP="00C01EF2" w:rsidR="00C01EF2" w:rsidRDefault="00C01EF2" w:rsidRPr="007F52FA">
            <w:pPr>
              <w:adjustRightInd w:val="0"/>
              <w:spacing w:before="29" w:line="288" w:lineRule="auto"/>
              <w:ind w:left="17"/>
              <w:jc w:val="left"/>
              <w:rPr>
                <w:color w:val="000000"/>
                <w:sz w:val="24"/>
              </w:rPr>
            </w:pPr>
            <w:r w:rsidRPr="007F52FA">
              <w:rPr>
                <w:color w:themeColor="text1" w:val="000000"/>
                <w:sz w:val="24"/>
              </w:rPr>
              <w:t/>
            </w:r>
            <w:r w:rsidRPr="000E4C40">
              <w:rPr>
                <w:color w:val="000000"/>
                <w:kern w:val="0"/>
                <w:sz w:val="24"/>
              </w:rPr>
              <w:t/>
            </w:r>
            <w:r>
              <w:rPr>
                <w:rFonts w:hint="eastAsia"/>
                <w:color w:val="000000"/>
                <w:kern w:val="0"/>
                <w:sz w:val="24"/>
              </w:rPr>
              <w:t/>
            </w:r>
            <w:r w:rsidRPr="000E4C40">
              <w:rPr>
                <w:sz w:val="24"/>
              </w:rPr>
              <w:t/>
            </w:r>
          </w:p>
        </w:tc>
        <w:tc>
          <w:tcPr>
            <w:tcW w:type="dxa" w:w="2922"/>
            <w:vAlign w:val="center"/>
          </w:tcPr>
          <w:p w:rsidP="007F50FB" w:rsidR="00C23B30" w:rsidRDefault="00C23B30" w:rsidRPr="000E4C40">
            <w:pPr>
              <w:spacing w:before="29" w:line="288" w:lineRule="auto"/>
              <w:jc w:val="left"/>
              <w:rPr>
                <w:sz w:val="24"/>
              </w:rPr>
            </w:pPr>
            <w:r w:rsidRPr="007F52FA">
              <w:rPr>
                <w:color w:themeColor="text1" w:val="000000"/>
                <w:sz w:val="24"/>
              </w:rPr>
              <w:t/>
            </w:r>
            <w:r w:rsidRPr="000E4C40">
              <w:rPr>
                <w:color w:val="000000"/>
                <w:kern w:val="0"/>
                <w:sz w:val="24"/>
              </w:rPr>
              <w:t/>
            </w:r>
            <w:r w:rsidRPr="000E4C40">
              <w:rPr>
                <w:sz w:val="24"/>
              </w:rPr>
              <w:t>519784</w:t>
            </w:r>
          </w:p>
        </w:tc>
        <w:tc>
          <w:tcPr>
            <w:tcW w:type="dxa" w:w="3048"/>
            <w:vAlign w:val="center"/>
          </w:tcPr>
          <w:p w:rsidP="00A52A9E" w:rsidR="00C23B30" w:rsidRDefault="00261F47" w:rsidRPr="000E4C40">
            <w:pPr>
              <w:spacing w:before="29" w:line="288" w:lineRule="auto"/>
              <w:jc w:val="left"/>
              <w:rPr>
                <w:sz w:val="24"/>
              </w:rPr>
            </w:pPr>
            <w:r w:rsidRPr="007F52FA">
              <w:rPr>
                <w:color w:themeColor="text1" w:val="000000"/>
                <w:sz w:val="24"/>
              </w:rPr>
              <w:t/>
            </w:r>
            <w:r w:rsidR="00C23B30" w:rsidRPr="000E4C40">
              <w:rPr>
                <w:color w:val="000000"/>
                <w:kern w:val="0"/>
                <w:sz w:val="24"/>
              </w:rPr>
              <w:t/>
            </w:r>
            <w:r w:rsidR="00C23B30" w:rsidRPr="000E4C40">
              <w:rPr>
                <w:sz w:val="24"/>
              </w:rPr>
              <w:t/>
            </w:r>
            <w:r w:rsidR="00A52A9E">
              <w:rPr>
                <w:sz w:val="24"/>
              </w:rPr>
              <w:t/>
            </w:r>
            <w:r w:rsidR="00C23B30" w:rsidRPr="000E4C40">
              <w:rPr>
                <w:sz w:val="24"/>
              </w:rPr>
              <w:t>519785</w:t>
            </w:r>
          </w:p>
        </w:tc>
      </w:tr>
      <w:tr w:rsidR="00C23B30" w:rsidRPr="007F52FA" w:rsidTr="009416C9">
        <w:trPr>
          <w:jc w:val="center"/>
        </w:trPr>
        <w:tc>
          <w:tcPr>
            <w:tcW w:type="dxa" w:w="3023"/>
            <w:vAlign w:val="center"/>
          </w:tcPr>
          <w:p w:rsidP="007C14DF" w:rsidR="00C23B30" w:rsidRDefault="00C23B30" w:rsidRPr="007F52FA">
            <w:pPr>
              <w:adjustRightInd w:val="0"/>
              <w:spacing w:before="29" w:line="288" w:lineRule="auto"/>
              <w:ind w:left="17"/>
              <w:jc w:val="left"/>
              <w:rPr>
                <w:color w:val="000000"/>
                <w:sz w:val="24"/>
              </w:rPr>
            </w:pPr>
            <w:r w:rsidRPr="007F52FA">
              <w:rPr>
                <w:color w:val="000000"/>
                <w:sz w:val="24"/>
              </w:rPr>
              <w:t>报告期末下属两级基金的</w:t>
            </w:r>
            <w:r w:rsidRPr="007F52FA">
              <w:rPr>
                <w:color w:val="000000"/>
                <w:sz w:val="24"/>
              </w:rPr>
              <w:lastRenderedPageBreak/>
              <w:t>份额总额</w:t>
            </w:r>
          </w:p>
        </w:tc>
        <w:tc>
          <w:tcPr>
            <w:tcW w:type="dxa" w:w="2922"/>
            <w:vAlign w:val="center"/>
          </w:tcPr>
          <w:p w:rsidP="007C14DF" w:rsidR="00C23B30" w:rsidRDefault="00C23B30" w:rsidRPr="007F52FA">
            <w:pPr>
              <w:spacing w:before="29" w:line="288" w:lineRule="auto"/>
              <w:jc w:val="left"/>
              <w:rPr>
                <w:sz w:val="24"/>
              </w:rPr>
            </w:pPr>
            <w:r w:rsidRPr="007F52FA">
              <w:rPr>
                <w:color w:val="000000"/>
                <w:kern w:val="0"/>
                <w:sz w:val="24"/>
              </w:rPr>
              <w:lastRenderedPageBreak/>
              <w:t/>
            </w:r>
            <w:r w:rsidRPr="007F52FA">
              <w:rPr>
                <w:color w:val="000000"/>
                <w:kern w:val="0"/>
                <w:sz w:val="24"/>
              </w:rPr>
              <w:lastRenderedPageBreak/>
              <w:t/>
            </w:r>
            <w:r w:rsidRPr="007F52FA">
              <w:rPr>
                <w:sz w:val="24"/>
              </w:rPr>
              <w:t>3,944,696,062.19</w:t>
            </w:r>
            <w:r w:rsidRPr="007F52FA">
              <w:rPr>
                <w:color w:val="000000"/>
                <w:kern w:val="0"/>
                <w:sz w:val="24"/>
              </w:rPr>
              <w:t>份</w:t>
            </w:r>
          </w:p>
        </w:tc>
        <w:tc>
          <w:tcPr>
            <w:tcW w:type="dxa" w:w="3048"/>
            <w:vAlign w:val="center"/>
          </w:tcPr>
          <w:p w:rsidP="007C14DF" w:rsidR="00C23B30" w:rsidRDefault="00C23B30" w:rsidRPr="007F52FA">
            <w:pPr>
              <w:spacing w:before="29" w:line="288" w:lineRule="auto"/>
              <w:jc w:val="left"/>
              <w:rPr>
                <w:sz w:val="24"/>
              </w:rPr>
            </w:pPr>
            <w:r w:rsidRPr="007F52FA">
              <w:rPr>
                <w:color w:val="000000"/>
                <w:kern w:val="0"/>
                <w:sz w:val="24"/>
              </w:rPr>
              <w:lastRenderedPageBreak/>
              <w:t/>
            </w:r>
            <w:r w:rsidRPr="007F52FA">
              <w:rPr>
                <w:color w:val="000000"/>
                <w:kern w:val="0"/>
                <w:sz w:val="24"/>
              </w:rPr>
              <w:lastRenderedPageBreak/>
              <w:t/>
            </w:r>
            <w:r w:rsidRPr="007F52FA">
              <w:rPr>
                <w:sz w:val="24"/>
              </w:rPr>
              <w:t>230,423.05</w:t>
            </w:r>
            <w:r w:rsidRPr="007F52FA">
              <w:rPr>
                <w:color w:val="000000"/>
                <w:kern w:val="0"/>
                <w:sz w:val="24"/>
              </w:rPr>
              <w:t>份</w:t>
            </w:r>
          </w:p>
        </w:tc>
      </w:tr>
    </w:tbl>
    <w:p w:rsidP="007C14DF" w:rsidR="009238DB" w:rsidRDefault="00A6200E"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注：本基金自2019年3月5日起转为开放式运作。 </w:t>
      </w:r>
    </w:p>
    <w:p w:rsidP="007C14DF" w:rsidR="00740635" w:rsidRDefault="00740635" w:rsidRPr="007F52FA">
      <w:pPr>
        <w:autoSpaceDE w:val="0"/>
        <w:autoSpaceDN w:val="0"/>
        <w:adjustRightInd w:val="0"/>
        <w:spacing w:before="29" w:line="288" w:lineRule="auto"/>
        <w:jc w:val="left"/>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P="007C14DF" w:rsidR="009238DB" w:rsidRDefault="009238DB" w:rsidRPr="007F52FA">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6"/>
        <w:gridCol w:w="2631"/>
        <w:gridCol w:w="2631"/>
      </w:tblGrid>
      <w:tr w:rsidR="009E549D" w:rsidRPr="007F52FA" w:rsidTr="007A5233">
        <w:trPr>
          <w:jc w:val="center"/>
        </w:trPr>
        <w:tc>
          <w:tcPr>
            <w:tcW w:type="dxa" w:w="3402"/>
            <w:vMerge w:val="restart"/>
            <w:vAlign w:val="center"/>
          </w:tcPr>
          <w:p w:rsidP="007C14DF" w:rsidR="009E549D" w:rsidRDefault="009E549D" w:rsidRPr="007F52FA">
            <w:pPr>
              <w:adjustRightInd w:val="0"/>
              <w:spacing w:before="29" w:line="288" w:lineRule="auto"/>
              <w:ind w:left="17"/>
              <w:jc w:val="center"/>
              <w:rPr>
                <w:kern w:val="0"/>
                <w:sz w:val="24"/>
              </w:rPr>
            </w:pPr>
            <w:r w:rsidRPr="007F52FA">
              <w:rPr>
                <w:kern w:val="0"/>
                <w:sz w:val="24"/>
              </w:rPr>
              <w:t>主要财务指标</w:t>
            </w:r>
          </w:p>
        </w:tc>
        <w:tc>
          <w:tcPr>
            <w:tcW w:type="dxa" w:w="4962"/>
            <w:gridSpan w:val="2"/>
            <w:vAlign w:val="center"/>
          </w:tcPr>
          <w:p w:rsidP="00BF5A58" w:rsidR="00BF5A58" w:rsidRDefault="00BF5A58" w:rsidRPr="00414345">
            <w:pPr>
              <w:adjustRightInd w:val="0"/>
              <w:spacing w:before="29" w:line="288" w:lineRule="auto"/>
              <w:ind w:left="17"/>
              <w:jc w:val="center"/>
              <w:rPr>
                <w:color w:val="000000"/>
                <w:sz w:val="24"/>
              </w:rPr>
            </w:pPr>
            <w:r w:rsidRPr="00414345">
              <w:rPr>
                <w:color w:val="000000"/>
                <w:sz w:val="24"/>
              </w:rPr>
              <w:t>报告期</w:t>
            </w:r>
          </w:p>
          <w:p w:rsidP="00BF5A58" w:rsidR="009E549D" w:rsidRDefault="00BF5A58" w:rsidRPr="007F52FA">
            <w:pPr>
              <w:adjustRightInd w:val="0"/>
              <w:spacing w:before="29" w:line="288" w:lineRule="auto"/>
              <w:ind w:left="17"/>
              <w:jc w:val="center"/>
              <w:rPr>
                <w:color w:val="000000"/>
                <w:sz w:val="24"/>
              </w:rPr>
            </w:pPr>
            <w:r w:rsidRPr="00414345">
              <w:rPr>
                <w:color w:val="000000"/>
                <w:sz w:val="24"/>
              </w:rPr>
              <w:t>(2020年7月1日-2020年9月30日)</w:t>
            </w:r>
          </w:p>
        </w:tc>
      </w:tr>
      <w:tr w:rsidR="009E549D" w:rsidRPr="007F52FA" w:rsidTr="007A5233">
        <w:trPr>
          <w:jc w:val="center"/>
        </w:trPr>
        <w:tc>
          <w:tcPr>
            <w:tcW w:type="dxa" w:w="3402"/>
            <w:vMerge/>
            <w:vAlign w:val="center"/>
          </w:tcPr>
          <w:p w:rsidP="007C14DF" w:rsidR="009E549D" w:rsidRDefault="009E549D" w:rsidRPr="007F52FA">
            <w:pPr>
              <w:adjustRightInd w:val="0"/>
              <w:spacing w:before="29" w:line="288" w:lineRule="auto"/>
              <w:ind w:left="17"/>
              <w:jc w:val="center"/>
              <w:rPr>
                <w:kern w:val="0"/>
                <w:sz w:val="24"/>
              </w:rPr>
            </w:pP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交银境尚收益债券A</w:t>
            </w: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
            </w:r>
            <w:r w:rsidR="004D614E" w:rsidRPr="007F52FA">
              <w:rPr>
                <w:sz w:val="24"/>
              </w:rPr>
              <w:t/>
            </w:r>
            <w:r w:rsidR="00FE7FBD" w:rsidRPr="007F52FA">
              <w:rPr>
                <w:sz w:val="24"/>
              </w:rPr>
              <w:t>交银境尚收益债券C</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22,794,159.39</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AD3905" w:rsidRPr="007F52FA">
              <w:rPr>
                <w:color w:val="000000"/>
                <w:sz w:val="24"/>
              </w:rPr>
              <w:t/>
            </w:r>
            <w:r w:rsidR="0037768B"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1,163.63</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2.</w:t>
            </w:r>
            <w:r w:rsidRPr="007F52FA">
              <w:rPr>
                <w:kern w:val="0"/>
                <w:sz w:val="24"/>
              </w:rPr>
              <w:t>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-9,037,786.64</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-1,224.04</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-0.0023</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-0.0045</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3,969,316,407.70</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231,162.98</w:t>
            </w:r>
          </w:p>
        </w:tc>
      </w:tr>
      <w:tr w:rsidR="005F293E" w:rsidRPr="007F52FA" w:rsidTr="007A5233">
        <w:trPr>
          <w:trHeight w:val="158"/>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1.0062</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1.0032</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注：1、上述基金业绩指标不包括持有人认购或交易基金的各项费用，计入费用后的实际收益水平要低于所列数字；</w:t>
      </w:r>
    </w:p>
    <w:p w:rsidP="007C14DF" w:rsidR="005E01A3" w:rsidRDefault="005E01A3"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w:r>
      <w:r w:rsidR="009A529F" w:rsidRPr="007F52FA">
        <w:rPr>
          <w:rFonts w:eastAsiaTheme="minorEastAsia"/>
          <w:color w:val="000000"/>
          <w:sz w:val="24"/>
        </w:rPr>
        <w:t/>
      </w:r>
      <w:r w:rsidR="00FE7FBD" w:rsidRPr="007F52FA">
        <w:rPr>
          <w:rFonts w:eastAsiaTheme="minorEastAsia"/>
          <w:color w:val="000000"/>
          <w:sz w:val="24"/>
        </w:rPr>
        <w:t/>
      </w:r>
      <w:r w:rsidRPr="007F52FA">
        <w:rPr>
          <w:rFonts w:eastAsiaTheme="minorEastAsia"/>
          <w:color w:val="000000"/>
          <w:sz w:val="24"/>
        </w:rPr>
        <w:t>2、本期已实现收益指基金本期利息收入、投资收益、其他收入（不含公允价值变动收益）扣除相关费用后的余额，本期利润为本期已实现收益加上本期公允价值变动收益。</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P="007C14DF" w:rsidR="009238DB" w:rsidRDefault="009238DB" w:rsidRPr="007F52FA">
      <w:pPr>
        <w:autoSpaceDE w:val="0"/>
        <w:autoSpaceDN w:val="0"/>
        <w:adjustRightInd w:val="0"/>
        <w:spacing w:before="29" w:line="288" w:lineRule="auto"/>
        <w:jc w:val="left"/>
        <w:rPr>
          <w:b/>
          <w:color w:val="000000"/>
          <w:kern w:val="0"/>
          <w:sz w:val="24"/>
        </w:rPr>
      </w:pPr>
      <w:smartTag w:element="chsdate" w:uri="urn:schemas-microsoft-com:office:smarttags">
        <w:smartTagPr>
          <w:attr w:name="IsROCDate" w:val="False"/>
          <w:attr w:name="IsLunarDate" w:val="False"/>
          <w:attr w:name="Day" w:val="30"/>
          <w:attr w:name="Month" w:val="12"/>
          <w:attr w:name="Year" w:val="1899"/>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P="007C14DF" w:rsidR="009238DB" w:rsidRDefault="009238DB" w:rsidRPr="007F52FA">
      <w:pPr>
        <w:spacing w:before="29" w:line="288" w:lineRule="auto"/>
        <w:rPr>
          <w:b/>
          <w:sz w:val="24"/>
        </w:rPr>
      </w:pPr>
      <w:r w:rsidRPr="007F52FA">
        <w:rPr>
          <w:b/>
          <w:sz w:val="24"/>
        </w:rPr>
        <w:t>1</w:t>
      </w:r>
      <w:r w:rsidRPr="007F52FA">
        <w:rPr>
          <w:b/>
          <w:sz w:val="24"/>
        </w:rPr>
        <w:t>、</w:t>
      </w:r>
      <w:r w:rsidR="00A5643A" w:rsidRPr="007F52FA">
        <w:rPr>
          <w:b/>
          <w:color w:val="000000"/>
          <w:kern w:val="0"/>
          <w:sz w:val="24"/>
        </w:rPr>
        <w:t/>
      </w:r>
      <w:r w:rsidR="0042785F" w:rsidRPr="007F52FA">
        <w:rPr>
          <w:b/>
          <w:color w:val="000000"/>
          <w:kern w:val="0"/>
          <w:sz w:val="24"/>
        </w:rPr>
        <w:t/>
      </w:r>
      <w:r w:rsidR="00A5643A" w:rsidRPr="007F52FA">
        <w:rPr>
          <w:b/>
          <w:color w:val="000000"/>
          <w:kern w:val="0"/>
          <w:sz w:val="24"/>
        </w:rPr>
        <w:t>交银境尚收益债券A</w:t>
      </w:r>
      <w:r w:rsidRPr="007F52FA">
        <w:rPr>
          <w:b/>
          <w:sz w:val="24"/>
        </w:rPr>
        <w:t>：</w:t>
      </w:r>
    </w:p>
    <w:tbl>
      <w:tblPr>
        <w:tblStyle w:val="af2"/>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-0.22%</w:t>
            </w:r>
          </w:p>
        </w:tc>
        <w:tc>
          <w:tcPr>
            <w:vAlign w:val="center"/>
          </w:tcPr>
          <w:p>
            <w:pPr>
              <w:jc w:val="center"/>
            </w:pPr>
            <w:r>
              <w:rPr>
                <w:color w:val="000000"/>
                <w:sz w:val="24"/>
              </w:rPr>
              <w:t>0.05%</w:t>
            </w:r>
          </w:p>
        </w:tc>
        <w:tc>
          <w:tcPr>
            <w:vAlign w:val="center"/>
          </w:tcPr>
          <w:p>
            <w:pPr>
              <w:jc w:val="center"/>
            </w:pPr>
            <w:r>
              <w:rPr>
                <w:color w:val="000000"/>
                <w:sz w:val="24"/>
              </w:rPr>
              <w:t>-1.48%</w:t>
            </w:r>
          </w:p>
        </w:tc>
        <w:tc>
          <w:tcPr>
            <w:vAlign w:val="center"/>
          </w:tcPr>
          <w:p>
            <w:pPr>
              <w:jc w:val="center"/>
            </w:pPr>
            <w:r>
              <w:rPr>
                <w:color w:val="000000"/>
                <w:sz w:val="24"/>
              </w:rPr>
              <w:t>0.08%</w:t>
            </w:r>
          </w:p>
        </w:tc>
        <w:tc>
          <w:tcPr>
            <w:vAlign w:val="center"/>
          </w:tcPr>
          <w:p>
            <w:pPr>
              <w:jc w:val="center"/>
            </w:pPr>
            <w:r>
              <w:rPr>
                <w:color w:val="000000"/>
                <w:sz w:val="24"/>
              </w:rPr>
              <w:t>1.26%</w:t>
            </w:r>
          </w:p>
        </w:tc>
        <w:tc>
          <w:tcPr>
            <w:vAlign w:val="center"/>
          </w:tcPr>
          <w:p>
            <w:pPr>
              <w:jc w:val="center"/>
            </w:pPr>
            <w:r>
              <w:rPr>
                <w:color w:val="000000"/>
                <w:sz w:val="24"/>
              </w:rPr>
              <w:t>-0.03%</w:t>
            </w:r>
          </w:p>
        </w:tc>
      </w:tr>
      <w:tr>
        <w:tc>
          <w:tcPr>
            <w:vAlign w:val="center"/>
          </w:tcPr>
          <w:p>
            <w:pPr>
              <w:jc w:val="left"/>
            </w:pPr>
            <w:r>
              <w:rPr>
                <w:color w:val="000000"/>
                <w:sz w:val="24"/>
              </w:rPr>
              <w:t>过去六个月</w:t>
            </w:r>
          </w:p>
        </w:tc>
        <w:tc>
          <w:tcPr>
            <w:vAlign w:val="center"/>
          </w:tcPr>
          <w:p>
            <w:pPr>
              <w:jc w:val="center"/>
            </w:pPr>
            <w:r>
              <w:rPr>
                <w:color w:val="000000"/>
                <w:sz w:val="24"/>
              </w:rPr>
              <w:t>-0.31%</w:t>
            </w:r>
          </w:p>
        </w:tc>
        <w:tc>
          <w:tcPr>
            <w:vAlign w:val="center"/>
          </w:tcPr>
          <w:p>
            <w:pPr>
              <w:jc w:val="center"/>
            </w:pPr>
            <w:r>
              <w:rPr>
                <w:color w:val="000000"/>
                <w:sz w:val="24"/>
              </w:rPr>
              <w:t>0.06%</w:t>
            </w:r>
          </w:p>
        </w:tc>
        <w:tc>
          <w:tcPr>
            <w:vAlign w:val="center"/>
          </w:tcPr>
          <w:p>
            <w:pPr>
              <w:jc w:val="center"/>
            </w:pPr>
            <w:r>
              <w:rPr>
                <w:color w:val="000000"/>
                <w:sz w:val="24"/>
              </w:rPr>
              <w:t>-2.50%</w:t>
            </w:r>
          </w:p>
        </w:tc>
        <w:tc>
          <w:tcPr>
            <w:vAlign w:val="center"/>
          </w:tcPr>
          <w:p>
            <w:pPr>
              <w:jc w:val="center"/>
            </w:pPr>
            <w:r>
              <w:rPr>
                <w:color w:val="000000"/>
                <w:sz w:val="24"/>
              </w:rPr>
              <w:t>0.10%</w:t>
            </w:r>
          </w:p>
        </w:tc>
        <w:tc>
          <w:tcPr>
            <w:vAlign w:val="center"/>
          </w:tcPr>
          <w:p>
            <w:pPr>
              <w:jc w:val="center"/>
            </w:pPr>
            <w:r>
              <w:rPr>
                <w:color w:val="000000"/>
                <w:sz w:val="24"/>
              </w:rPr>
              <w:t>2.19%</w:t>
            </w:r>
          </w:p>
        </w:tc>
        <w:tc>
          <w:tcPr>
            <w:vAlign w:val="center"/>
          </w:tcPr>
          <w:p>
            <w:pPr>
              <w:jc w:val="center"/>
            </w:pPr>
            <w:r>
              <w:rPr>
                <w:color w:val="000000"/>
                <w:sz w:val="24"/>
              </w:rPr>
              <w:t>-0.04%</w:t>
            </w:r>
          </w:p>
        </w:tc>
      </w:tr>
      <w:tr>
        <w:tc>
          <w:tcPr>
            <w:vAlign w:val="center"/>
          </w:tcPr>
          <w:p>
            <w:pPr>
              <w:jc w:val="left"/>
            </w:pPr>
            <w:r>
              <w:rPr>
                <w:color w:val="000000"/>
                <w:sz w:val="24"/>
              </w:rPr>
              <w:t>过去一年</w:t>
            </w:r>
          </w:p>
        </w:tc>
        <w:tc>
          <w:tcPr>
            <w:vAlign w:val="center"/>
          </w:tcPr>
          <w:p>
            <w:pPr>
              <w:jc w:val="center"/>
            </w:pPr>
            <w:r>
              <w:rPr>
                <w:color w:val="000000"/>
                <w:sz w:val="24"/>
              </w:rPr>
              <w:t>3.66%</w:t>
            </w:r>
          </w:p>
        </w:tc>
        <w:tc>
          <w:tcPr>
            <w:vAlign w:val="center"/>
          </w:tcPr>
          <w:p>
            <w:pPr>
              <w:jc w:val="center"/>
            </w:pPr>
            <w:r>
              <w:rPr>
                <w:color w:val="000000"/>
                <w:sz w:val="24"/>
              </w:rPr>
              <w:t>0.10%</w:t>
            </w:r>
          </w:p>
        </w:tc>
        <w:tc>
          <w:tcPr>
            <w:vAlign w:val="center"/>
          </w:tcPr>
          <w:p>
            <w:pPr>
              <w:jc w:val="center"/>
            </w:pPr>
            <w:r>
              <w:rPr>
                <w:color w:val="000000"/>
                <w:sz w:val="24"/>
              </w:rPr>
              <w:t>-0.08%</w:t>
            </w:r>
          </w:p>
        </w:tc>
        <w:tc>
          <w:tcPr>
            <w:vAlign w:val="center"/>
          </w:tcPr>
          <w:p>
            <w:pPr>
              <w:jc w:val="center"/>
            </w:pPr>
            <w:r>
              <w:rPr>
                <w:color w:val="000000"/>
                <w:sz w:val="24"/>
              </w:rPr>
              <w:t>0.09%</w:t>
            </w:r>
          </w:p>
        </w:tc>
        <w:tc>
          <w:tcPr>
            <w:vAlign w:val="center"/>
          </w:tcPr>
          <w:p>
            <w:pPr>
              <w:jc w:val="center"/>
            </w:pPr>
            <w:r>
              <w:rPr>
                <w:color w:val="000000"/>
                <w:sz w:val="24"/>
              </w:rPr>
              <w:t>3.74%</w:t>
            </w:r>
          </w:p>
        </w:tc>
        <w:tc>
          <w:tcPr>
            <w:vAlign w:val="center"/>
          </w:tcPr>
          <w:p>
            <w:pPr>
              <w:jc w:val="center"/>
            </w:pPr>
            <w:r>
              <w:rPr>
                <w:color w:val="000000"/>
                <w:sz w:val="24"/>
              </w:rPr>
              <w:t>0.01%</w:t>
            </w:r>
          </w:p>
        </w:tc>
      </w:tr>
      <w:tr>
        <w:tc>
          <w:tcPr>
            <w:vAlign w:val="center"/>
          </w:tcPr>
          <w:p>
            <w:pPr>
              <w:jc w:val="left"/>
            </w:pPr>
            <w:r>
              <w:rPr>
                <w:color w:val="000000"/>
                <w:sz w:val="24"/>
              </w:rPr>
              <w:t>过去三年</w:t>
            </w:r>
          </w:p>
        </w:tc>
        <w:tc>
          <w:tcPr>
            <w:vAlign w:val="center"/>
          </w:tcPr>
          <w:p>
            <w:pPr>
              <w:jc w:val="center"/>
            </w:pPr>
            <w:r>
              <w:rPr>
                <w:color w:val="000000"/>
                <w:sz w:val="24"/>
              </w:rPr>
              <w:t>13.47%</w:t>
            </w:r>
          </w:p>
        </w:tc>
        <w:tc>
          <w:tcPr>
            <w:vAlign w:val="center"/>
          </w:tcPr>
          <w:p>
            <w:pPr>
              <w:jc w:val="center"/>
            </w:pPr>
            <w:r>
              <w:rPr>
                <w:color w:val="000000"/>
                <w:sz w:val="24"/>
              </w:rPr>
              <w:t>0.07%</w:t>
            </w:r>
          </w:p>
        </w:tc>
        <w:tc>
          <w:tcPr>
            <w:vAlign w:val="center"/>
          </w:tcPr>
          <w:p>
            <w:pPr>
              <w:jc w:val="center"/>
            </w:pPr>
            <w:r>
              <w:rPr>
                <w:color w:val="000000"/>
                <w:sz w:val="24"/>
              </w:rPr>
              <w:t>5.00%</w:t>
            </w:r>
          </w:p>
        </w:tc>
        <w:tc>
          <w:tcPr>
            <w:vAlign w:val="center"/>
          </w:tcPr>
          <w:p>
            <w:pPr>
              <w:jc w:val="center"/>
            </w:pPr>
            <w:r>
              <w:rPr>
                <w:color w:val="000000"/>
                <w:sz w:val="24"/>
              </w:rPr>
              <w:t>0.06%</w:t>
            </w:r>
          </w:p>
        </w:tc>
        <w:tc>
          <w:tcPr>
            <w:vAlign w:val="center"/>
          </w:tcPr>
          <w:p>
            <w:pPr>
              <w:jc w:val="center"/>
            </w:pPr>
            <w:r>
              <w:rPr>
                <w:color w:val="000000"/>
                <w:sz w:val="24"/>
              </w:rPr>
              <w:t>8.47%</w:t>
            </w:r>
          </w:p>
        </w:tc>
        <w:tc>
          <w:tcPr>
            <w:vAlign w:val="center"/>
          </w:tcPr>
          <w:p>
            <w:pPr>
              <w:jc w:val="center"/>
            </w:pPr>
            <w:r>
              <w:rPr>
                <w:color w:val="000000"/>
                <w:sz w:val="24"/>
              </w:rPr>
              <w:t>0.01%</w:t>
            </w:r>
          </w:p>
        </w:tc>
      </w:tr>
      <w:tr>
        <w:tc>
          <w:tcPr>
            <w:vAlign w:val="center"/>
          </w:tcPr>
          <w:p>
            <w:pPr>
              <w:jc w:val="left"/>
            </w:pPr>
            <w:r>
              <w:rPr>
                <w:color w:val="000000"/>
                <w:sz w:val="24"/>
              </w:rPr>
              <w:t>自基金合同生效起至今</w:t>
            </w:r>
          </w:p>
        </w:tc>
        <w:tc>
          <w:tcPr>
            <w:vAlign w:val="center"/>
          </w:tcPr>
          <w:p>
            <w:pPr>
              <w:jc w:val="center"/>
            </w:pPr>
            <w:r>
              <w:rPr>
                <w:color w:val="000000"/>
                <w:sz w:val="24"/>
              </w:rPr>
              <w:t>15.25%</w:t>
            </w:r>
          </w:p>
        </w:tc>
        <w:tc>
          <w:tcPr>
            <w:vAlign w:val="center"/>
          </w:tcPr>
          <w:p>
            <w:pPr>
              <w:jc w:val="center"/>
            </w:pPr>
            <w:r>
              <w:rPr>
                <w:color w:val="000000"/>
                <w:sz w:val="24"/>
              </w:rPr>
              <w:t>0.07%</w:t>
            </w:r>
          </w:p>
        </w:tc>
        <w:tc>
          <w:tcPr>
            <w:vAlign w:val="center"/>
          </w:tcPr>
          <w:p>
            <w:pPr>
              <w:jc w:val="center"/>
            </w:pPr>
            <w:r>
              <w:rPr>
                <w:color w:val="000000"/>
                <w:sz w:val="24"/>
              </w:rPr>
              <w:t>7.07%</w:t>
            </w:r>
          </w:p>
        </w:tc>
        <w:tc>
          <w:tcPr>
            <w:vAlign w:val="center"/>
          </w:tcPr>
          <w:p>
            <w:pPr>
              <w:jc w:val="center"/>
            </w:pPr>
            <w:r>
              <w:rPr>
                <w:color w:val="000000"/>
                <w:sz w:val="24"/>
              </w:rPr>
              <w:t>0.05%</w:t>
            </w:r>
          </w:p>
        </w:tc>
        <w:tc>
          <w:tcPr>
            <w:vAlign w:val="center"/>
          </w:tcPr>
          <w:p>
            <w:pPr>
              <w:jc w:val="center"/>
            </w:pPr>
            <w:r>
              <w:rPr>
                <w:color w:val="000000"/>
                <w:sz w:val="24"/>
              </w:rPr>
              <w:t>8.18%</w:t>
            </w:r>
          </w:p>
        </w:tc>
        <w:tc>
          <w:tcPr>
            <w:vAlign w:val="center"/>
          </w:tcPr>
          <w:p>
            <w:pPr>
              <w:jc w:val="center"/>
            </w:pPr>
            <w:r>
              <w:rPr>
                <w:color w:val="000000"/>
                <w:sz w:val="24"/>
              </w:rPr>
              <w:t>0.02%</w:t>
            </w:r>
          </w:p>
        </w:tc>
      </w:tr>
    </w:tbl>
    <w:p w:rsidP="007C14DF" w:rsidR="009238DB" w:rsidRDefault="004425E8" w:rsidRPr="007F52FA">
      <w:pPr>
        <w:autoSpaceDE w:val="0"/>
        <w:autoSpaceDN w:val="0"/>
        <w:adjustRightInd w:val="0"/>
        <w:spacing w:before="29" w:line="288" w:lineRule="auto"/>
        <w:jc w:val="left"/>
        <w:rPr>
          <w:color w:val="000000"/>
          <w:sz w:val="24"/>
        </w:rPr>
      </w:pPr>
      <w:r w:rsidRPr="007F52FA">
        <w:rPr>
          <w:color w:val="000000"/>
          <w:sz w:val="24"/>
        </w:rPr>
        <w:t/>
      </w:r>
      <w:r w:rsidR="00243122" w:rsidRPr="007F52FA">
        <w:rPr>
          <w:color w:val="000000"/>
          <w:sz w:val="24"/>
        </w:rPr>
        <w:t/>
      </w:r>
      <w:r w:rsidR="0042785F" w:rsidRPr="007F52FA">
        <w:rPr>
          <w:color w:val="000000"/>
          <w:sz w:val="24"/>
        </w:rPr>
        <w:t/>
      </w:r>
      <w:r w:rsidR="00243122" w:rsidRPr="007F52FA">
        <w:rPr>
          <w:color w:val="000000"/>
          <w:sz w:val="24"/>
        </w:rPr>
        <w:t/>
      </w:r>
      <w:r w:rsidRPr="007F52FA">
        <w:rPr>
          <w:color w:val="000000"/>
          <w:sz w:val="24"/>
        </w:rPr>
        <w:t>注：本基金自2019年3月5日起转为开放式运作，本基金的业绩比较基准由“两年期银行定期存款税后收益率+1.25%”变更为“中债综合全价指数收益率”，3.2.2同。</w:t>
      </w:r>
    </w:p>
    <w:p w:rsidP="007C14DF" w:rsidR="004425E8" w:rsidRDefault="004425E8" w:rsidRPr="007F52FA">
      <w:pPr>
        <w:pStyle w:val="20"/>
        <w:spacing w:before="29" w:line="288" w:lineRule="auto"/>
        <w:ind w:firstLine="0" w:firstLineChars="0"/>
        <w:rPr>
          <w:rFonts w:ascii="Times New Roman" w:eastAsiaTheme="minorEastAsia" w:hAnsi="Times New Roman"/>
          <w:color w:val="000000"/>
        </w:rPr>
      </w:pPr>
    </w:p>
    <w:p w:rsidP="007C14DF" w:rsidR="009238DB" w:rsidRDefault="009238DB" w:rsidRPr="007F52FA">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A5643A" w:rsidRPr="007F52FA">
        <w:rPr>
          <w:b/>
          <w:color w:val="000000"/>
          <w:kern w:val="0"/>
          <w:sz w:val="24"/>
        </w:rPr>
        <w:t/>
      </w:r>
      <w:r w:rsidR="004D614E" w:rsidRPr="007F52FA">
        <w:rPr>
          <w:b/>
          <w:color w:val="000000"/>
          <w:kern w:val="0"/>
          <w:sz w:val="24"/>
        </w:rPr>
        <w:t/>
      </w:r>
      <w:r w:rsidR="00FE7FBD" w:rsidRPr="007F52FA">
        <w:rPr>
          <w:b/>
          <w:color w:val="000000"/>
          <w:kern w:val="0"/>
          <w:sz w:val="24"/>
        </w:rPr>
        <w:t>交银境尚收益债券C</w:t>
      </w:r>
      <w:r w:rsidRPr="007F52FA">
        <w:rPr>
          <w:b/>
          <w:color w:val="000000"/>
          <w:kern w:val="0"/>
          <w:sz w:val="24"/>
        </w:rPr>
        <w:t>：</w:t>
      </w:r>
    </w:p>
    <w:tbl>
      <w:tblPr>
        <w:tblStyle w:val="af2"/>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-0.37%</w:t>
            </w:r>
          </w:p>
        </w:tc>
        <w:tc>
          <w:tcPr>
            <w:vAlign w:val="center"/>
          </w:tcPr>
          <w:p>
            <w:pPr>
              <w:jc w:val="center"/>
            </w:pPr>
            <w:r>
              <w:rPr>
                <w:color w:val="000000"/>
                <w:sz w:val="24"/>
              </w:rPr>
              <w:t>0.05%</w:t>
            </w:r>
          </w:p>
        </w:tc>
        <w:tc>
          <w:tcPr>
            <w:vAlign w:val="center"/>
          </w:tcPr>
          <w:p>
            <w:pPr>
              <w:jc w:val="center"/>
            </w:pPr>
            <w:r>
              <w:rPr>
                <w:color w:val="000000"/>
                <w:sz w:val="24"/>
              </w:rPr>
              <w:t>-1.48%</w:t>
            </w:r>
          </w:p>
        </w:tc>
        <w:tc>
          <w:tcPr>
            <w:vAlign w:val="center"/>
          </w:tcPr>
          <w:p>
            <w:pPr>
              <w:jc w:val="center"/>
            </w:pPr>
            <w:r>
              <w:rPr>
                <w:color w:val="000000"/>
                <w:sz w:val="24"/>
              </w:rPr>
              <w:t>0.08%</w:t>
            </w:r>
          </w:p>
        </w:tc>
        <w:tc>
          <w:tcPr>
            <w:vAlign w:val="center"/>
          </w:tcPr>
          <w:p>
            <w:pPr>
              <w:jc w:val="center"/>
            </w:pPr>
            <w:r>
              <w:rPr>
                <w:color w:val="000000"/>
                <w:sz w:val="24"/>
              </w:rPr>
              <w:t>1.11%</w:t>
            </w:r>
          </w:p>
        </w:tc>
        <w:tc>
          <w:tcPr>
            <w:vAlign w:val="center"/>
          </w:tcPr>
          <w:p>
            <w:pPr>
              <w:jc w:val="center"/>
            </w:pPr>
            <w:r>
              <w:rPr>
                <w:color w:val="000000"/>
                <w:sz w:val="24"/>
              </w:rPr>
              <w:t>-0.03%</w:t>
            </w:r>
          </w:p>
        </w:tc>
      </w:tr>
      <w:tr>
        <w:tc>
          <w:tcPr>
            <w:vAlign w:val="center"/>
          </w:tcPr>
          <w:p>
            <w:pPr>
              <w:jc w:val="left"/>
            </w:pPr>
            <w:r>
              <w:rPr>
                <w:color w:val="000000"/>
                <w:sz w:val="24"/>
              </w:rPr>
              <w:t>过去六个月</w:t>
            </w:r>
          </w:p>
        </w:tc>
        <w:tc>
          <w:tcPr>
            <w:vAlign w:val="center"/>
          </w:tcPr>
          <w:p>
            <w:pPr>
              <w:jc w:val="center"/>
            </w:pPr>
            <w:r>
              <w:rPr>
                <w:color w:val="000000"/>
                <w:sz w:val="24"/>
              </w:rPr>
              <w:t>-0.60%</w:t>
            </w:r>
          </w:p>
        </w:tc>
        <w:tc>
          <w:tcPr>
            <w:vAlign w:val="center"/>
          </w:tcPr>
          <w:p>
            <w:pPr>
              <w:jc w:val="center"/>
            </w:pPr>
            <w:r>
              <w:rPr>
                <w:color w:val="000000"/>
                <w:sz w:val="24"/>
              </w:rPr>
              <w:t>0.06%</w:t>
            </w:r>
          </w:p>
        </w:tc>
        <w:tc>
          <w:tcPr>
            <w:vAlign w:val="center"/>
          </w:tcPr>
          <w:p>
            <w:pPr>
              <w:jc w:val="center"/>
            </w:pPr>
            <w:r>
              <w:rPr>
                <w:color w:val="000000"/>
                <w:sz w:val="24"/>
              </w:rPr>
              <w:t>-2.50%</w:t>
            </w:r>
          </w:p>
        </w:tc>
        <w:tc>
          <w:tcPr>
            <w:vAlign w:val="center"/>
          </w:tcPr>
          <w:p>
            <w:pPr>
              <w:jc w:val="center"/>
            </w:pPr>
            <w:r>
              <w:rPr>
                <w:color w:val="000000"/>
                <w:sz w:val="24"/>
              </w:rPr>
              <w:t>0.10%</w:t>
            </w:r>
          </w:p>
        </w:tc>
        <w:tc>
          <w:tcPr>
            <w:vAlign w:val="center"/>
          </w:tcPr>
          <w:p>
            <w:pPr>
              <w:jc w:val="center"/>
            </w:pPr>
            <w:r>
              <w:rPr>
                <w:color w:val="000000"/>
                <w:sz w:val="24"/>
              </w:rPr>
              <w:t>1.90%</w:t>
            </w:r>
          </w:p>
        </w:tc>
        <w:tc>
          <w:tcPr>
            <w:vAlign w:val="center"/>
          </w:tcPr>
          <w:p>
            <w:pPr>
              <w:jc w:val="center"/>
            </w:pPr>
            <w:r>
              <w:rPr>
                <w:color w:val="000000"/>
                <w:sz w:val="24"/>
              </w:rPr>
              <w:t>-0.04%</w:t>
            </w:r>
          </w:p>
        </w:tc>
      </w:tr>
      <w:tr>
        <w:tc>
          <w:tcPr>
            <w:vAlign w:val="center"/>
          </w:tcPr>
          <w:p>
            <w:pPr>
              <w:jc w:val="left"/>
            </w:pPr>
            <w:r>
              <w:rPr>
                <w:color w:val="000000"/>
                <w:sz w:val="24"/>
              </w:rPr>
              <w:t>过去一年</w:t>
            </w:r>
          </w:p>
        </w:tc>
        <w:tc>
          <w:tcPr>
            <w:vAlign w:val="center"/>
          </w:tcPr>
          <w:p>
            <w:pPr>
              <w:jc w:val="center"/>
            </w:pPr>
            <w:r>
              <w:rPr>
                <w:color w:val="000000"/>
                <w:sz w:val="24"/>
              </w:rPr>
              <w:t>3.05%</w:t>
            </w:r>
          </w:p>
        </w:tc>
        <w:tc>
          <w:tcPr>
            <w:vAlign w:val="center"/>
          </w:tcPr>
          <w:p>
            <w:pPr>
              <w:jc w:val="center"/>
            </w:pPr>
            <w:r>
              <w:rPr>
                <w:color w:val="000000"/>
                <w:sz w:val="24"/>
              </w:rPr>
              <w:t>0.10%</w:t>
            </w:r>
          </w:p>
        </w:tc>
        <w:tc>
          <w:tcPr>
            <w:vAlign w:val="center"/>
          </w:tcPr>
          <w:p>
            <w:pPr>
              <w:jc w:val="center"/>
            </w:pPr>
            <w:r>
              <w:rPr>
                <w:color w:val="000000"/>
                <w:sz w:val="24"/>
              </w:rPr>
              <w:t>-0.08%</w:t>
            </w:r>
          </w:p>
        </w:tc>
        <w:tc>
          <w:tcPr>
            <w:vAlign w:val="center"/>
          </w:tcPr>
          <w:p>
            <w:pPr>
              <w:jc w:val="center"/>
            </w:pPr>
            <w:r>
              <w:rPr>
                <w:color w:val="000000"/>
                <w:sz w:val="24"/>
              </w:rPr>
              <w:t>0.09%</w:t>
            </w:r>
          </w:p>
        </w:tc>
        <w:tc>
          <w:tcPr>
            <w:vAlign w:val="center"/>
          </w:tcPr>
          <w:p>
            <w:pPr>
              <w:jc w:val="center"/>
            </w:pPr>
            <w:r>
              <w:rPr>
                <w:color w:val="000000"/>
                <w:sz w:val="24"/>
              </w:rPr>
              <w:t>3.13%</w:t>
            </w:r>
          </w:p>
        </w:tc>
        <w:tc>
          <w:tcPr>
            <w:vAlign w:val="center"/>
          </w:tcPr>
          <w:p>
            <w:pPr>
              <w:jc w:val="center"/>
            </w:pPr>
            <w:r>
              <w:rPr>
                <w:color w:val="000000"/>
                <w:sz w:val="24"/>
              </w:rPr>
              <w:t>0.01%</w:t>
            </w:r>
          </w:p>
        </w:tc>
      </w:tr>
      <w:tr>
        <w:tc>
          <w:tcPr>
            <w:vAlign w:val="center"/>
          </w:tcPr>
          <w:p>
            <w:pPr>
              <w:jc w:val="left"/>
            </w:pPr>
            <w:r>
              <w:rPr>
                <w:color w:val="000000"/>
                <w:sz w:val="24"/>
              </w:rPr>
              <w:t>过去三年</w:t>
            </w:r>
          </w:p>
        </w:tc>
        <w:tc>
          <w:tcPr>
            <w:vAlign w:val="center"/>
          </w:tcPr>
          <w:p>
            <w:pPr>
              <w:jc w:val="center"/>
            </w:pPr>
            <w:r>
              <w:rPr>
                <w:color w:val="000000"/>
                <w:sz w:val="24"/>
              </w:rPr>
              <w:t>11.43%</w:t>
            </w:r>
          </w:p>
        </w:tc>
        <w:tc>
          <w:tcPr>
            <w:vAlign w:val="center"/>
          </w:tcPr>
          <w:p>
            <w:pPr>
              <w:jc w:val="center"/>
            </w:pPr>
            <w:r>
              <w:rPr>
                <w:color w:val="000000"/>
                <w:sz w:val="24"/>
              </w:rPr>
              <w:t>0.07%</w:t>
            </w:r>
          </w:p>
        </w:tc>
        <w:tc>
          <w:tcPr>
            <w:vAlign w:val="center"/>
          </w:tcPr>
          <w:p>
            <w:pPr>
              <w:jc w:val="center"/>
            </w:pPr>
            <w:r>
              <w:rPr>
                <w:color w:val="000000"/>
                <w:sz w:val="24"/>
              </w:rPr>
              <w:t>5.00%</w:t>
            </w:r>
          </w:p>
        </w:tc>
        <w:tc>
          <w:tcPr>
            <w:vAlign w:val="center"/>
          </w:tcPr>
          <w:p>
            <w:pPr>
              <w:jc w:val="center"/>
            </w:pPr>
            <w:r>
              <w:rPr>
                <w:color w:val="000000"/>
                <w:sz w:val="24"/>
              </w:rPr>
              <w:t>0.06%</w:t>
            </w:r>
          </w:p>
        </w:tc>
        <w:tc>
          <w:tcPr>
            <w:vAlign w:val="center"/>
          </w:tcPr>
          <w:p>
            <w:pPr>
              <w:jc w:val="center"/>
            </w:pPr>
            <w:r>
              <w:rPr>
                <w:color w:val="000000"/>
                <w:sz w:val="24"/>
              </w:rPr>
              <w:t>6.43%</w:t>
            </w:r>
          </w:p>
        </w:tc>
        <w:tc>
          <w:tcPr>
            <w:vAlign w:val="center"/>
          </w:tcPr>
          <w:p>
            <w:pPr>
              <w:jc w:val="center"/>
            </w:pPr>
            <w:r>
              <w:rPr>
                <w:color w:val="000000"/>
                <w:sz w:val="24"/>
              </w:rPr>
              <w:t>0.01%</w:t>
            </w:r>
          </w:p>
        </w:tc>
      </w:tr>
      <w:tr>
        <w:tc>
          <w:tcPr>
            <w:vAlign w:val="center"/>
          </w:tcPr>
          <w:p>
            <w:pPr>
              <w:jc w:val="left"/>
            </w:pPr>
            <w:r>
              <w:rPr>
                <w:color w:val="000000"/>
                <w:sz w:val="24"/>
              </w:rPr>
              <w:t>自基金合同生效起至今</w:t>
            </w:r>
          </w:p>
        </w:tc>
        <w:tc>
          <w:tcPr>
            <w:vAlign w:val="center"/>
          </w:tcPr>
          <w:p>
            <w:pPr>
              <w:jc w:val="center"/>
            </w:pPr>
            <w:r>
              <w:rPr>
                <w:color w:val="000000"/>
                <w:sz w:val="24"/>
              </w:rPr>
              <w:t>12.79%</w:t>
            </w:r>
          </w:p>
        </w:tc>
        <w:tc>
          <w:tcPr>
            <w:vAlign w:val="center"/>
          </w:tcPr>
          <w:p>
            <w:pPr>
              <w:jc w:val="center"/>
            </w:pPr>
            <w:r>
              <w:rPr>
                <w:color w:val="000000"/>
                <w:sz w:val="24"/>
              </w:rPr>
              <w:t>0.07%</w:t>
            </w:r>
          </w:p>
        </w:tc>
        <w:tc>
          <w:tcPr>
            <w:vAlign w:val="center"/>
          </w:tcPr>
          <w:p>
            <w:pPr>
              <w:jc w:val="center"/>
            </w:pPr>
            <w:r>
              <w:rPr>
                <w:color w:val="000000"/>
                <w:sz w:val="24"/>
              </w:rPr>
              <w:t>7.07%</w:t>
            </w:r>
          </w:p>
        </w:tc>
        <w:tc>
          <w:tcPr>
            <w:vAlign w:val="center"/>
          </w:tcPr>
          <w:p>
            <w:pPr>
              <w:jc w:val="center"/>
            </w:pPr>
            <w:r>
              <w:rPr>
                <w:color w:val="000000"/>
                <w:sz w:val="24"/>
              </w:rPr>
              <w:t>0.05%</w:t>
            </w:r>
          </w:p>
        </w:tc>
        <w:tc>
          <w:tcPr>
            <w:vAlign w:val="center"/>
          </w:tcPr>
          <w:p>
            <w:pPr>
              <w:jc w:val="center"/>
            </w:pPr>
            <w:r>
              <w:rPr>
                <w:color w:val="000000"/>
                <w:sz w:val="24"/>
              </w:rPr>
              <w:t>5.72%</w:t>
            </w:r>
          </w:p>
        </w:tc>
        <w:tc>
          <w:tcPr>
            <w:vAlign w:val="center"/>
          </w:tcPr>
          <w:p>
            <w:pPr>
              <w:jc w:val="center"/>
            </w:pPr>
            <w:r>
              <w:rPr>
                <w:color w:val="000000"/>
                <w:sz w:val="24"/>
              </w:rPr>
              <w:t>0.02%</w:t>
            </w:r>
          </w:p>
        </w:tc>
      </w:tr>
    </w:tbl>
    <w:p w:rsidP="007C14DF" w:rsidR="00E73221" w:rsidRDefault="00E73221" w:rsidRPr="007F52FA">
      <w:pPr>
        <w:autoSpaceDE w:val="0"/>
        <w:autoSpaceDN w:val="0"/>
        <w:adjustRightInd w:val="0"/>
        <w:spacing w:before="29" w:line="288" w:lineRule="auto"/>
        <w:jc w:val="left"/>
        <w:rPr>
          <w:color w:val="000000"/>
          <w:sz w:val="24"/>
        </w:rPr>
      </w:pPr>
      <w:r w:rsidRPr="007F52FA">
        <w:rPr>
          <w:color w:val="000000"/>
          <w:sz w:val="24"/>
        </w:rPr>
        <w:t/>
      </w:r>
      <w:r w:rsidR="004D614E" w:rsidRPr="007F52FA">
        <w:rPr>
          <w:color w:val="000000"/>
          <w:sz w:val="24"/>
        </w:rPr>
        <w:t/>
      </w:r>
      <w:r w:rsidR="00FE7FBD" w:rsidRPr="007F52FA">
        <w:rPr>
          <w:color w:val="000000"/>
          <w:sz w:val="24"/>
        </w:rPr>
        <w:t>注：本基金自2019年3月5日起转为开放式运作，本基金的业绩比较基准由“两年期银行定期存款税后收益率+1.25%”变更为“中债综合全价指数收益率”，3.2.2同。</w:t>
      </w:r>
    </w:p>
    <w:p w:rsidP="007C14DF" w:rsidR="009238DB" w:rsidRDefault="009238DB" w:rsidRPr="007F52FA">
      <w:pPr>
        <w:autoSpaceDE w:val="0"/>
        <w:autoSpaceDN w:val="0"/>
        <w:adjustRightInd w:val="0"/>
        <w:spacing w:before="29" w:line="288" w:lineRule="auto"/>
        <w:ind w:left="15"/>
        <w:jc w:val="left"/>
        <w:rPr>
          <w:rFonts w:eastAsiaTheme="minorEastAsia"/>
          <w:b/>
          <w:color w:val="000000"/>
          <w:kern w:val="0"/>
          <w:sz w:val="24"/>
        </w:rPr>
      </w:pPr>
    </w:p>
    <w:p w:rsidP="007C14DF" w:rsidR="009238DB" w:rsidRDefault="009238DB" w:rsidRPr="007F52FA">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P="007C14DF" w:rsidR="009A045B" w:rsidRDefault="009A045B" w:rsidRPr="007F52FA">
      <w:pPr>
        <w:spacing w:before="29" w:line="288" w:lineRule="auto"/>
        <w:jc w:val="center"/>
        <w:rPr>
          <w:color w:val="000000"/>
          <w:sz w:val="24"/>
        </w:rPr>
      </w:pPr>
      <w:r w:rsidRPr="007F52FA">
        <w:rPr>
          <w:rFonts w:eastAsiaTheme="minorEastAsia"/>
          <w:color w:val="000000"/>
          <w:sz w:val="24"/>
        </w:rPr>
        <w:t/>
      </w:r>
      <w:r w:rsidRPr="007F52FA">
        <w:rPr>
          <w:color w:val="000000"/>
          <w:sz w:val="24"/>
        </w:rPr>
        <w:t>交银施罗德境尚收益债券型证券投资基金</w:t>
      </w:r>
    </w:p>
    <w:p w:rsidP="007C14DF" w:rsidR="00022396" w:rsidRDefault="0001164A" w:rsidRPr="007F52FA">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P="007C14DF" w:rsidR="009A045B" w:rsidRDefault="00CC1636" w:rsidRPr="007F52FA">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2017年3月3日</w:t>
      </w:r>
      <w:r w:rsidR="009A045B" w:rsidRPr="007F52FA">
        <w:rPr>
          <w:rFonts w:ascii="Times New Roman" w:hAnsi="Times New Roman"/>
          <w:sz w:val="24"/>
          <w:szCs w:val="24"/>
        </w:rPr>
        <w:t>至</w:t>
      </w:r>
      <w:r w:rsidRPr="007F52FA">
        <w:rPr>
          <w:rFonts w:ascii="Times New Roman" w:hAnsi="Times New Roman"/>
          <w:sz w:val="24"/>
          <w:szCs w:val="24"/>
        </w:rPr>
        <w:t>2020年9月30日</w:t>
      </w:r>
      <w:r w:rsidRPr="007F52FA">
        <w:rPr>
          <w:rFonts w:ascii="Times New Roman" w:hAnsi="Times New Roman"/>
          <w:sz w:val="24"/>
          <w:szCs w:val="24"/>
        </w:rPr>
        <w:t>）</w:t>
      </w:r>
    </w:p>
    <w:p w:rsidP="007C14DF" w:rsidR="009238DB" w:rsidRDefault="009238DB" w:rsidRPr="007F52FA">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交银境尚收益债券A</w:t>
      </w:r>
    </w:p>
    <w:p w:rsidP="007C14DF" w:rsidR="00807B81"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B="0" distL="0" distR="0" distT="0">
            <wp:extent cx="5731510" cy="3356610"/>
            <wp:effectExtent b="0" l="19050" r="2540" t="0"/>
            <wp:docPr descr="走势图1.jpg"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7C14DF" w:rsidR="009238DB"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注：本基金建仓期为自基金合同生效日起的6个月。截至建仓期结束，本基金各项资产配置比例符合基金合同及招募说明书有关投资比例的约定。</w:t>
      </w:r>
    </w:p>
    <w:p w:rsidP="007C14DF" w:rsidR="0042785F" w:rsidRDefault="0042785F" w:rsidRPr="007F52FA">
      <w:pPr>
        <w:pStyle w:val="20"/>
        <w:spacing w:before="29" w:line="288" w:lineRule="auto"/>
        <w:ind w:firstLine="0" w:firstLineChars="0"/>
        <w:rPr>
          <w:rFonts w:ascii="Times New Roman" w:hAnsi="Times New Roman"/>
          <w:color w:val="000000"/>
        </w:rPr>
      </w:pPr>
    </w:p>
    <w:p w:rsidP="007C14DF" w:rsidR="009238DB" w:rsidRDefault="009238DB" w:rsidRPr="007F52FA">
      <w:pPr>
        <w:snapToGrid w:val="0"/>
        <w:spacing w:before="29" w:line="288" w:lineRule="auto"/>
        <w:rPr>
          <w:color w:val="000000"/>
          <w:sz w:val="24"/>
        </w:rPr>
      </w:pPr>
      <w:r w:rsidRPr="007F52FA">
        <w:rPr>
          <w:color w:val="000000"/>
          <w:sz w:val="24"/>
        </w:rPr>
        <w:t>2</w:t>
      </w:r>
      <w:r w:rsidRPr="007F52FA">
        <w:rPr>
          <w:color w:val="000000"/>
          <w:sz w:val="24"/>
        </w:rPr>
        <w:t>．</w:t>
      </w:r>
      <w:r w:rsidR="0042785F" w:rsidRPr="007F52FA">
        <w:rPr>
          <w:color w:val="000000"/>
          <w:sz w:val="24"/>
        </w:rPr>
        <w:t/>
      </w:r>
      <w:r w:rsidR="004D614E" w:rsidRPr="007F52FA">
        <w:rPr>
          <w:color w:val="000000"/>
          <w:sz w:val="24"/>
        </w:rPr>
        <w:t/>
      </w:r>
      <w:r w:rsidR="00FE7FBD" w:rsidRPr="007F52FA">
        <w:rPr>
          <w:color w:val="000000"/>
          <w:sz w:val="24"/>
        </w:rPr>
        <w:t>交银境尚收益债券C</w:t>
      </w:r>
    </w:p>
    <w:p w:rsidP="007C14DF" w:rsidR="00D12D04"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B="0" distL="0" distR="0" distT="0">
            <wp:extent cx="5731510" cy="3356610"/>
            <wp:effectExtent b="0" l="19050" r="2540" t="0"/>
            <wp:docPr descr="走势图2.jpg"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cstate="print" r:embed="rId15"/>
                    <a:stretch>
                      <a:fillRect/>
                    </a:stretch>
                  </pic:blipFill>
                  <pic:spPr>
                    <a:xfrm>
                      <a:off x="0" y="0"/>
                      <a:ext cx="5731510" cy="3356610"/>
                    </a:xfrm>
                    <a:prstGeom prst="rect">
                      <a:avLst/>
                    </a:prstGeom>
                  </pic:spPr>
                </pic:pic>
              </a:graphicData>
            </a:graphic>
          </wp:inline>
        </w:drawing>
      </w:r>
    </w:p>
    <w:p w:rsidP="007C14DF" w:rsidR="0042785F"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注：本基金建仓期为自基金合同生效日起的6个月。截至建仓期结束，本基金各项资产配置比例符合基金合同及招募说明书有关投资比例的约定。</w:t>
      </w:r>
    </w:p>
    <w:p w:rsidP="007C14DF" w:rsidR="00757FD7" w:rsidRDefault="00757FD7" w:rsidRPr="007F52FA">
      <w:pPr>
        <w:spacing w:before="29" w:line="288" w:lineRule="auto"/>
        <w:ind w:firstLine="480" w:firstLineChars="200"/>
        <w:rPr>
          <w:color w:val="000000"/>
          <w:sz w:val="24"/>
        </w:rPr>
      </w:pPr>
      <w:r w:rsidRPr="007F52FA">
        <w:rPr>
          <w:color w:val="000000"/>
          <w:sz w:val="24"/>
        </w:rPr>
        <w:t/>
      </w:r>
      <w:r w:rsidR="00FE7FBD" w:rsidRPr="007F52FA">
        <w:rPr>
          <w:color w:val="000000"/>
          <w:sz w:val="24"/>
        </w:rPr>
        <w:t/>
      </w:r>
      <w:r w:rsidRPr="007F52FA">
        <w:rPr>
          <w:color w:val="000000"/>
          <w:sz w:val="24"/>
        </w:rPr>
        <w:t/>
      </w:r>
    </w:p>
    <w:p w:rsidP="007C14DF" w:rsidR="00973B57" w:rsidRDefault="00973B57" w:rsidRPr="007F52FA">
      <w:pPr>
        <w:pStyle w:val="20"/>
        <w:spacing w:before="29" w:line="288" w:lineRule="auto"/>
        <w:ind w:firstLine="0" w:firstLineChars="0"/>
        <w:jc w:val="left"/>
        <w:rPr>
          <w:rFonts w:ascii="Times New Roman" w:eastAsiaTheme="minorEastAsia" w:hAnsi="Times New Roman"/>
          <w:color w:val="000000"/>
        </w:rPr>
      </w:pPr>
    </w:p>
    <w:p w:rsidP="007C14DF" w:rsidR="006C5BC9" w:rsidRDefault="006C5BC9" w:rsidRPr="007F52FA">
      <w:pPr>
        <w:tabs>
          <w:tab w:pos="1800" w:val="left"/>
        </w:tabs>
        <w:spacing w:before="29" w:line="288" w:lineRule="auto"/>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57"/>
          <w:bottom w:type="dxa" w:w="57"/>
        </w:tblCellMar>
        <w:tblLook w:firstColumn="1" w:firstRow="1" w:lastColumn="0" w:lastRow="0" w:noHBand="0" w:noVBand="1" w:val="04A0"/>
      </w:tblPr>
      <w:tblGrid>
        <w:gridCol w:w="946"/>
        <w:gridCol w:w="924"/>
        <w:gridCol w:w="1202"/>
        <w:gridCol w:w="1300"/>
        <w:gridCol w:w="1245"/>
        <w:gridCol w:w="3251"/>
      </w:tblGrid>
      <w:tr w:rsidR="00C41617" w:rsidRPr="007F52FA" w:rsidTr="00370FE2">
        <w:trPr>
          <w:jc w:val="center"/>
        </w:trPr>
        <w:tc>
          <w:tcPr>
            <w:tcW w:type="dxa" w:w="952"/>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type="dxa" w:w="930"/>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type="dxa" w:w="2519"/>
            <w:gridSpan w:val="2"/>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w:t>
            </w:r>
            <w:r w:rsidRPr="007F52FA">
              <w:rPr>
                <w:color w:val="000000"/>
                <w:kern w:val="0"/>
                <w:sz w:val="24"/>
              </w:rPr>
              <w:lastRenderedPageBreak/>
              <w:t>期限</w:t>
            </w:r>
          </w:p>
        </w:tc>
        <w:tc>
          <w:tcPr>
            <w:tcW w:type="dxa" w:w="1254"/>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证券从业</w:t>
            </w:r>
            <w:r w:rsidRPr="007F52FA">
              <w:rPr>
                <w:color w:val="000000"/>
                <w:kern w:val="0"/>
                <w:sz w:val="24"/>
              </w:rPr>
              <w:lastRenderedPageBreak/>
              <w:t>年限</w:t>
            </w:r>
          </w:p>
        </w:tc>
        <w:tc>
          <w:tcPr>
            <w:tcW w:type="dxa" w:w="3276"/>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说明</w:t>
            </w:r>
          </w:p>
        </w:tc>
      </w:tr>
      <w:tr w:rsidR="00C41617" w:rsidRPr="007F52FA" w:rsidTr="00370FE2">
        <w:trPr>
          <w:jc w:val="center"/>
        </w:trPr>
        <w:tc>
          <w:tcPr>
            <w:tcW w:type="dxa" w:w="952"/>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930"/>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1210"/>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type="dxa" w:w="1309"/>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type="dxa" w:w="1254"/>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3276"/>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r>
      <w:tr>
        <w:tc>
          <w:tcPr>
            <w:vAlign w:val="center"/>
          </w:tcPr>
          <w:p>
            <w:pPr>
              <w:jc w:val="center"/>
            </w:pPr>
            <w:r>
              <w:rPr>
                <w:color w:val="000000"/>
                <w:sz w:val="24"/>
              </w:rPr>
              <w:t>黄莹洁</w:t>
            </w:r>
          </w:p>
        </w:tc>
        <w:tc>
          <w:tcPr>
            <w:vAlign w:val="center"/>
          </w:tcPr>
          <w:p>
            <w:pPr>
              <w:jc w:val="center"/>
            </w:pPr>
            <w:r>
              <w:rPr>
                <w:color w:val="000000"/>
                <w:sz w:val="24"/>
              </w:rPr>
              <w:t>交银丰享收益债券、交银活期通货币、交银天利宝货币、交银裕隆纯债债券、交银天益宝货币、交银境尚收益债券、交银稳鑫短债债券、交银稳利中短债债券、交银中高等级信用债债券的基金经理</w:t>
            </w:r>
          </w:p>
        </w:tc>
        <w:tc>
          <w:tcPr>
            <w:vAlign w:val="center"/>
          </w:tcPr>
          <w:p>
            <w:pPr>
              <w:jc w:val="center"/>
            </w:pPr>
            <w:r>
              <w:rPr>
                <w:color w:val="000000"/>
                <w:sz w:val="24"/>
              </w:rPr>
              <w:t>2017-03-03</w:t>
            </w:r>
          </w:p>
        </w:tc>
        <w:tc>
          <w:tcPr>
            <w:vAlign w:val="center"/>
          </w:tcPr>
          <w:p>
            <w:pPr>
              <w:jc w:val="center"/>
            </w:pPr>
            <w:r>
              <w:rPr>
                <w:color w:val="000000"/>
                <w:sz w:val="24"/>
              </w:rPr>
              <w:t>-</w:t>
            </w:r>
          </w:p>
        </w:tc>
        <w:tc>
          <w:tcPr>
            <w:vAlign w:val="center"/>
          </w:tcPr>
          <w:p>
            <w:pPr>
              <w:jc w:val="center"/>
            </w:pPr>
            <w:r>
              <w:rPr>
                <w:color w:val="000000"/>
                <w:sz w:val="24"/>
              </w:rPr>
              <w:t>12年</w:t>
            </w:r>
          </w:p>
        </w:tc>
        <w:tc>
          <w:tcPr>
            <w:vAlign w:val="center"/>
          </w:tcPr>
          <w:p>
            <w:pPr>
              <w:jc w:val="both"/>
            </w:pPr>
            <w:r>
              <w:rPr>
                <w:color w:val="000000"/>
                <w:sz w:val="24"/>
              </w:rPr>
              <w:t>黄莹洁女士，香港大学工商管理硕士、北京大学经济学、管理学双学士。历任中海基金管理有限公司交易员。2012年加入交银施罗德基金管理有限公司，历任中央交易室交易员。2015年7月25日至2018年3月18日担任交银施罗德丰泽收益债券型证券投资基金的基金经理。2015年5月27日至2019年8月2日担任交银施罗德货币市场证券投资基金、交银施罗德现金宝货币市场基金的基金经理。2016年12月7日至2019年8月2日担任交银施罗德天鑫宝货币市场基金的基金经理。2015年12月29日至2019年10月23日担任交银施罗德裕通纯债债券型证券投资基金的基金经理。2015年5月27日至2020年7月27日担任转型前的交银施罗德理财21天债券型证券投资基金的基金经理。</w:t>
            </w:r>
          </w:p>
        </w:tc>
      </w:tr>
    </w:tbl>
    <w:p w:rsidP="007C14DF" w:rsidR="009238DB" w:rsidRDefault="00062E1F" w:rsidRPr="007F52FA">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P="007C14DF" w:rsidR="005C7D00" w:rsidRDefault="005C7D00" w:rsidRPr="007F52FA">
      <w:pPr>
        <w:pStyle w:val="20"/>
        <w:spacing w:before="29" w:line="288" w:lineRule="auto"/>
        <w:ind w:firstLine="0" w:firstLineChars="0"/>
        <w:rPr>
          <w:rFonts w:ascii="Times New Roman" w:eastAsiaTheme="minorEastAsia" w:hAnsi="Times New Roman"/>
          <w:color w:val="auto"/>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P="007C14DF" w:rsidR="009238DB" w:rsidRDefault="00323F25" w:rsidRPr="007F52FA">
      <w:pPr>
        <w:spacing w:before="29" w:line="288" w:lineRule="auto"/>
        <w:ind w:firstLine="480" w:firstLineChars="20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P="007C14DF" w:rsidR="00D15733" w:rsidRDefault="00D15733" w:rsidRPr="007F52FA">
      <w:pPr>
        <w:spacing w:before="29" w:line="288" w:lineRule="auto"/>
        <w:rPr>
          <w:sz w:val="24"/>
        </w:rPr>
      </w:pPr>
      <w:smartTag w:element="chsdate" w:uri="urn:schemas-microsoft-com:office:smarttags">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pPr>
        <w:spacing w:before="29" w:line="288" w:lineRule="auto"/>
        <w:ind w:firstLine="480" w:firstLineChars="20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7C14DF" w:rsidR="00D15733" w:rsidRDefault="00323F25" w:rsidRPr="007F52FA">
      <w:pPr>
        <w:spacing w:before="29" w:line="288" w:lineRule="auto"/>
        <w:ind w:firstLine="480" w:firstLineChars="200"/>
        <w:rPr>
          <w:color w:val="000000"/>
          <w:sz w:val="24"/>
        </w:rPr>
      </w:pPr>
      <w:r w:rsidRPr="007F52FA">
        <w:rPr>
          <w:color w:val="000000"/>
          <w:sz w:val="24"/>
        </w:rPr>
        <w:t>报告期内本公司严格执行公平交易制度，公平对待旗下各投资组合，未发现任何违反公平交易的行为。</w:t>
      </w:r>
    </w:p>
    <w:p w:rsidP="007C14DF" w:rsidR="00D15733" w:rsidRDefault="00D15733" w:rsidRPr="007F52FA">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P="007C14DF" w:rsidR="00D15733" w:rsidRDefault="00323F25" w:rsidRPr="007F52FA">
      <w:pPr>
        <w:spacing w:before="29" w:line="288" w:lineRule="auto"/>
        <w:ind w:firstLine="480" w:firstLineChars="20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pPr>
        <w:spacing w:before="29" w:line="288" w:lineRule="auto"/>
        <w:ind w:firstLine="480" w:firstLineChars="200"/>
        <w:rPr>
          <w:color w:val="000000"/>
          <w:sz w:val="24"/>
        </w:rPr>
      </w:pPr>
      <w:r>
        <w:rPr>
          <w:color w:val="000000"/>
          <w:sz w:val="24"/>
        </w:rPr>
        <w:t>本报告期内，债券市场主要受到经济复苏预期、货币政策回归常态、债券供给增加的影响，债券收益率整体呈现震荡上行的趋势。十年国债收益率在九月初最高上行直至3.15%附近。九月中旬之后股市风险偏好回落叠加市场预期境外机构加大债市配置，收益率出现小幅下行。</w:t>
      </w:r>
    </w:p>
    <w:p>
      <w:pPr>
        <w:spacing w:before="29" w:line="288" w:lineRule="auto"/>
        <w:ind w:firstLine="480" w:firstLineChars="200"/>
        <w:rPr>
          <w:color w:val="000000"/>
          <w:sz w:val="24"/>
        </w:rPr>
      </w:pPr>
      <w:r>
        <w:rPr>
          <w:color w:val="000000"/>
          <w:sz w:val="24"/>
        </w:rPr>
        <w:t>货币政策方面，虽然央行在八月中下旬开展7000亿MLF，略超市场预期，但在超储率低位、利率债放量发行和缴税、跨季等因素影响下，资金面持续维持平衡偏紧格局直至九月末，同业存单发行利率不断上行，三个月股份制银行的同业存单利率继续上行到2.65%附近，较二季度末有50bp幅度的上行。收益率曲线进一步熊平化。</w:t>
      </w:r>
    </w:p>
    <w:p>
      <w:pPr>
        <w:spacing w:before="29" w:line="288" w:lineRule="auto"/>
        <w:ind w:firstLine="480" w:firstLineChars="200"/>
        <w:rPr>
          <w:color w:val="000000"/>
          <w:sz w:val="24"/>
        </w:rPr>
      </w:pPr>
      <w:r>
        <w:rPr>
          <w:color w:val="000000"/>
          <w:sz w:val="24"/>
        </w:rPr>
        <w:t>基金操作方面，本基金以高等级中短久期信用债策略为主，以1-3年高等级信用债为底仓，同时择机配置了部分中短端利率债，维持一个中性偏防守的久期水平。同时适度运用杠杆操作增厚组合收益。</w:t>
      </w:r>
    </w:p>
    <w:p>
      <w:pPr>
        <w:spacing w:before="29" w:line="288" w:lineRule="auto"/>
        <w:ind w:firstLine="480" w:firstLineChars="200"/>
        <w:rPr>
          <w:color w:val="000000"/>
          <w:sz w:val="24"/>
        </w:rPr>
      </w:pPr>
      <w:r>
        <w:rPr>
          <w:color w:val="000000"/>
          <w:sz w:val="24"/>
        </w:rPr>
        <w:t>展望2020年四季度，国内基本面恢复的节奏和货币信用的边际变化将成为影响债市的主要因素。短期来看经济延续改善趋势、央行态度回归中性以及银行负债端压力较大，都不支持债市出现趋势性行情，预计市场会以弱势震荡为主。但随着年末供给压力减弱、信用增速放缓以及中美关系不确定性提升，债券市场或存在波段交易机会。资金面方面，疫情之后随着经济逐步恢复，货币政策也逐步退出总量性宽松模式，整体强调“精准导向”，短期内预计政策难以再度大幅宽松，但在降低融资成本的目标下，资金利率明显收紧概率不大。目前DR007大致在公开市场政策利率2.2%附近波动，预计进一步大幅上行空间有限，但由于超储率处于低位，银行间分层现象或较为明显，时点性因素将对非银机构的整体流动性造成一定影响。</w:t>
      </w:r>
    </w:p>
    <w:p w:rsidP="007C14DF" w:rsidR="00952A72" w:rsidRDefault="00323F25" w:rsidRPr="007F52FA">
      <w:pPr>
        <w:spacing w:before="29" w:line="288" w:lineRule="auto"/>
        <w:ind w:firstLine="480" w:firstLineChars="200"/>
        <w:rPr>
          <w:color w:val="000000"/>
          <w:sz w:val="24"/>
        </w:rPr>
      </w:pPr>
      <w:r w:rsidRPr="007F52FA">
        <w:rPr>
          <w:color w:val="000000"/>
          <w:sz w:val="24"/>
        </w:rPr>
        <w:t>组合操作方面，我们将根据对宏观经济、货币政策的判断，适时调整组合久期，采取票息策略为主的思路。在严控信用风险的基础上，对各类债券品种精耕细作，加强收益挖掘。同时，尽管资金利率明显回升，但随着债券收益率的回升，短端资金和资产收益利差空间仍然较为显著，我们会辅以合理杠杆水平来增厚组合收益。</w:t>
      </w:r>
    </w:p>
    <w:p w:rsidP="007C14DF" w:rsidR="00EC41BC" w:rsidRDefault="00EC41BC" w:rsidRPr="007F52FA">
      <w:pPr>
        <w:spacing w:before="29" w:line="288" w:lineRule="auto"/>
        <w:ind w:firstLine="480" w:firstLineChars="200"/>
        <w:rPr>
          <w:color w:val="00000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P="007C14DF" w:rsidR="00952A72" w:rsidRDefault="00323F25" w:rsidRPr="007F52FA">
      <w:pPr>
        <w:spacing w:before="29" w:line="288" w:lineRule="auto"/>
        <w:ind w:firstLine="480" w:firstLineChars="200"/>
        <w:rPr>
          <w:color w:val="000000"/>
          <w:sz w:val="24"/>
        </w:rPr>
      </w:pPr>
      <w:r w:rsidRPr="007F52FA">
        <w:rPr>
          <w:color w:val="000000"/>
          <w:sz w:val="24"/>
        </w:rPr>
        <w:t>本基金（各类）份额净值及业绩表现请见“3.1主要财务指标” 及“3.2.1 本报告期基金份额净值增长率及其与同期业绩比较基准收益率的比较”部分披露。</w:t>
      </w:r>
    </w:p>
    <w:p w:rsidP="007C14DF" w:rsidR="00400FA6" w:rsidRDefault="00400FA6" w:rsidRPr="007F52FA">
      <w:pPr>
        <w:spacing w:before="29" w:line="288" w:lineRule="auto"/>
        <w:ind w:firstLine="480" w:firstLineChars="200"/>
        <w:rPr>
          <w:color w:val="000000"/>
          <w:sz w:val="24"/>
        </w:rPr>
      </w:pPr>
    </w:p>
    <w:p w:rsidP="00274444" w:rsidR="00274444" w:rsidRDefault="00274444"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274444" w:rsidR="00274444" w:rsidRDefault="00274444">
      <w:pPr>
        <w:spacing w:before="29" w:line="288" w:lineRule="auto"/>
        <w:ind w:firstLine="480" w:firstLineChars="200"/>
        <w:rPr>
          <w:color w:val="000000"/>
          <w:sz w:val="24"/>
        </w:rPr>
      </w:pPr>
      <w:r w:rsidRPr="002070B4">
        <w:rPr>
          <w:color w:val="000000"/>
          <w:sz w:val="24"/>
        </w:rPr>
        <w:t>本基金本报告期内无需预警说明。</w:t>
      </w:r>
    </w:p>
    <w:p w:rsidP="007C14DF" w:rsidR="00400FA6" w:rsidRDefault="00400FA6" w:rsidRPr="007F52FA">
      <w:pPr>
        <w:spacing w:before="29" w:line="288" w:lineRule="auto"/>
        <w:ind w:firstLine="480" w:firstLineChars="200"/>
        <w:rPr>
          <w:color w:val="000000"/>
          <w:sz w:val="24"/>
        </w:rPr>
      </w:pPr>
    </w:p>
    <w:p w:rsidP="000A2988" w:rsidR="009238DB" w:rsidRDefault="009238DB" w:rsidRPr="007C6127">
      <w:pPr>
        <w:pStyle w:val="1"/>
        <w:spacing w:after="312" w:afterLines="100" w:before="312" w:beforeLines="100" w:line="288" w:lineRule="auto"/>
        <w:jc w:val="center"/>
        <w:rPr>
          <w:rFonts w:eastAsiaTheme="minorEastAsia"/>
          <w:color w:val="000000"/>
          <w:kern w:val="0"/>
          <w:sz w:val="24"/>
          <w:szCs w:val="24"/>
        </w:rPr>
      </w:pPr>
      <w:r w:rsidRPr="007C6127">
        <w:rPr>
          <w:rFonts w:eastAsiaTheme="minorEastAsia"/>
          <w:color w:val="000000"/>
          <w:kern w:val="0"/>
          <w:sz w:val="24"/>
          <w:szCs w:val="24"/>
        </w:rPr>
        <w:lastRenderedPageBreak/>
        <w:t xml:space="preserve">§5  </w:t>
      </w:r>
      <w:r w:rsidRPr="007C6127">
        <w:rPr>
          <w:rFonts w:eastAsiaTheme="minorEastAsia"/>
          <w:color w:val="000000"/>
          <w:kern w:val="0"/>
          <w:sz w:val="24"/>
          <w:szCs w:val="24"/>
        </w:rPr>
        <w:t>投资组合报告</w:t>
      </w:r>
    </w:p>
    <w:p w:rsidP="00C51B4E" w:rsidR="00C51B4E" w:rsidRDefault="00C51B4E">
      <w:pPr>
        <w:autoSpaceDE w:val="0"/>
        <w:autoSpaceDN w:val="0"/>
        <w:adjustRightInd w:val="0"/>
        <w:spacing w:line="360" w:lineRule="auto"/>
        <w:jc w:val="left"/>
        <w:rPr>
          <w:rFonts w:eastAsiaTheme="minorEastAsia"/>
          <w:b/>
          <w:color w:themeColor="text1" w:val="000000"/>
          <w:kern w:val="0"/>
          <w:sz w:val="24"/>
        </w:rPr>
      </w:pPr>
      <w:r w:rsidRPr="0028293E">
        <w:rPr>
          <w:rFonts w:eastAsiaTheme="minorEastAsia"/>
          <w:b/>
          <w:color w:themeColor="text1" w:val="000000"/>
          <w:kern w:val="0"/>
          <w:sz w:val="24"/>
        </w:rPr>
        <w:t xml:space="preserve">5.1 </w:t>
      </w:r>
      <w:r w:rsidRPr="0028293E">
        <w:rPr>
          <w:rFonts w:eastAsiaTheme="minorEastAsia"/>
          <w:b/>
          <w:color w:themeColor="text1" w:val="000000"/>
          <w:kern w:val="0"/>
          <w:sz w:val="24"/>
        </w:rPr>
        <w:t>报告期末基金资产组合情况</w:t>
      </w:r>
    </w:p>
    <w:p w:rsidP="001A5E45" w:rsidR="00610880" w:rsidRDefault="001A5E45" w:rsidRPr="0028293E">
      <w:pPr>
        <w:autoSpaceDE w:val="0"/>
        <w:autoSpaceDN w:val="0"/>
        <w:adjustRightInd w:val="0"/>
        <w:spacing w:line="360" w:lineRule="auto"/>
        <w:jc w:val="right"/>
        <w:rPr>
          <w:rFonts w:eastAsiaTheme="minorEastAsia"/>
          <w:b/>
          <w:color w:themeColor="text1" w:val="000000"/>
          <w:kern w:val="0"/>
          <w:sz w:val="24"/>
        </w:rPr>
      </w:pPr>
      <w:r w:rsidRPr="001A5E45">
        <w:rPr>
          <w:rFonts w:hint="eastAsia"/>
          <w:color w:val="000000"/>
          <w:kern w:val="0"/>
        </w:rPr>
        <w:t/>
      </w:r>
      <w:r w:rsidRPr="001A5E45">
        <w:rPr>
          <w:rFonts w:hint="eastAsia"/>
          <w:color w:val="000000"/>
          <w:kern w:val="0"/>
        </w:rPr>
        <w:t>金额单位：人民币元</w:t>
      </w:r>
    </w:p>
    <w:tbl>
      <w:tblPr>
        <w:tblStyle w:val="af2"/>
        <w:tblW w:type="dxa" w:w="8897"/>
        <w:tblInd w:type="dxa" w:w="108"/>
        <w:tblLayout w:type="fixed"/>
        <w:tblLook w:firstColumn="1" w:firstRow="1" w:lastColumn="0" w:lastRow="0" w:noHBand="0" w:noVBand="1" w:val="04A0"/>
      </w:tblPr>
      <w:tblGrid>
        <w:gridCol w:w="720"/>
        <w:gridCol w:w="2824"/>
        <w:gridCol w:w="2552"/>
        <w:gridCol w:w="2801"/>
      </w:tblGrid>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序号</w:t>
            </w:r>
          </w:p>
        </w:tc>
        <w:tc>
          <w:tcPr>
            <w:tcW w:type="dxa" w:w="2824"/>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项目</w:t>
            </w:r>
          </w:p>
        </w:tc>
        <w:tc>
          <w:tcPr>
            <w:tcW w:type="dxa" w:w="2552"/>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金额</w:t>
            </w:r>
          </w:p>
        </w:tc>
        <w:tc>
          <w:tcPr>
            <w:tcW w:type="dxa" w:w="2801"/>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占基金总资产的比例</w:t>
            </w:r>
            <w:r w:rsidR="005D2D89">
              <w:rPr>
                <w:rFonts w:eastAsiaTheme="minorEastAsia" w:hint="eastAsia"/>
                <w:color w:themeColor="text1" w:val="000000"/>
                <w:sz w:val="24"/>
              </w:rPr>
              <w:t>（</w:t>
            </w:r>
            <w:r w:rsidR="005D2D89">
              <w:rPr>
                <w:rFonts w:eastAsiaTheme="minorEastAsia" w:hint="eastAsia"/>
                <w:color w:themeColor="text1" w:val="000000"/>
                <w:sz w:val="24"/>
              </w:rPr>
              <w:t>%</w:t>
            </w:r>
            <w:r w:rsidR="005D2D89">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1</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权益投资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其中：股票</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2</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ascii="宋体" w:hAnsi="宋体" w:hint="eastAsia"/>
                <w:sz w:val="24"/>
              </w:rPr>
              <w:t>基金投资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3</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固定收益投资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4,012,279,000.00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98.70</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其中：债券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4,012,279,000.00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98.70</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8293E" w:rsidR="00C51B4E" w:rsidRDefault="00C51B4E" w:rsidRPr="0028293E">
            <w:pPr>
              <w:autoSpaceDE w:val="0"/>
              <w:autoSpaceDN w:val="0"/>
              <w:adjustRightInd w:val="0"/>
              <w:spacing w:before="29" w:line="360" w:lineRule="auto"/>
              <w:ind w:firstLine="720" w:firstLineChars="300" w:left="17"/>
              <w:jc w:val="left"/>
              <w:rPr>
                <w:rFonts w:eastAsiaTheme="minorEastAsia"/>
                <w:color w:themeColor="text1" w:val="000000"/>
                <w:sz w:val="24"/>
              </w:rPr>
            </w:pPr>
            <w:r w:rsidRPr="0028293E">
              <w:rPr>
                <w:rFonts w:eastAsiaTheme="minorEastAsia"/>
                <w:color w:themeColor="text1" w:val="000000"/>
                <w:sz w:val="24"/>
              </w:rPr>
              <w:t>资产支持证券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4</w:t>
            </w:r>
          </w:p>
        </w:tc>
        <w:tc>
          <w:tcPr>
            <w:tcW w:type="dxa" w:w="2824"/>
            <w:vAlign w:val="center"/>
          </w:tcPr>
          <w:p w:rsidP="002D2971" w:rsidR="00C51B4E" w:rsidRDefault="00C51B4E" w:rsidRPr="0028293E">
            <w:pPr>
              <w:spacing w:before="29" w:line="360" w:lineRule="auto"/>
              <w:ind w:left="105" w:leftChars="50"/>
              <w:rPr>
                <w:rFonts w:eastAsiaTheme="minorEastAsia"/>
                <w:color w:themeColor="text1" w:val="000000"/>
                <w:sz w:val="24"/>
              </w:rPr>
            </w:pPr>
            <w:r w:rsidRPr="0028293E">
              <w:rPr>
                <w:rFonts w:eastAsiaTheme="minorEastAsia"/>
                <w:color w:themeColor="text1" w:val="000000"/>
                <w:sz w:val="24"/>
              </w:rPr>
              <w:t>贵金属投资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
            </w:r>
            <w:r w:rsidRPr="0028293E">
              <w:rPr>
                <w:rFonts w:eastAsiaTheme="minorEastAsia"/>
                <w:color w:themeColor="text1" w:val="000000"/>
                <w:sz w:val="24"/>
              </w:rPr>
              <w:lastRenderedPageBreak/>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lastRenderedPageBreak/>
              <w:t/>
            </w:r>
            <w:r w:rsidRPr="0028293E">
              <w:rPr>
                <w:rFonts w:eastAsiaTheme="minorEastAsia"/>
                <w:color w:themeColor="text1" w:val="000000"/>
                <w:sz w:val="24"/>
              </w:rPr>
              <w:lastRenderedPageBreak/>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lastRenderedPageBreak/>
              <w:t>5</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金融衍生品投资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6</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其中：买断式回购的买入返售金融资产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7</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银行存款和结算备付金合计</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470,379.56</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0.01</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8</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其他各项资产</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52,552,514.06</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1.29</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9</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合计</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4,065,301,893.62</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100.00</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P="001A5D39" w:rsidR="001A5D39" w:rsidRDefault="001A5D39">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1A5D39" w:rsidR="001A5D39" w:rsidRDefault="001A5D39"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BE251D">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1A5D39" w:rsidR="001A5D39" w:rsidRDefault="001A5D39">
      <w:pPr>
        <w:spacing w:before="29" w:line="360" w:lineRule="auto"/>
        <w:ind w:left="17"/>
        <w:rPr>
          <w:color w:val="000000"/>
          <w:sz w:val="24"/>
        </w:rPr>
      </w:pPr>
      <w:r w:rsidRPr="00FF0BBF">
        <w:rPr>
          <w:color w:val="000000"/>
          <w:sz w:val="24"/>
        </w:rPr>
        <w:t>本基金本报告期末未持有通过港股通投资的股票。</w:t>
      </w:r>
    </w:p>
    <w:p w:rsidP="007C14DF" w:rsidR="009238DB" w:rsidRDefault="009238DB" w:rsidRPr="001A5D39">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p w:rsidP="001A5E45" w:rsidR="008220BF" w:rsidRDefault="001A5E45" w:rsidRPr="008220BF">
      <w:pPr>
        <w:autoSpaceDE w:val="0"/>
        <w:autoSpaceDN w:val="0"/>
        <w:adjustRightInd w:val="0"/>
        <w:spacing w:before="29" w:line="288" w:lineRule="auto"/>
        <w:jc w:val="right"/>
        <w:rPr>
          <w:color w:val="000000"/>
          <w:kern w:val="0"/>
          <w:sz w:val="24"/>
        </w:rPr>
      </w:pPr>
      <w:r w:rsidRPr="001A5E45">
        <w:rPr>
          <w:rFonts w:hint="eastAsia"/>
          <w:color w:val="000000"/>
          <w:kern w:val="0"/>
          <w:sz w:val="24"/>
        </w:rPr>
        <w:t/>
      </w:r>
      <w:r w:rsidRPr="001A5E45">
        <w:rPr>
          <w:rFonts w:hint="eastAsia"/>
          <w:color w:val="000000"/>
          <w:kern w:val="0"/>
          <w:sz w:val="24"/>
        </w:rPr>
        <w:t>金额单位：人民币元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850"/>
        <w:gridCol w:w="3390"/>
        <w:gridCol w:w="2948"/>
        <w:gridCol w:w="1680"/>
      </w:tblGrid>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序号</w:t>
            </w:r>
          </w:p>
        </w:tc>
        <w:tc>
          <w:tcPr>
            <w:tcW w:type="dxa" w:w="3260"/>
            <w:vAlign w:val="center"/>
          </w:tcPr>
          <w:p w:rsidP="007C14DF" w:rsidR="00296E4A" w:rsidRDefault="00296E4A" w:rsidRPr="007F52FA">
            <w:pPr>
              <w:spacing w:before="29" w:line="288" w:lineRule="auto"/>
              <w:ind w:left="17"/>
              <w:jc w:val="center"/>
              <w:rPr>
                <w:color w:val="000000"/>
                <w:sz w:val="24"/>
              </w:rPr>
            </w:pPr>
            <w:r w:rsidRPr="007F52FA">
              <w:rPr>
                <w:color w:val="000000"/>
                <w:sz w:val="24"/>
              </w:rPr>
              <w:t>债券品种</w:t>
            </w:r>
            <w:r w:rsidR="00EB58F5" w:rsidRPr="007F52FA">
              <w:rPr>
                <w:color w:val="000000"/>
                <w:sz w:val="24"/>
              </w:rPr>
              <w:t/>
            </w:r>
          </w:p>
        </w:tc>
        <w:tc>
          <w:tcPr>
            <w:tcW w:type="dxa" w:w="2835"/>
            <w:vAlign w:val="center"/>
          </w:tcPr>
          <w:p w:rsidP="007C14DF" w:rsidR="00296E4A" w:rsidRDefault="00296E4A" w:rsidRPr="007F52FA">
            <w:pPr>
              <w:spacing w:before="29" w:line="288" w:lineRule="auto"/>
              <w:ind w:left="17"/>
              <w:jc w:val="center"/>
              <w:rPr>
                <w:color w:val="000000"/>
                <w:sz w:val="24"/>
              </w:rPr>
            </w:pPr>
            <w:r w:rsidRPr="007F52FA">
              <w:rPr>
                <w:color w:val="000000"/>
                <w:sz w:val="24"/>
              </w:rPr>
              <w:t>公允价值</w:t>
            </w:r>
          </w:p>
        </w:tc>
        <w:tc>
          <w:tcPr>
            <w:tcW w:type="dxa" w:w="1616"/>
            <w:vAlign w:val="center"/>
          </w:tcPr>
          <w:p w:rsidP="007C14DF" w:rsidR="00296E4A" w:rsidRDefault="00296E4A" w:rsidRPr="007F52FA">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1</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国家债券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lastRenderedPageBreak/>
              <w:t/>
            </w:r>
            <w:r w:rsidRPr="007F52FA">
              <w:rPr>
                <w:color w:val="000000"/>
                <w:sz w:val="24"/>
              </w:rPr>
              <w:lastRenderedPageBreak/>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lastRenderedPageBreak/>
              <w:t>2</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央行票据</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3</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金融债券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1,737,514,000.00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43.77</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其中：政策性金融债</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1,527,079,000.00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38.47</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4</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5</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279,702,000.00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7.05</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lastRenderedPageBreak/>
              <w:t>6</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中期票据</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1,555,973,000.00</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39.20</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t>7</w:t>
            </w:r>
          </w:p>
        </w:tc>
        <w:tc>
          <w:tcPr>
            <w:tcW w:type="dxa" w:w="3260"/>
            <w:vAlign w:val="center"/>
          </w:tcPr>
          <w:p w:rsidP="007F50FB" w:rsidR="00686943" w:rsidRDefault="00686943" w:rsidRPr="007F52FA">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type="dxa" w:w="817"/>
            <w:vAlign w:val="center"/>
          </w:tcPr>
          <w:p w:rsidP="007C14DF" w:rsidR="00514118" w:rsidRDefault="00514118" w:rsidRPr="007F52FA">
            <w:pPr>
              <w:spacing w:before="29" w:line="288" w:lineRule="auto"/>
              <w:ind w:left="17"/>
              <w:jc w:val="center"/>
              <w:rPr>
                <w:color w:val="000000"/>
                <w:sz w:val="24"/>
              </w:rPr>
            </w:pPr>
            <w:r>
              <w:rPr>
                <w:rFonts w:hint="eastAsia"/>
                <w:color w:val="000000"/>
                <w:sz w:val="24"/>
              </w:rPr>
              <w:t>8</w:t>
            </w:r>
          </w:p>
        </w:tc>
        <w:tc>
          <w:tcPr>
            <w:tcW w:type="dxa" w:w="3260"/>
            <w:vAlign w:val="center"/>
          </w:tcPr>
          <w:p w:rsidP="007C14DF" w:rsidR="00514118" w:rsidRDefault="00B279B6" w:rsidRPr="007F52FA">
            <w:pPr>
              <w:spacing w:before="29" w:line="288" w:lineRule="auto"/>
              <w:ind w:left="17"/>
              <w:jc w:val="left"/>
              <w:rPr>
                <w:color w:val="000000"/>
                <w:sz w:val="24"/>
              </w:rPr>
            </w:pPr>
            <w:r w:rsidRPr="00AF0CAB">
              <w:rPr>
                <w:rFonts w:hint="eastAsia"/>
                <w:color w:val="000000"/>
                <w:sz w:val="24"/>
              </w:rPr>
              <w:t>同业存单</w:t>
            </w:r>
          </w:p>
        </w:tc>
        <w:tc>
          <w:tcPr>
            <w:tcW w:type="dxa" w:w="2835"/>
            <w:vAlign w:val="center"/>
          </w:tcPr>
          <w:p w:rsidP="007C14DF" w:rsidR="00514118" w:rsidRDefault="001936D7"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439,090,000.00</w:t>
            </w:r>
          </w:p>
        </w:tc>
        <w:tc>
          <w:tcPr>
            <w:tcW w:type="dxa" w:w="1616"/>
            <w:vAlign w:val="center"/>
          </w:tcPr>
          <w:p w:rsidP="007C14DF" w:rsidR="00514118" w:rsidRDefault="00FC6F53"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11.06</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9</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其他</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10</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合计</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4,012,279,000.00</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101.08</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p w:rsidP="001A5E45" w:rsidR="00D21CE9" w:rsidRDefault="001A5E45" w:rsidRPr="00D21CE9">
      <w:pPr>
        <w:autoSpaceDE w:val="0"/>
        <w:autoSpaceDN w:val="0"/>
        <w:adjustRightInd w:val="0"/>
        <w:spacing w:before="29" w:line="288" w:lineRule="auto"/>
        <w:jc w:val="right"/>
        <w:rPr>
          <w:color w:val="000000"/>
          <w:kern w:val="0"/>
          <w:sz w:val="24"/>
        </w:rPr>
      </w:pPr>
      <w:r w:rsidRPr="001A5E45">
        <w:rPr>
          <w:rFonts w:hint="eastAsia"/>
          <w:color w:val="000000"/>
          <w:kern w:val="0"/>
          <w:sz w:val="24"/>
        </w:rPr>
        <w:lastRenderedPageBreak/>
        <w:t/>
      </w:r>
      <w:r w:rsidRPr="001A5E45">
        <w:rPr>
          <w:rFonts w:hint="eastAsia"/>
          <w:color w:val="000000"/>
          <w:kern w:val="0"/>
          <w:sz w:val="24"/>
        </w:rPr>
        <w:t>金额单位：人民币元</w:t>
      </w:r>
    </w:p>
    <w:tbl>
      <w:tblPr>
        <w:tblStyle w:val="af2"/>
        <w:tblW w:type="dxa" w:w="8868"/>
        <w:jc w:val="center"/>
        <w:tblLayout w:type="fixed"/>
        <w:tblCellMar>
          <w:top w:type="dxa" w:w="57"/>
          <w:bottom w:type="dxa" w:w="57"/>
        </w:tblCellMar>
        <w:tblLook w:firstColumn="1" w:firstRow="1" w:lastColumn="0" w:lastRow="0" w:noHBand="0" w:noVBand="1" w:val="04A0"/>
      </w:tblPr>
      <w:tblGrid>
        <w:gridCol w:w="1075"/>
        <w:gridCol w:w="1533"/>
        <w:gridCol w:w="1533"/>
        <w:gridCol w:w="1394"/>
        <w:gridCol w:w="1944"/>
        <w:gridCol w:w="1389"/>
      </w:tblGrid>
      <w:tr w:rsidR="00685FFC" w:rsidRPr="007F52FA" w:rsidTr="00B236A5">
        <w:trPr>
          <w:jc w:val="center"/>
        </w:trPr>
        <w:tc>
          <w:tcPr>
            <w:tcW w:type="dxa" w:w="109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type="dxa" w:w="1420"/>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type="dxa" w:w="198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p>
        </w:tc>
        <w:tc>
          <w:tcPr>
            <w:tcW w:type="dxa" w:w="141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tc>
          <w:tcPr>
            <w:vAlign w:val="center"/>
          </w:tcPr>
          <w:p>
            <w:pPr>
              <w:jc w:val="center"/>
            </w:pPr>
            <w:r>
              <w:rPr>
                <w:color w:val="000000"/>
                <w:sz w:val="24"/>
              </w:rPr>
              <w:t>1</w:t>
            </w:r>
          </w:p>
        </w:tc>
        <w:tc>
          <w:tcPr>
            <w:vAlign w:val="center"/>
          </w:tcPr>
          <w:p>
            <w:pPr>
              <w:jc w:val="center"/>
            </w:pPr>
            <w:r>
              <w:rPr>
                <w:color w:val="000000"/>
                <w:sz w:val="24"/>
              </w:rPr>
              <w:t>200201</w:t>
            </w:r>
          </w:p>
        </w:tc>
        <w:tc>
          <w:tcPr>
            <w:vAlign w:val="center"/>
          </w:tcPr>
          <w:p>
            <w:pPr>
              <w:jc w:val="center"/>
            </w:pPr>
            <w:r>
              <w:rPr>
                <w:color w:val="000000"/>
                <w:sz w:val="24"/>
              </w:rPr>
              <w:t>20国开01</w:t>
            </w:r>
          </w:p>
        </w:tc>
        <w:tc>
          <w:tcPr>
            <w:vAlign w:val="center"/>
          </w:tcPr>
          <w:p>
            <w:pPr>
              <w:jc w:val="right"/>
            </w:pPr>
            <w:r>
              <w:rPr>
                <w:color w:val="000000"/>
                <w:sz w:val="24"/>
              </w:rPr>
              <w:t>4,300,000</w:t>
            </w:r>
          </w:p>
        </w:tc>
        <w:tc>
          <w:tcPr>
            <w:vAlign w:val="center"/>
          </w:tcPr>
          <w:p>
            <w:pPr>
              <w:jc w:val="right"/>
            </w:pPr>
            <w:r>
              <w:rPr>
                <w:color w:val="000000"/>
                <w:sz w:val="24"/>
              </w:rPr>
              <w:t>429,742,000.00</w:t>
            </w:r>
          </w:p>
        </w:tc>
        <w:tc>
          <w:tcPr>
            <w:vAlign w:val="center"/>
          </w:tcPr>
          <w:p>
            <w:pPr>
              <w:jc w:val="right"/>
            </w:pPr>
            <w:r>
              <w:rPr>
                <w:color w:val="000000"/>
                <w:sz w:val="24"/>
              </w:rPr>
              <w:t>10.83</w:t>
            </w:r>
          </w:p>
        </w:tc>
      </w:tr>
      <w:tr>
        <w:tc>
          <w:tcPr>
            <w:vAlign w:val="center"/>
          </w:tcPr>
          <w:p>
            <w:pPr>
              <w:jc w:val="center"/>
            </w:pPr>
            <w:r>
              <w:rPr>
                <w:color w:val="000000"/>
                <w:sz w:val="24"/>
              </w:rPr>
              <w:t>2</w:t>
            </w:r>
          </w:p>
        </w:tc>
        <w:tc>
          <w:tcPr>
            <w:vAlign w:val="center"/>
          </w:tcPr>
          <w:p>
            <w:pPr>
              <w:jc w:val="center"/>
            </w:pPr>
            <w:r>
              <w:rPr>
                <w:color w:val="000000"/>
                <w:sz w:val="24"/>
              </w:rPr>
              <w:t>190306</w:t>
            </w:r>
          </w:p>
        </w:tc>
        <w:tc>
          <w:tcPr>
            <w:vAlign w:val="center"/>
          </w:tcPr>
          <w:p>
            <w:pPr>
              <w:jc w:val="center"/>
            </w:pPr>
            <w:r>
              <w:rPr>
                <w:color w:val="000000"/>
                <w:sz w:val="24"/>
              </w:rPr>
              <w:t>19进出06</w:t>
            </w:r>
          </w:p>
        </w:tc>
        <w:tc>
          <w:tcPr>
            <w:vAlign w:val="center"/>
          </w:tcPr>
          <w:p>
            <w:pPr>
              <w:jc w:val="right"/>
            </w:pPr>
            <w:r>
              <w:rPr>
                <w:color w:val="000000"/>
                <w:sz w:val="24"/>
              </w:rPr>
              <w:t>2,600,000</w:t>
            </w:r>
          </w:p>
        </w:tc>
        <w:tc>
          <w:tcPr>
            <w:vAlign w:val="center"/>
          </w:tcPr>
          <w:p>
            <w:pPr>
              <w:jc w:val="right"/>
            </w:pPr>
            <w:r>
              <w:rPr>
                <w:color w:val="000000"/>
                <w:sz w:val="24"/>
              </w:rPr>
              <w:t>260,702,000.00</w:t>
            </w:r>
          </w:p>
        </w:tc>
        <w:tc>
          <w:tcPr>
            <w:vAlign w:val="center"/>
          </w:tcPr>
          <w:p>
            <w:pPr>
              <w:jc w:val="right"/>
            </w:pPr>
            <w:r>
              <w:rPr>
                <w:color w:val="000000"/>
                <w:sz w:val="24"/>
              </w:rPr>
              <w:t>6.57</w:t>
            </w:r>
          </w:p>
        </w:tc>
      </w:tr>
      <w:tr>
        <w:tc>
          <w:tcPr>
            <w:vAlign w:val="center"/>
          </w:tcPr>
          <w:p>
            <w:pPr>
              <w:jc w:val="center"/>
            </w:pPr>
            <w:r>
              <w:rPr>
                <w:color w:val="000000"/>
                <w:sz w:val="24"/>
              </w:rPr>
              <w:t>3</w:t>
            </w:r>
          </w:p>
        </w:tc>
        <w:tc>
          <w:tcPr>
            <w:vAlign w:val="center"/>
          </w:tcPr>
          <w:p>
            <w:pPr>
              <w:jc w:val="center"/>
            </w:pPr>
            <w:r>
              <w:rPr>
                <w:color w:val="000000"/>
                <w:sz w:val="24"/>
              </w:rPr>
              <w:t>112010127</w:t>
            </w:r>
          </w:p>
        </w:tc>
        <w:tc>
          <w:tcPr>
            <w:vAlign w:val="center"/>
          </w:tcPr>
          <w:p>
            <w:pPr>
              <w:jc w:val="center"/>
            </w:pPr>
            <w:r>
              <w:rPr>
                <w:color w:val="000000"/>
                <w:sz w:val="24"/>
              </w:rPr>
              <w:t>20兴业银行CD127</w:t>
            </w:r>
          </w:p>
        </w:tc>
        <w:tc>
          <w:tcPr>
            <w:vAlign w:val="center"/>
          </w:tcPr>
          <w:p>
            <w:pPr>
              <w:jc w:val="right"/>
            </w:pPr>
            <w:r>
              <w:rPr>
                <w:color w:val="000000"/>
                <w:sz w:val="24"/>
              </w:rPr>
              <w:t>2,500,000</w:t>
            </w:r>
          </w:p>
        </w:tc>
        <w:tc>
          <w:tcPr>
            <w:vAlign w:val="center"/>
          </w:tcPr>
          <w:p>
            <w:pPr>
              <w:jc w:val="right"/>
            </w:pPr>
            <w:r>
              <w:rPr>
                <w:color w:val="000000"/>
                <w:sz w:val="24"/>
              </w:rPr>
              <w:t>243,950,000.00</w:t>
            </w:r>
          </w:p>
        </w:tc>
        <w:tc>
          <w:tcPr>
            <w:vAlign w:val="center"/>
          </w:tcPr>
          <w:p>
            <w:pPr>
              <w:jc w:val="right"/>
            </w:pPr>
            <w:r>
              <w:rPr>
                <w:color w:val="000000"/>
                <w:sz w:val="24"/>
              </w:rPr>
              <w:t>6.15</w:t>
            </w:r>
          </w:p>
        </w:tc>
      </w:tr>
      <w:tr>
        <w:tc>
          <w:tcPr>
            <w:vAlign w:val="center"/>
          </w:tcPr>
          <w:p>
            <w:pPr>
              <w:jc w:val="center"/>
            </w:pPr>
            <w:r>
              <w:rPr>
                <w:color w:val="000000"/>
                <w:sz w:val="24"/>
              </w:rPr>
              <w:t>4</w:t>
            </w:r>
          </w:p>
        </w:tc>
        <w:tc>
          <w:tcPr>
            <w:vAlign w:val="center"/>
          </w:tcPr>
          <w:p>
            <w:pPr>
              <w:jc w:val="center"/>
            </w:pPr>
            <w:r>
              <w:rPr>
                <w:color w:val="000000"/>
                <w:sz w:val="24"/>
              </w:rPr>
              <w:t>180211</w:t>
            </w:r>
          </w:p>
        </w:tc>
        <w:tc>
          <w:tcPr>
            <w:vAlign w:val="center"/>
          </w:tcPr>
          <w:p>
            <w:pPr>
              <w:jc w:val="center"/>
            </w:pPr>
            <w:r>
              <w:rPr>
                <w:color w:val="000000"/>
                <w:sz w:val="24"/>
              </w:rPr>
              <w:t>18国开11</w:t>
            </w:r>
          </w:p>
        </w:tc>
        <w:tc>
          <w:tcPr>
            <w:vAlign w:val="center"/>
          </w:tcPr>
          <w:p>
            <w:pPr>
              <w:jc w:val="right"/>
            </w:pPr>
            <w:r>
              <w:rPr>
                <w:color w:val="000000"/>
                <w:sz w:val="24"/>
              </w:rPr>
              <w:t>2,000,000</w:t>
            </w:r>
          </w:p>
        </w:tc>
        <w:tc>
          <w:tcPr>
            <w:vAlign w:val="center"/>
          </w:tcPr>
          <w:p>
            <w:pPr>
              <w:jc w:val="right"/>
            </w:pPr>
            <w:r>
              <w:rPr>
                <w:color w:val="000000"/>
                <w:sz w:val="24"/>
              </w:rPr>
              <w:t>202,520,000.00</w:t>
            </w:r>
          </w:p>
        </w:tc>
        <w:tc>
          <w:tcPr>
            <w:vAlign w:val="center"/>
          </w:tcPr>
          <w:p>
            <w:pPr>
              <w:jc w:val="right"/>
            </w:pPr>
            <w:r>
              <w:rPr>
                <w:color w:val="000000"/>
                <w:sz w:val="24"/>
              </w:rPr>
              <w:t>5.10</w:t>
            </w:r>
          </w:p>
        </w:tc>
      </w:tr>
      <w:tr>
        <w:tc>
          <w:tcPr>
            <w:vAlign w:val="center"/>
          </w:tcPr>
          <w:p>
            <w:pPr>
              <w:jc w:val="center"/>
            </w:pPr>
            <w:r>
              <w:rPr>
                <w:color w:val="000000"/>
                <w:sz w:val="24"/>
              </w:rPr>
              <w:t>5</w:t>
            </w:r>
          </w:p>
        </w:tc>
        <w:tc>
          <w:tcPr>
            <w:vAlign w:val="center"/>
          </w:tcPr>
          <w:p>
            <w:pPr>
              <w:jc w:val="center"/>
            </w:pPr>
            <w:r>
              <w:rPr>
                <w:color w:val="000000"/>
                <w:sz w:val="24"/>
              </w:rPr>
              <w:t>101800632</w:t>
            </w:r>
          </w:p>
        </w:tc>
        <w:tc>
          <w:tcPr>
            <w:vAlign w:val="center"/>
          </w:tcPr>
          <w:p>
            <w:pPr>
              <w:jc w:val="center"/>
            </w:pPr>
            <w:r>
              <w:rPr>
                <w:color w:val="000000"/>
                <w:sz w:val="24"/>
              </w:rPr>
              <w:t>18南电MTN002</w:t>
            </w:r>
          </w:p>
        </w:tc>
        <w:tc>
          <w:tcPr>
            <w:vAlign w:val="center"/>
          </w:tcPr>
          <w:p>
            <w:pPr>
              <w:jc w:val="right"/>
            </w:pPr>
            <w:r>
              <w:rPr>
                <w:color w:val="000000"/>
                <w:sz w:val="24"/>
              </w:rPr>
              <w:t>1,700,000</w:t>
            </w:r>
          </w:p>
        </w:tc>
        <w:tc>
          <w:tcPr>
            <w:vAlign w:val="center"/>
          </w:tcPr>
          <w:p>
            <w:pPr>
              <w:jc w:val="right"/>
            </w:pPr>
            <w:r>
              <w:rPr>
                <w:color w:val="000000"/>
                <w:sz w:val="24"/>
              </w:rPr>
              <w:t>172,176,000.00</w:t>
            </w:r>
          </w:p>
        </w:tc>
        <w:tc>
          <w:tcPr>
            <w:vAlign w:val="center"/>
          </w:tcPr>
          <w:p>
            <w:pPr>
              <w:jc w:val="right"/>
            </w:pPr>
            <w:r>
              <w:rPr>
                <w:color w:val="000000"/>
                <w:sz w:val="24"/>
              </w:rPr>
              <w:t>4.34</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P="007C14DF" w:rsidR="009238DB" w:rsidRDefault="00C260A2" w:rsidRPr="007F52FA">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P="007C14DF" w:rsidR="00680BCE" w:rsidRDefault="00680BCE" w:rsidRPr="007F52FA">
      <w:pPr>
        <w:autoSpaceDE w:val="0"/>
        <w:autoSpaceDN w:val="0"/>
        <w:adjustRightInd w:val="0"/>
        <w:spacing w:before="29" w:line="288" w:lineRule="auto"/>
        <w:ind w:firstLine="120" w:firstLineChars="50"/>
        <w:jc w:val="left"/>
        <w:rPr>
          <w:sz w:val="24"/>
        </w:rPr>
      </w:pPr>
      <w:r w:rsidRPr="007F52FA">
        <w:rPr>
          <w:sz w:val="24"/>
        </w:rPr>
        <w:t>本基金本报告期末未持有贵金属。</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A621E1" w:rsidRPr="007F52FA">
      <w:pPr>
        <w:autoSpaceDE w:val="0"/>
        <w:autoSpaceDN w:val="0"/>
        <w:adjustRightInd w:val="0"/>
        <w:spacing w:before="29" w:line="288" w:lineRule="auto"/>
        <w:jc w:val="left"/>
        <w:rPr>
          <w:b/>
          <w:color w:val="000000"/>
          <w:kern w:val="0"/>
          <w:sz w:val="24"/>
        </w:rPr>
      </w:pPr>
      <w:r w:rsidRPr="007F52FA">
        <w:rPr>
          <w:b/>
          <w:color w:val="000000"/>
          <w:kern w:val="0"/>
          <w:sz w:val="24"/>
        </w:rPr>
        <w:t/>
      </w:r>
      <w:r w:rsidR="001D5CD0" w:rsidRPr="007F52FA">
        <w:rPr>
          <w:b/>
          <w:color w:val="000000"/>
          <w:kern w:val="0"/>
          <w:sz w:val="24"/>
        </w:rPr>
        <w:t>5</w:t>
      </w:r>
      <w:r w:rsidR="009238DB" w:rsidRPr="007F52FA">
        <w:rPr>
          <w:b/>
          <w:color w:val="000000"/>
          <w:kern w:val="0"/>
          <w:sz w:val="24"/>
        </w:rPr>
        <w:t>.</w:t>
      </w:r>
      <w:r w:rsidR="001D5CD0" w:rsidRPr="007F52FA">
        <w:rPr>
          <w:b/>
          <w:color w:val="000000"/>
          <w:kern w:val="0"/>
          <w:sz w:val="24"/>
        </w:rPr>
        <w:t/>
      </w:r>
      <w:r w:rsidR="00680BCE" w:rsidRPr="007F52FA">
        <w:rPr>
          <w:b/>
          <w:color w:val="000000"/>
          <w:kern w:val="0"/>
          <w:sz w:val="24"/>
        </w:rPr>
        <w:t/>
      </w:r>
      <w:r w:rsidR="001D5CD0"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P="007C14DF" w:rsidR="00C260A2" w:rsidRDefault="00C260A2" w:rsidRPr="007F52FA">
      <w:pPr>
        <w:autoSpaceDE w:val="0"/>
        <w:autoSpaceDN w:val="0"/>
        <w:adjustRightInd w:val="0"/>
        <w:spacing w:before="29" w:line="288" w:lineRule="auto"/>
        <w:jc w:val="left"/>
        <w:rPr>
          <w:color w:val="000000"/>
          <w:sz w:val="24"/>
        </w:rPr>
      </w:pPr>
      <w:r w:rsidRPr="007F52FA">
        <w:rPr>
          <w:color w:val="000000"/>
          <w:sz w:val="24"/>
        </w:rPr>
        <w:t/>
      </w:r>
      <w:r w:rsidR="00407F66" w:rsidRPr="007F52FA">
        <w:rPr>
          <w:color w:val="000000"/>
          <w:sz w:val="24"/>
        </w:rPr>
        <w:t/>
      </w:r>
      <w:r w:rsidRPr="007F52FA">
        <w:rPr>
          <w:color w:val="000000"/>
          <w:sz w:val="24"/>
        </w:rPr>
        <w:t>本基金本报告期末未持有权证。</w:t>
      </w:r>
    </w:p>
    <w:p w:rsidP="007C14DF" w:rsidR="001D5CD0" w:rsidRDefault="001D5CD0" w:rsidRPr="007F52FA">
      <w:pPr>
        <w:autoSpaceDE w:val="0"/>
        <w:autoSpaceDN w:val="0"/>
        <w:adjustRightInd w:val="0"/>
        <w:spacing w:before="29" w:line="288" w:lineRule="auto"/>
        <w:jc w:val="left"/>
        <w:rPr>
          <w:rFonts w:eastAsiaTheme="minorEastAsia"/>
          <w:color w:val="000000"/>
          <w:kern w:val="0"/>
          <w:sz w:val="24"/>
        </w:rPr>
      </w:pPr>
    </w:p>
    <w:p w:rsidP="007C14DF" w:rsidR="001D5CD0" w:rsidRDefault="001D5CD0" w:rsidRPr="007F52FA">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P="007C14DF" w:rsidR="001D5CD0" w:rsidRDefault="001D5CD0" w:rsidRPr="007F52FA">
      <w:pPr>
        <w:autoSpaceDE w:val="0"/>
        <w:autoSpaceDN w:val="0"/>
        <w:adjustRightInd w:val="0"/>
        <w:spacing w:before="29" w:line="288" w:lineRule="auto"/>
        <w:jc w:val="left"/>
        <w:rPr>
          <w:sz w:val="24"/>
        </w:rPr>
      </w:pPr>
      <w:r w:rsidRPr="007F52FA">
        <w:rPr>
          <w:sz w:val="24"/>
        </w:rPr>
        <w:t>本基金本报告期末未持有股指期货。</w:t>
      </w:r>
    </w:p>
    <w:p w:rsidP="007C14DF" w:rsidR="001D5CD0" w:rsidRDefault="001D5CD0" w:rsidRPr="007F52FA">
      <w:pPr>
        <w:autoSpaceDE w:val="0"/>
        <w:autoSpaceDN w:val="0"/>
        <w:adjustRightInd w:val="0"/>
        <w:spacing w:before="29" w:line="288" w:lineRule="auto"/>
        <w:jc w:val="left"/>
        <w:rPr>
          <w:b/>
          <w:sz w:val="24"/>
        </w:rPr>
      </w:pPr>
    </w:p>
    <w:p w:rsidP="007C14DF" w:rsidR="00A7062E" w:rsidRDefault="001D5CD0" w:rsidRPr="007F52FA">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P="007C14DF" w:rsidR="00DB56EC" w:rsidRDefault="00DB56EC" w:rsidRPr="007F52FA">
      <w:pPr>
        <w:autoSpaceDE w:val="0"/>
        <w:autoSpaceDN w:val="0"/>
        <w:adjustRightInd w:val="0"/>
        <w:spacing w:before="29" w:line="288" w:lineRule="auto"/>
        <w:jc w:val="left"/>
        <w:rPr>
          <w:rFonts w:eastAsiaTheme="minorEastAsia"/>
          <w:sz w:val="24"/>
        </w:rPr>
      </w:pPr>
    </w:p>
    <w:p w:rsidP="007C14DF" w:rsidR="001D5CD0" w:rsidRDefault="001D5CD0" w:rsidRPr="007F52FA">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P="00A0678E" w:rsidR="00384E65" w:rsidRDefault="00384E65" w:rsidRPr="00384E65">
      <w:pPr>
        <w:autoSpaceDE w:val="0"/>
        <w:autoSpaceDN w:val="0"/>
        <w:adjustRightInd w:val="0"/>
        <w:spacing w:before="29" w:line="288" w:lineRule="auto"/>
        <w:rPr>
          <w:kern w:val="0"/>
          <w:sz w:val="24"/>
        </w:rPr>
      </w:pPr>
      <w:r w:rsidRPr="00885AD9">
        <w:rPr>
          <w:b/>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P="00A0678E" w:rsidR="00384E65" w:rsidRDefault="00384E65" w:rsidRPr="00384E65">
      <w:pPr>
        <w:autoSpaceDE w:val="0"/>
        <w:autoSpaceDN w:val="0"/>
        <w:adjustRightInd w:val="0"/>
        <w:spacing w:before="29" w:line="288" w:lineRule="auto"/>
        <w:rPr>
          <w:kern w:val="0"/>
          <w:sz w:val="24"/>
        </w:rPr>
      </w:pPr>
      <w:r w:rsidRPr="00885AD9">
        <w:rPr>
          <w:b/>
          <w:kern w:val="0"/>
          <w:sz w:val="24"/>
        </w:rPr>
        <w:t>5.11.2</w:t>
      </w:r>
      <w:r w:rsidRPr="00384E65">
        <w:rPr>
          <w:kern w:val="0"/>
          <w:sz w:val="24"/>
        </w:rPr>
        <w:t>本基金投资的前十名股票中，没有超出基金合同规定的备选股票库之外的股票。</w:t>
      </w:r>
    </w:p>
    <w:p w:rsidP="007C14DF" w:rsidR="001D5CD0" w:rsidRDefault="001D5CD0">
      <w:pPr>
        <w:autoSpaceDE w:val="0"/>
        <w:autoSpaceDN w:val="0"/>
        <w:adjustRightInd w:val="0"/>
        <w:spacing w:before="29" w:line="288" w:lineRule="auto"/>
        <w:rPr>
          <w:kern w:val="0"/>
          <w:sz w:val="24"/>
        </w:rPr>
      </w:pPr>
      <w:bookmarkStart w:id="2" w:name="_GoBack"/>
      <w:r w:rsidRPr="00885AD9">
        <w:rPr>
          <w:b/>
          <w:kern w:val="0"/>
          <w:sz w:val="24"/>
        </w:rPr>
        <w:t>5.11.3</w:t>
      </w:r>
      <w:bookmarkEnd w:id="2"/>
      <w:r w:rsidR="008F4965">
        <w:rPr>
          <w:rFonts w:hint="eastAsia"/>
          <w:kern w:val="0"/>
          <w:sz w:val="24"/>
        </w:rPr>
        <w:t>期末</w:t>
      </w:r>
      <w:r w:rsidR="00E84F32" w:rsidRPr="007F52FA">
        <w:rPr>
          <w:kern w:val="0"/>
          <w:sz w:val="24"/>
        </w:rPr>
        <w:t>其他</w:t>
      </w:r>
      <w:r w:rsidR="008F4965">
        <w:rPr>
          <w:rFonts w:hint="eastAsia"/>
          <w:kern w:val="0"/>
          <w:sz w:val="24"/>
        </w:rPr>
        <w:t>各项</w:t>
      </w:r>
      <w:r w:rsidRPr="007F52FA">
        <w:rPr>
          <w:kern w:val="0"/>
          <w:sz w:val="24"/>
        </w:rPr>
        <w:t>资产构成</w:t>
      </w:r>
    </w:p>
    <w:p w:rsidP="006B32A4" w:rsidR="006B32A4" w:rsidRDefault="00C33577" w:rsidRPr="007F52FA">
      <w:pPr>
        <w:autoSpaceDE w:val="0"/>
        <w:autoSpaceDN w:val="0"/>
        <w:adjustRightInd w:val="0"/>
        <w:spacing w:before="29" w:line="288" w:lineRule="auto"/>
        <w:jc w:val="right"/>
        <w:rPr>
          <w:kern w:val="0"/>
          <w:sz w:val="24"/>
        </w:rPr>
      </w:pPr>
      <w:r w:rsidRPr="00C33577">
        <w:rPr>
          <w:rFonts w:hint="eastAsia"/>
          <w:kern w:val="0"/>
          <w:sz w:val="24"/>
        </w:rPr>
        <w:t/>
      </w:r>
      <w:r w:rsidRPr="00C33577">
        <w:rPr>
          <w:rFonts w:hint="eastAsia"/>
          <w:kern w:val="0"/>
          <w:sz w:val="24"/>
        </w:rPr>
        <w:t>金额单位：人民币元</w:t>
      </w:r>
    </w:p>
    <w:tbl>
      <w:tblPr>
        <w:tblStyle w:val="af2"/>
        <w:tblW w:type="dxa" w:w="8868"/>
        <w:jc w:val="center"/>
        <w:tblLook w:firstColumn="1" w:firstRow="1" w:lastColumn="0" w:lastRow="0" w:noHBand="0" w:noVBand="1" w:val="04A0"/>
      </w:tblPr>
      <w:tblGrid>
        <w:gridCol w:w="1260"/>
        <w:gridCol w:w="2706"/>
        <w:gridCol w:w="4902"/>
      </w:tblGrid>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type="dxa" w:w="281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type="dxa" w:w="490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金额</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2,394.61</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lastRenderedPageBreak/>
              <w:t>2</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3</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4</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52,550,009.54</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5</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109.91</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6</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7</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8</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9</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52,552,514.06</w:t>
            </w:r>
          </w:p>
        </w:tc>
      </w:tr>
    </w:tbl>
    <w:p w:rsidP="007C14DF" w:rsidR="001D5CD0" w:rsidRDefault="001D5CD0" w:rsidRPr="007F52FA">
      <w:pPr>
        <w:autoSpaceDE w:val="0"/>
        <w:autoSpaceDN w:val="0"/>
        <w:adjustRightInd w:val="0"/>
        <w:spacing w:before="29" w:line="288" w:lineRule="auto"/>
        <w:jc w:val="left"/>
        <w:rPr>
          <w:sz w:val="24"/>
        </w:rPr>
      </w:pPr>
    </w:p>
    <w:p w:rsidP="007C14DF" w:rsidR="001D5CD0" w:rsidRDefault="001D5CD0" w:rsidRPr="00143E9C">
      <w:pPr>
        <w:autoSpaceDE w:val="0"/>
        <w:autoSpaceDN w:val="0"/>
        <w:adjustRightInd w:val="0"/>
        <w:spacing w:before="29" w:line="288" w:lineRule="auto"/>
        <w:jc w:val="left"/>
        <w:rPr>
          <w:b/>
          <w:kern w:val="0"/>
          <w:sz w:val="24"/>
        </w:rPr>
      </w:pPr>
      <w:r w:rsidRPr="00143E9C">
        <w:rPr>
          <w:b/>
          <w:kern w:val="0"/>
          <w:sz w:val="24"/>
        </w:rPr>
        <w:t>5.11.4</w:t>
      </w:r>
      <w:r w:rsidRPr="00143E9C">
        <w:rPr>
          <w:b/>
          <w:kern w:val="0"/>
          <w:sz w:val="24"/>
        </w:rPr>
        <w:t>期末持有的处于转股期的可转换债券明细</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P="007C14DF" w:rsidR="001D5CD0" w:rsidRDefault="001D5CD0" w:rsidRPr="00143E9C">
      <w:pPr>
        <w:autoSpaceDE w:val="0"/>
        <w:autoSpaceDN w:val="0"/>
        <w:adjustRightInd w:val="0"/>
        <w:spacing w:before="29" w:line="288" w:lineRule="auto"/>
        <w:jc w:val="left"/>
        <w:rPr>
          <w:rFonts w:eastAsiaTheme="minorEastAsia"/>
          <w:b/>
          <w:bCs/>
          <w:sz w:val="24"/>
        </w:rPr>
      </w:pPr>
      <w:r w:rsidRPr="00143E9C">
        <w:rPr>
          <w:rFonts w:eastAsiaTheme="minorEastAsia"/>
          <w:b/>
          <w:kern w:val="0"/>
          <w:sz w:val="24"/>
        </w:rPr>
        <w:t>5.11.5</w:t>
      </w:r>
      <w:r w:rsidRPr="00143E9C">
        <w:rPr>
          <w:rFonts w:eastAsiaTheme="minorEastAsia"/>
          <w:b/>
          <w:bCs/>
          <w:sz w:val="24"/>
        </w:rPr>
        <w:t>期末前十名股票中存在流通受限情况的说明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lastRenderedPageBreak/>
        <w:t>本基金本报告期末未持有股票。</w:t>
      </w:r>
    </w:p>
    <w:p w:rsidP="007C14DF" w:rsidR="001D5CD0" w:rsidRDefault="001D5CD0" w:rsidRPr="00901A22">
      <w:pPr>
        <w:spacing w:before="29" w:line="288" w:lineRule="auto"/>
        <w:rPr>
          <w:rFonts w:eastAsiaTheme="minorEastAsia"/>
          <w:b/>
          <w:color w:val="000000"/>
          <w:kern w:val="0"/>
          <w:sz w:val="24"/>
        </w:rPr>
      </w:pPr>
      <w:r w:rsidRPr="00901A22">
        <w:rPr>
          <w:rFonts w:eastAsiaTheme="minorEastAsia"/>
          <w:b/>
          <w:color w:val="000000"/>
          <w:kern w:val="0"/>
          <w:sz w:val="24"/>
        </w:rPr>
        <w:t/>
      </w:r>
      <w:r w:rsidRPr="00901A22">
        <w:rPr>
          <w:rFonts w:eastAsiaTheme="minorEastAsia"/>
          <w:b/>
          <w:kern w:val="0"/>
          <w:sz w:val="24"/>
        </w:rPr>
        <w:t>5.11.6</w:t>
      </w:r>
      <w:r w:rsidRPr="00901A22">
        <w:rPr>
          <w:rFonts w:eastAsiaTheme="minorEastAsia"/>
          <w:b/>
          <w:color w:val="000000"/>
          <w:kern w:val="0"/>
          <w:sz w:val="24"/>
        </w:rPr>
        <w:t>投资组合报告附注的其他文字描述部分</w:t>
      </w:r>
    </w:p>
    <w:p w:rsidP="00A0678E" w:rsidR="001D5CD0" w:rsidRDefault="001D5CD0" w:rsidRPr="007F52FA">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P="007C14DF" w:rsidR="00EB27DE" w:rsidRDefault="00EB27DE" w:rsidRPr="007F52FA">
      <w:pPr>
        <w:spacing w:before="29" w:line="288" w:lineRule="auto"/>
        <w:rPr>
          <w:rFonts w:eastAsiaTheme="minorEastAsia"/>
          <w:color w:val="000000"/>
          <w:sz w:val="24"/>
        </w:rPr>
      </w:pPr>
    </w:p>
    <w:p w:rsidP="000A2988" w:rsidR="009238DB" w:rsidRDefault="00C51B4E" w:rsidRPr="007F52FA">
      <w:pPr>
        <w:pStyle w:val="1"/>
        <w:spacing w:after="312" w:afterLines="100" w:before="312" w:beforeLines="100" w:line="288" w:lineRule="auto"/>
        <w:jc w:val="center"/>
        <w:rPr>
          <w:rFonts w:eastAsiaTheme="minorEastAsia"/>
          <w:color w:val="000000"/>
          <w:kern w:val="0"/>
          <w:sz w:val="24"/>
          <w:szCs w:val="24"/>
        </w:rPr>
      </w:pPr>
      <w:r w:rsidRPr="00C51B4E">
        <w:rPr>
          <w:rFonts w:eastAsiaTheme="minorEastAsia"/>
          <w:color w:themeColor="text1" w:val="000000"/>
          <w:kern w:val="0"/>
          <w:sz w:val="21"/>
          <w:szCs w:val="21"/>
        </w:rPr>
        <w:t>§6</w:t>
      </w:r>
      <w:r w:rsidRPr="00C51B4E">
        <w:rPr>
          <w:rFonts w:eastAsiaTheme="minorEastAsia" w:hint="eastAsia"/>
          <w:color w:themeColor="text1" w:val="000000"/>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P="007C14DF" w:rsidR="009238DB" w:rsidRDefault="009238DB" w:rsidRPr="007F52FA">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type="dxa" w:w="8868"/>
        <w:jc w:val="center"/>
        <w:tblLayout w:type="fixed"/>
        <w:tblLook w:firstColumn="0" w:firstRow="0" w:lastColumn="0" w:lastRow="0" w:noHBand="0" w:noVBand="0" w:val="0000"/>
      </w:tblPr>
      <w:tblGrid>
        <w:gridCol w:w="4006"/>
        <w:gridCol w:w="2431"/>
        <w:gridCol w:w="2431"/>
      </w:tblGrid>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2785F" w:rsidRPr="007F52FA">
              <w:rPr>
                <w:rFonts w:eastAsiaTheme="minorEastAsia"/>
                <w:sz w:val="24"/>
              </w:rPr>
              <w:t>交银境尚收益债券A</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D614E" w:rsidRPr="007F52FA">
              <w:rPr>
                <w:rFonts w:eastAsiaTheme="minorEastAsia"/>
                <w:sz w:val="24"/>
              </w:rPr>
              <w:t/>
            </w:r>
            <w:r w:rsidR="0042785F" w:rsidRPr="007F52FA">
              <w:rPr>
                <w:rFonts w:eastAsiaTheme="minorEastAsia"/>
                <w:sz w:val="24"/>
              </w:rPr>
              <w:t>交银境尚收益债券C</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42785F" w:rsidRPr="007F52FA">
              <w:rPr>
                <w:rFonts w:eastAsiaTheme="minorEastAsia"/>
                <w:color w:val="000000"/>
                <w:sz w:val="24"/>
              </w:rPr>
              <w:t>3,949,039,222.73</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EA1D33" w:rsidRPr="007F52FA">
              <w:rPr>
                <w:rFonts w:eastAsiaTheme="minorEastAsia"/>
                <w:color w:val="000000"/>
                <w:sz w:val="24"/>
              </w:rPr>
              <w:t/>
            </w:r>
            <w:r w:rsidR="0042785F" w:rsidRPr="007F52FA">
              <w:rPr>
                <w:rFonts w:eastAsiaTheme="minorEastAsia"/>
                <w:color w:val="000000"/>
                <w:sz w:val="24"/>
              </w:rPr>
              <w:t>316,698.23</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40,552.33</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13,849.46</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4,383,712.87</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100,124.64</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896AC6"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
            </w:r>
            <w:r w:rsidR="0042785F" w:rsidRPr="007F52FA">
              <w:rPr>
                <w:rFonts w:eastAsiaTheme="minorEastAsia"/>
                <w:color w:val="000000"/>
                <w:sz w:val="24"/>
              </w:rPr>
              <w:lastRenderedPageBreak/>
              <w:t>3,944,696,062.19</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lastRenderedPageBreak/>
              <w:t/>
            </w:r>
            <w:r w:rsidR="004D614E" w:rsidRPr="007F52FA">
              <w:rPr>
                <w:rFonts w:eastAsiaTheme="minorEastAsia"/>
                <w:color w:val="000000"/>
                <w:sz w:val="24"/>
              </w:rPr>
              <w:t/>
            </w:r>
            <w:r w:rsidR="004D614E" w:rsidRPr="007F52FA">
              <w:rPr>
                <w:rFonts w:eastAsiaTheme="minorEastAsia"/>
                <w:color w:val="000000"/>
                <w:sz w:val="24"/>
              </w:rPr>
              <w:lastRenderedPageBreak/>
              <w:t/>
            </w:r>
            <w:r w:rsidR="0042785F" w:rsidRPr="007F52FA">
              <w:rPr>
                <w:rFonts w:eastAsiaTheme="minorEastAsia"/>
                <w:color w:val="000000"/>
                <w:sz w:val="24"/>
              </w:rPr>
              <w:t>230,423.05</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注：1、如果本报告期间发生转换入、红利再投业务，则总申购份额中包含该业务；</w:t>
      </w:r>
    </w:p>
    <w:p w:rsidP="007C14DF" w:rsidR="00FB3C94" w:rsidRDefault="00FB3C94"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lastRenderedPageBreak/>
        <w:t xml:space="preserve">  2、如果本报告期间发生转换出业务，则总赎回份额中包含该业务。</w:t>
      </w:r>
    </w:p>
    <w:p w:rsidP="007C14DF" w:rsidR="00426568" w:rsidRDefault="00426568">
      <w:pPr>
        <w:autoSpaceDE w:val="0"/>
        <w:autoSpaceDN w:val="0"/>
        <w:adjustRightInd w:val="0"/>
        <w:spacing w:before="29" w:line="288" w:lineRule="auto"/>
        <w:jc w:val="left"/>
        <w:rPr>
          <w:rFonts w:eastAsiaTheme="minorEastAsia"/>
          <w:color w:val="000000"/>
          <w:sz w:val="24"/>
        </w:rPr>
      </w:pPr>
    </w:p>
    <w:p w:rsidP="000A2988" w:rsidR="000673DA" w:rsidRDefault="00C51B4E" w:rsidRPr="000673DA">
      <w:pPr>
        <w:pStyle w:val="1"/>
        <w:tabs>
          <w:tab w:pos="4156" w:val="center"/>
          <w:tab w:pos="8312" w:val="right"/>
        </w:tabs>
        <w:spacing w:after="312" w:afterLines="100" w:before="312" w:beforeLines="100" w:line="288" w:lineRule="auto"/>
        <w:jc w:val="center"/>
        <w:rPr>
          <w:sz w:val="24"/>
          <w:szCs w:val="24"/>
        </w:rPr>
      </w:pPr>
      <w:r>
        <w:rPr>
          <w:color w:val="000000"/>
          <w:kern w:val="0"/>
          <w:sz w:val="24"/>
          <w:szCs w:val="24"/>
        </w:rPr>
        <w:t>§</w:t>
      </w:r>
      <w:r>
        <w:rPr>
          <w:rFonts w:hint="eastAsia"/>
          <w:color w:val="000000"/>
          <w:kern w:val="0"/>
          <w:sz w:val="24"/>
          <w:szCs w:val="24"/>
        </w:rPr>
        <w:t/>
      </w:r>
      <w:r w:rsidR="000673DA" w:rsidRPr="000673DA">
        <w:rPr>
          <w:color w:val="000000"/>
          <w:kern w:val="0"/>
          <w:sz w:val="24"/>
          <w:szCs w:val="24"/>
        </w:rPr>
        <w:t xml:space="preserve">7  </w:t>
      </w:r>
      <w:r w:rsidR="000673DA" w:rsidRPr="000673DA">
        <w:rPr>
          <w:rFonts w:hAnsi="宋体"/>
          <w:sz w:val="24"/>
          <w:szCs w:val="24"/>
        </w:rPr>
        <w:t>基金管理人运用固有资金投资本基金情况</w:t>
      </w:r>
    </w:p>
    <w:p w:rsidP="007C14DF" w:rsidR="000673DA" w:rsidRDefault="000673DA" w:rsidRPr="000673DA">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P="007C14DF" w:rsidR="008A3BCC" w:rsidRDefault="00AE55CC" w:rsidRPr="00AE55CC">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P="007C14DF" w:rsidR="008A3BCC" w:rsidRDefault="008A3BCC">
      <w:pPr>
        <w:autoSpaceDE w:val="0"/>
        <w:autoSpaceDN w:val="0"/>
        <w:adjustRightInd w:val="0"/>
        <w:spacing w:before="29" w:line="288" w:lineRule="auto"/>
        <w:jc w:val="left"/>
        <w:rPr>
          <w:color w:val="000000"/>
          <w:sz w:val="24"/>
        </w:rPr>
      </w:pPr>
    </w:p>
    <w:p w:rsidP="00646AEE" w:rsidR="008A3BCC" w:rsidRDefault="000673DA" w:rsidRPr="008A3BCC">
      <w:pPr>
        <w:autoSpaceDE w:val="0"/>
        <w:autoSpaceDN w:val="0"/>
        <w:adjustRightInd w:val="0"/>
        <w:spacing w:before="29" w:line="288" w:lineRule="auto"/>
        <w:jc w:val="left"/>
        <w:rPr>
          <w:b/>
          <w:color w:val="000000"/>
          <w:sz w:val="24"/>
        </w:rPr>
      </w:pPr>
      <w:r w:rsidRPr="008A3BCC">
        <w:rPr>
          <w:b/>
          <w:sz w:val="24"/>
        </w:rPr>
        <w:t/>
      </w: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P="007C14DF" w:rsidR="00285618" w:rsidRDefault="00285618"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P="007C14DF" w:rsidR="00F2646E" w:rsidRDefault="00F2646E" w:rsidRPr="007F52FA">
      <w:pPr>
        <w:autoSpaceDE w:val="0"/>
        <w:autoSpaceDN w:val="0"/>
        <w:adjustRightInd w:val="0"/>
        <w:spacing w:before="29" w:line="288" w:lineRule="auto"/>
        <w:jc w:val="left"/>
        <w:rPr>
          <w:rFonts w:eastAsiaTheme="minorEastAsia"/>
          <w:color w:val="000000"/>
          <w:sz w:val="24"/>
        </w:rPr>
      </w:pPr>
    </w:p>
    <w:p w:rsidP="000A2988" w:rsidR="00ED0E09" w:rsidRDefault="00ED0E09">
      <w:pPr>
        <w:pStyle w:val="1"/>
        <w:spacing w:after="312" w:afterLines="100" w:before="312" w:beforeLines="100" w:line="360" w:lineRule="auto"/>
        <w:jc w:val="center"/>
        <w:rPr>
          <w:rFonts w:eastAsiaTheme="minorEastAsia"/>
          <w:color w:themeColor="text1" w:val="000000"/>
          <w:kern w:val="0"/>
          <w:sz w:val="21"/>
          <w:szCs w:val="21"/>
        </w:rPr>
      </w:pPr>
      <w:r>
        <w:rPr>
          <w:rFonts w:eastAsiaTheme="minorEastAsia"/>
          <w:color w:themeColor="text1" w:val="000000"/>
          <w:kern w:val="0"/>
          <w:sz w:val="21"/>
          <w:szCs w:val="21"/>
        </w:rPr>
        <w:t xml:space="preserve">§8 </w:t>
      </w:r>
      <w:r w:rsidR="00F139D5">
        <w:rPr>
          <w:rFonts w:eastAsiaTheme="minorEastAsia"/>
          <w:color w:themeColor="text1" w:val="000000"/>
          <w:kern w:val="0"/>
          <w:sz w:val="21"/>
          <w:szCs w:val="21"/>
        </w:rPr>
        <w:t xml:space="preserve"> </w:t>
      </w:r>
      <w:r>
        <w:rPr>
          <w:rFonts w:eastAsiaTheme="minorEastAsia" w:hint="eastAsia"/>
          <w:color w:themeColor="text1" w:val="000000"/>
          <w:kern w:val="0"/>
          <w:sz w:val="21"/>
          <w:szCs w:val="21"/>
        </w:rPr>
        <w:t>影响投资者决策的其他重要信息</w:t>
      </w:r>
    </w:p>
    <w:p w:rsidP="00ED0E09" w:rsidR="00ED0E09" w:rsidRDefault="00ED0E09">
      <w:pPr>
        <w:autoSpaceDE w:val="0"/>
        <w:autoSpaceDN w:val="0"/>
        <w:adjustRightInd w:val="0"/>
        <w:spacing w:line="360" w:lineRule="auto"/>
        <w:jc w:val="left"/>
        <w:rPr>
          <w:rFonts w:ascii="宋体" w:hAnsi="宋体"/>
          <w:b/>
          <w:bCs/>
          <w:color w:val="000000"/>
          <w:kern w:val="0"/>
          <w:szCs w:val="21"/>
        </w:rPr>
      </w:pPr>
      <w:r>
        <w:rPr>
          <w:rFonts w:ascii="宋体" w:hAnsi="宋体" w:hint="eastAsia"/>
          <w:b/>
          <w:color w:val="000000"/>
          <w:kern w:val="0"/>
          <w:szCs w:val="21"/>
        </w:rPr>
        <w:t/>
      </w:r>
      <w:r>
        <w:rPr>
          <w:rFonts w:ascii="宋体" w:hAnsi="宋体" w:hint="eastAsia"/>
          <w:b/>
          <w:bCs/>
          <w:color w:val="000000"/>
          <w:kern w:val="0"/>
          <w:szCs w:val="21"/>
        </w:rPr>
        <w:t>8.1 报告期内单一投资者持有基金份额比例达到或超过20%的情况</w:t>
      </w:r>
    </w:p>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92"/>
        <w:gridCol w:w="991"/>
        <w:gridCol w:w="1843"/>
        <w:gridCol w:w="851"/>
        <w:gridCol w:w="850"/>
        <w:gridCol w:w="1134"/>
        <w:gridCol w:w="1419"/>
        <w:gridCol w:w="1130"/>
      </w:tblGrid>
      <w:tr w:rsidR="00ED0E09" w:rsidTr="00ED0E09">
        <w:tc>
          <w:tcPr>
            <w:tcW w:type="dxa" w:w="993"/>
            <w:vMerge w:val="restart"/>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type="dxa" w:w="5670"/>
            <w:gridSpan w:val="5"/>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type="dxa" w:w="2549"/>
            <w:gridSpan w:val="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type="dxa" w:w="993"/>
            <w:vMerge/>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left"/>
              <w:rPr>
                <w:rFonts w:ascii="宋体" w:hAnsi="宋体"/>
                <w:b/>
                <w:bCs/>
                <w:color w:val="000000"/>
                <w:kern w:val="0"/>
                <w:szCs w:val="21"/>
              </w:rPr>
            </w:pPr>
          </w:p>
        </w:tc>
        <w:tc>
          <w:tcPr>
            <w:tcW w:type="dxa" w:w="99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type="dxa" w:w="1843"/>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type="dxa" w:w="851"/>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type="dxa" w:w="850"/>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type="dxa" w:w="1134"/>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type="dxa" w:w="1419"/>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type="dxa" w:w="1130"/>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tc>
          <w:tcPr>
            <w:vMerge w:val="restart"/>
          </w:tcPr>
          <w:p/>
          <w:p>
            <w:r>
              <w:rPr>
                <w:rFonts w:ascii="宋体" w:hAnsi="宋体" w:hint="eastAsia"/>
                <w:bCs/>
                <w:color w:val="000000"/>
                <w:kern w:val="0"/>
                <w:szCs w:val="21"/>
              </w:rPr>
              <w:t>机构</w:t>
            </w:r>
          </w:p>
        </w:tc>
        <w:tc>
          <w:tcPr>
            <w:vAlign w:val="center"/>
          </w:tcPr>
          <w:p>
            <w:pPr>
              <w:jc w:val="center"/>
            </w:pPr>
            <w:r>
              <w:rPr>
                <w:rFonts w:ascii="宋体" w:hAnsi="宋体" w:hint="eastAsia"/>
                <w:color w:val="000000"/>
                <w:kern w:val="0"/>
                <w:szCs w:val="21"/>
              </w:rPr>
              <w:t>1</w:t>
            </w:r>
          </w:p>
        </w:tc>
        <w:tc>
          <w:tcPr>
            <w:vAlign w:val="center"/>
          </w:tcPr>
          <w:p>
            <w:pPr>
              <w:jc w:val="center"/>
            </w:pPr>
            <w:r>
              <w:rPr>
                <w:rFonts w:ascii="宋体" w:hAnsi="宋体" w:hint="eastAsia"/>
                <w:color w:val="000000"/>
                <w:kern w:val="0"/>
                <w:szCs w:val="21"/>
              </w:rPr>
              <w:t>2020/7/1-2020/9/30</w:t>
            </w:r>
          </w:p>
        </w:tc>
        <w:tc>
          <w:tcPr>
            <w:vAlign w:val="center"/>
          </w:tcPr>
          <w:p>
            <w:pPr>
              <w:jc w:val="center"/>
            </w:pPr>
            <w:r>
              <w:rPr>
                <w:rFonts w:ascii="宋体" w:hAnsi="宋体" w:hint="eastAsia"/>
                <w:color w:val="000000"/>
                <w:kern w:val="0"/>
                <w:szCs w:val="21"/>
              </w:rPr>
              <w:t>1,156,591,932.37</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1,156,591,932.37</w:t>
            </w:r>
          </w:p>
        </w:tc>
        <w:tc>
          <w:tcPr>
            <w:vAlign w:val="center"/>
          </w:tcPr>
          <w:p>
            <w:pPr>
              <w:jc w:val="center"/>
            </w:pPr>
            <w:r>
              <w:rPr>
                <w:rFonts w:ascii="宋体" w:hAnsi="宋体" w:hint="eastAsia"/>
                <w:color w:val="000000"/>
                <w:kern w:val="0"/>
                <w:szCs w:val="21"/>
              </w:rPr>
              <w:t>29.32%</w:t>
            </w:r>
          </w:p>
        </w:tc>
      </w:tr>
      <w:tr>
        <w:tc>
          <w:tcPr>
            <w:vMerge/>
          </w:tcPr>
          <w:p/>
        </w:tc>
        <w:tc>
          <w:tcPr>
            <w:vAlign w:val="center"/>
          </w:tcPr>
          <w:p>
            <w:pPr>
              <w:jc w:val="center"/>
            </w:pPr>
            <w:r>
              <w:rPr>
                <w:rFonts w:ascii="宋体" w:hAnsi="宋体" w:hint="eastAsia"/>
                <w:color w:val="000000"/>
                <w:kern w:val="0"/>
                <w:szCs w:val="21"/>
              </w:rPr>
              <w:t>2</w:t>
            </w:r>
          </w:p>
        </w:tc>
        <w:tc>
          <w:tcPr>
            <w:vAlign w:val="center"/>
          </w:tcPr>
          <w:p>
            <w:pPr>
              <w:jc w:val="center"/>
            </w:pPr>
            <w:r>
              <w:rPr>
                <w:rFonts w:ascii="宋体" w:hAnsi="宋体" w:hint="eastAsia"/>
                <w:color w:val="000000"/>
                <w:kern w:val="0"/>
                <w:szCs w:val="21"/>
              </w:rPr>
              <w:t>2020/7/1-2020/9/30</w:t>
            </w:r>
          </w:p>
        </w:tc>
        <w:tc>
          <w:tcPr>
            <w:vAlign w:val="center"/>
          </w:tcPr>
          <w:p>
            <w:pPr>
              <w:jc w:val="center"/>
            </w:pPr>
            <w:r>
              <w:rPr>
                <w:rFonts w:ascii="宋体" w:hAnsi="宋体" w:hint="eastAsia"/>
                <w:color w:val="000000"/>
                <w:kern w:val="0"/>
                <w:szCs w:val="21"/>
              </w:rPr>
              <w:t>2,756,591,932.37</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2,756,591,932.37</w:t>
            </w:r>
          </w:p>
        </w:tc>
        <w:tc>
          <w:tcPr>
            <w:vAlign w:val="center"/>
          </w:tcPr>
          <w:p>
            <w:pPr>
              <w:jc w:val="center"/>
            </w:pPr>
            <w:r>
              <w:rPr>
                <w:rFonts w:ascii="宋体" w:hAnsi="宋体" w:hint="eastAsia"/>
                <w:color w:val="000000"/>
                <w:kern w:val="0"/>
                <w:szCs w:val="21"/>
              </w:rPr>
              <w:t>69.88%</w:t>
            </w:r>
          </w:p>
        </w:tc>
      </w:tr>
    </w:tbl>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210"/>
      </w:tblGrid>
      <w:tr w:rsidR="00ED0E09" w:rsidTr="00ED0E09">
        <w:tc>
          <w:tcPr>
            <w:tcW w:type="dxa" w:w="921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r>
              <w:rPr>
                <w:rFonts w:ascii="宋体" w:hAnsi="宋体" w:hint="eastAsia"/>
                <w:kern w:val="0"/>
                <w:szCs w:val="21"/>
              </w:rPr>
              <w:t/>
            </w:r>
          </w:p>
        </w:tc>
      </w:tr>
      <w:tr w:rsidR="00ED0E09" w:rsidTr="00ED0E09">
        <w:tc>
          <w:tcPr>
            <w:tcW w:type="dxa" w:w="921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P="000A2988" w:rsidR="00175E3A" w:rsidRDefault="009238DB" w:rsidRPr="007032A6">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
      </w:r>
      <w:r w:rsidR="00D13A01" w:rsidRPr="007F52FA">
        <w:rPr>
          <w:rFonts w:eastAsiaTheme="minorEastAsia"/>
          <w:color w:val="000000"/>
          <w:kern w:val="0"/>
          <w:sz w:val="24"/>
          <w:szCs w:val="24"/>
        </w:rPr>
        <w:t/>
      </w:r>
      <w:r w:rsidR="00A14399" w:rsidRPr="007F52FA">
        <w:rPr>
          <w:rFonts w:eastAsiaTheme="minorEastAsia"/>
          <w:color w:val="000000"/>
          <w:kern w:val="0"/>
          <w:sz w:val="24"/>
          <w:szCs w:val="24"/>
        </w:rPr>
        <w:t>9</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P="007C14DF" w:rsidR="00FB3C94" w:rsidRDefault="00A14399"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
      </w:r>
      <w:r w:rsidR="00D13A01" w:rsidRPr="007F52FA">
        <w:rPr>
          <w:rFonts w:eastAsiaTheme="minorEastAsia"/>
          <w:b/>
          <w:bCs/>
          <w:color w:val="000000"/>
          <w:kern w:val="0"/>
          <w:sz w:val="24"/>
        </w:rPr>
        <w:t/>
      </w: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pPr>
        <w:spacing w:before="29" w:line="288" w:lineRule="auto"/>
        <w:ind w:firstLine="480" w:firstLineChars="200"/>
        <w:rPr>
          <w:rFonts w:eastAsiaTheme="minorEastAsia"/>
          <w:color w:val="000000"/>
          <w:sz w:val="24"/>
        </w:rPr>
      </w:pPr>
      <w:r>
        <w:rPr>
          <w:rFonts w:eastAsiaTheme="minorEastAsia"/>
          <w:color w:val="000000"/>
          <w:sz w:val="24"/>
        </w:rPr>
        <w:t xml:space="preserve">1、中国证监会准予交银施罗德境尚收益债券型证券投资基金募集注册的文件； </w:t>
      </w:r>
    </w:p>
    <w:p>
      <w:pPr>
        <w:spacing w:before="29" w:line="288" w:lineRule="auto"/>
        <w:ind w:firstLine="480" w:firstLineChars="200"/>
        <w:rPr>
          <w:rFonts w:eastAsiaTheme="minorEastAsia"/>
          <w:color w:val="000000"/>
          <w:sz w:val="24"/>
        </w:rPr>
      </w:pPr>
      <w:r>
        <w:rPr>
          <w:rFonts w:eastAsiaTheme="minorEastAsia"/>
          <w:color w:val="000000"/>
          <w:sz w:val="24"/>
        </w:rPr>
        <w:t xml:space="preserve">2、《交银施罗德境尚收益债券型证券投资基金基金合同》； </w:t>
      </w:r>
    </w:p>
    <w:p>
      <w:pPr>
        <w:spacing w:before="29" w:line="288" w:lineRule="auto"/>
        <w:ind w:firstLine="480" w:firstLineChars="200"/>
        <w:rPr>
          <w:rFonts w:eastAsiaTheme="minorEastAsia"/>
          <w:color w:val="000000"/>
          <w:sz w:val="24"/>
        </w:rPr>
      </w:pPr>
      <w:r>
        <w:rPr>
          <w:rFonts w:eastAsiaTheme="minorEastAsia"/>
          <w:color w:val="000000"/>
          <w:sz w:val="24"/>
        </w:rPr>
        <w:t xml:space="preserve">3、《交银施罗德境尚收益债券型证券投资基金招募说明书》； </w:t>
      </w:r>
    </w:p>
    <w:p>
      <w:pPr>
        <w:spacing w:before="29" w:line="288" w:lineRule="auto"/>
        <w:ind w:firstLine="480" w:firstLineChars="200"/>
        <w:rPr>
          <w:rFonts w:eastAsiaTheme="minorEastAsia"/>
          <w:color w:val="000000"/>
          <w:sz w:val="24"/>
        </w:rPr>
      </w:pPr>
      <w:r>
        <w:rPr>
          <w:rFonts w:eastAsiaTheme="minorEastAsia"/>
          <w:color w:val="000000"/>
          <w:sz w:val="24"/>
        </w:rPr>
        <w:t xml:space="preserve">4、《交银施罗德境尚收益债券型证券投资基金托管协议》； </w:t>
      </w:r>
    </w:p>
    <w:p>
      <w:pPr>
        <w:spacing w:before="29" w:line="288" w:lineRule="auto"/>
        <w:ind w:firstLine="480" w:firstLineChars="200"/>
        <w:rPr>
          <w:rFonts w:eastAsiaTheme="minorEastAsia"/>
          <w:color w:val="000000"/>
          <w:sz w:val="24"/>
        </w:rPr>
      </w:pPr>
      <w:r>
        <w:rPr>
          <w:rFonts w:eastAsiaTheme="minorEastAsia"/>
          <w:color w:val="000000"/>
          <w:sz w:val="24"/>
        </w:rPr>
        <w:t xml:space="preserve">5、关于申请募集注册交银施罗德境尚收益债券型证券投资基金的法律意见书； </w:t>
      </w:r>
    </w:p>
    <w:p>
      <w:pPr>
        <w:spacing w:before="29" w:line="288" w:lineRule="auto"/>
        <w:ind w:firstLine="480" w:firstLineChars="200"/>
        <w:rPr>
          <w:rFonts w:eastAsiaTheme="minorEastAsia"/>
          <w:color w:val="000000"/>
          <w:sz w:val="24"/>
        </w:rPr>
      </w:pPr>
      <w:r>
        <w:rPr>
          <w:rFonts w:eastAsiaTheme="minorEastAsia"/>
          <w:color w:val="000000"/>
          <w:sz w:val="24"/>
        </w:rPr>
        <w:t xml:space="preserve">6、基金管理人业务资格批件、营业执照； </w:t>
      </w:r>
    </w:p>
    <w:p>
      <w:pPr>
        <w:spacing w:before="29" w:line="288" w:lineRule="auto"/>
        <w:ind w:firstLine="480" w:firstLineChars="200"/>
        <w:rPr>
          <w:rFonts w:eastAsiaTheme="minorEastAsia"/>
          <w:color w:val="000000"/>
          <w:sz w:val="24"/>
        </w:rPr>
      </w:pPr>
      <w:r>
        <w:rPr>
          <w:rFonts w:eastAsiaTheme="minorEastAsia"/>
          <w:color w:val="000000"/>
          <w:sz w:val="24"/>
        </w:rPr>
        <w:t xml:space="preserve">7、基金托管人业务资格批件、营业执照； </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8、报告期内交银施罗德境尚收益债券型证券投资基金在指定报刊上各项公告的原稿。</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lastRenderedPageBreak/>
        <w:t>9.2</w:t>
      </w:r>
      <w:r w:rsidR="00FB3C94" w:rsidRPr="007F52FA">
        <w:rPr>
          <w:rFonts w:eastAsiaTheme="minorEastAsia"/>
          <w:b/>
          <w:bCs/>
          <w:color w:val="000000"/>
          <w:kern w:val="0"/>
          <w:sz w:val="24"/>
        </w:rPr>
        <w:t>存放地点</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备查文件存放于基金管理人的办公场所。</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FB3C94" w:rsidRPr="007F52FA">
        <w:rPr>
          <w:rFonts w:eastAsiaTheme="minorEastAsia"/>
          <w:b/>
          <w:bCs/>
          <w:color w:val="000000"/>
          <w:kern w:val="0"/>
          <w:sz w:val="24"/>
        </w:rPr>
        <w:t>查阅方式</w:t>
      </w:r>
    </w:p>
    <w:p>
      <w:pPr>
        <w:spacing w:before="29" w:line="288" w:lineRule="auto"/>
        <w:ind w:firstLine="480" w:firstLineChars="200"/>
        <w:rPr>
          <w:rFonts w:eastAsiaTheme="minorEastAsia"/>
          <w:color w:val="000000"/>
          <w:sz w:val="24"/>
        </w:rPr>
      </w:pPr>
      <w:r>
        <w:rPr>
          <w:rFonts w:eastAsiaTheme="minorEastAsia"/>
          <w:color w:val="000000"/>
          <w:sz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7C14DF" w:rsidR="009238DB"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投资者对本报告书如有疑问，可咨询本基金管理人交银施罗德基金管理有限公司。本公司客户服务中心电话：400-700-5000（免长途话费），021-61055000，电子邮件：services@jysld.com。</w:t>
      </w:r>
    </w:p>
    <w:p w:rsidP="007C14DF" w:rsidR="004D36DF" w:rsidRDefault="004D36DF" w:rsidRPr="007F52FA">
      <w:pPr>
        <w:spacing w:before="29" w:line="288" w:lineRule="auto"/>
        <w:ind w:firstLine="480" w:firstLineChars="200"/>
        <w:rPr>
          <w:rFonts w:eastAsiaTheme="minorEastAsia"/>
          <w:color w:val="000000"/>
          <w:sz w:val="24"/>
        </w:rPr>
      </w:pPr>
    </w:p>
    <w:sectPr w:rsidR="004D36DF" w:rsidRPr="007F52FA" w:rsidSect="007A5233">
      <w:footerReference r:id="rId16" w:type="even"/>
      <w:pgSz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AD1" w:rsidRDefault="00685AD1">
      <w:r>
        <w:separator/>
      </w:r>
    </w:p>
  </w:endnote>
  <w:endnote w:type="continuationSeparator" w:id="0">
    <w:p w:rsidR="00685AD1" w:rsidRDefault="0068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F7094A" w:rsidR="007F50FB" w:rsidRDefault="007F50FB" w:rsidRPr="001D0DB0">
    <w:pPr>
      <w:pStyle w:val="a6"/>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885AD9">
      <w:rPr>
        <w:noProof/>
        <w:kern w:val="0"/>
        <w:szCs w:val="21"/>
      </w:rPr>
      <w:t>19</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885AD9">
      <w:rPr>
        <w:noProof/>
        <w:kern w:val="0"/>
        <w:szCs w:val="21"/>
      </w:rPr>
      <w:t>27</w:t>
    </w:r>
    <w:r w:rsidR="0042114A">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6"/>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F50FB" w:rsidRDefault="0042114A">
    <w:pPr>
      <w:pStyle w:val="a6"/>
      <w:framePr w:hAnchor="margin" w:vAnchor="text" w:wrap="around"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R="00685AD1" w:rsidRDefault="00685AD1">
      <w:r>
        <w:separator/>
      </w:r>
    </w:p>
  </w:footnote>
  <w:footnote w:id="0" w:type="continuationSeparator">
    <w:p w:rsidR="00685AD1" w:rsidRDefault="00685AD1">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D3445F" w:rsidR="007F50FB" w:rsidRDefault="00D3445F" w:rsidRPr="00D3445F">
    <w:pPr>
      <w:spacing w:before="29" w:line="288" w:lineRule="auto"/>
      <w:jc w:val="right"/>
      <w:rPr>
        <w:rFonts w:eastAsiaTheme="minorEastAsia"/>
        <w:sz w:val="24"/>
      </w:rPr>
    </w:pPr>
    <w:r w:rsidRPr="00D3445F">
      <w:rPr>
        <w:rFonts w:eastAsiaTheme="minorEastAsia"/>
        <w:sz w:val="24"/>
      </w:rPr>
      <w:t>交银施罗德境尚收益债券型证券投资基金2020年第3季度报告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cs="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15:restartNumberingAfterBreak="0" w:abstractNumId="1">
    <w:nsid w:val="2A93165E"/>
    <w:multiLevelType w:val="hybridMultilevel"/>
    <w:tmpl w:val="8F54F77E"/>
    <w:lvl w:ilvl="0" w:tplc="8996D53A">
      <w:start w:val="1"/>
      <w:numFmt w:val="japaneseCounting"/>
      <w:lvlText w:val="（%1）"/>
      <w:lvlJc w:val="left"/>
      <w:pPr>
        <w:tabs>
          <w:tab w:pos="1200" w:val="num"/>
        </w:tabs>
        <w:ind w:hanging="720" w:left="1200"/>
      </w:pPr>
      <w:rPr>
        <w:rFonts w:hAnsi="宋体" w:hint="default"/>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2">
    <w:nsid w:val="32C43FA3"/>
    <w:multiLevelType w:val="hybridMultilevel"/>
    <w:tmpl w:val="2658615A"/>
    <w:lvl w:ilvl="0" w:tplc="04090001">
      <w:start w:val="1"/>
      <w:numFmt w:val="bullet"/>
      <w:lvlText w:val=""/>
      <w:lvlJc w:val="left"/>
      <w:pPr>
        <w:tabs>
          <w:tab w:pos="420" w:val="num"/>
        </w:tabs>
        <w:ind w:hanging="420" w:left="420"/>
      </w:pPr>
      <w:rPr>
        <w:rFonts w:ascii="Wingdings" w:hAnsi="Wingdings" w:hint="default"/>
      </w:rPr>
    </w:lvl>
    <w:lvl w:ilvl="1" w:tentative="1" w:tplc="04090003">
      <w:start w:val="1"/>
      <w:numFmt w:val="bullet"/>
      <w:lvlText w:val=""/>
      <w:lvlJc w:val="left"/>
      <w:pPr>
        <w:tabs>
          <w:tab w:pos="840" w:val="num"/>
        </w:tabs>
        <w:ind w:hanging="420" w:left="840"/>
      </w:pPr>
      <w:rPr>
        <w:rFonts w:ascii="Wingdings" w:hAnsi="Wingdings" w:hint="default"/>
      </w:rPr>
    </w:lvl>
    <w:lvl w:ilvl="2" w:tentative="1" w:tplc="04090005">
      <w:start w:val="1"/>
      <w:numFmt w:val="bullet"/>
      <w:lvlText w:val=""/>
      <w:lvlJc w:val="left"/>
      <w:pPr>
        <w:tabs>
          <w:tab w:pos="1260" w:val="num"/>
        </w:tabs>
        <w:ind w:hanging="420" w:left="1260"/>
      </w:pPr>
      <w:rPr>
        <w:rFonts w:ascii="Wingdings" w:hAnsi="Wingdings" w:hint="default"/>
      </w:rPr>
    </w:lvl>
    <w:lvl w:ilvl="3" w:tentative="1" w:tplc="04090001">
      <w:start w:val="1"/>
      <w:numFmt w:val="bullet"/>
      <w:lvlText w:val=""/>
      <w:lvlJc w:val="left"/>
      <w:pPr>
        <w:tabs>
          <w:tab w:pos="1680" w:val="num"/>
        </w:tabs>
        <w:ind w:hanging="420" w:left="1680"/>
      </w:pPr>
      <w:rPr>
        <w:rFonts w:ascii="Wingdings" w:hAnsi="Wingdings" w:hint="default"/>
      </w:rPr>
    </w:lvl>
    <w:lvl w:ilvl="4" w:tentative="1" w:tplc="04090003">
      <w:start w:val="1"/>
      <w:numFmt w:val="bullet"/>
      <w:lvlText w:val=""/>
      <w:lvlJc w:val="left"/>
      <w:pPr>
        <w:tabs>
          <w:tab w:pos="2100" w:val="num"/>
        </w:tabs>
        <w:ind w:hanging="420" w:left="2100"/>
      </w:pPr>
      <w:rPr>
        <w:rFonts w:ascii="Wingdings" w:hAnsi="Wingdings" w:hint="default"/>
      </w:rPr>
    </w:lvl>
    <w:lvl w:ilvl="5" w:tentative="1" w:tplc="04090005">
      <w:start w:val="1"/>
      <w:numFmt w:val="bullet"/>
      <w:lvlText w:val=""/>
      <w:lvlJc w:val="left"/>
      <w:pPr>
        <w:tabs>
          <w:tab w:pos="2520" w:val="num"/>
        </w:tabs>
        <w:ind w:hanging="420" w:left="2520"/>
      </w:pPr>
      <w:rPr>
        <w:rFonts w:ascii="Wingdings" w:hAnsi="Wingdings" w:hint="default"/>
      </w:rPr>
    </w:lvl>
    <w:lvl w:ilvl="6" w:tentative="1" w:tplc="04090001">
      <w:start w:val="1"/>
      <w:numFmt w:val="bullet"/>
      <w:lvlText w:val=""/>
      <w:lvlJc w:val="left"/>
      <w:pPr>
        <w:tabs>
          <w:tab w:pos="2940" w:val="num"/>
        </w:tabs>
        <w:ind w:hanging="420" w:left="2940"/>
      </w:pPr>
      <w:rPr>
        <w:rFonts w:ascii="Wingdings" w:hAnsi="Wingdings" w:hint="default"/>
      </w:rPr>
    </w:lvl>
    <w:lvl w:ilvl="7" w:tentative="1" w:tplc="04090003">
      <w:start w:val="1"/>
      <w:numFmt w:val="bullet"/>
      <w:lvlText w:val=""/>
      <w:lvlJc w:val="left"/>
      <w:pPr>
        <w:tabs>
          <w:tab w:pos="3360" w:val="num"/>
        </w:tabs>
        <w:ind w:hanging="420" w:left="3360"/>
      </w:pPr>
      <w:rPr>
        <w:rFonts w:ascii="Wingdings" w:hAnsi="Wingdings" w:hint="default"/>
      </w:rPr>
    </w:lvl>
    <w:lvl w:ilvl="8" w:tentative="1" w:tplc="04090005">
      <w:start w:val="1"/>
      <w:numFmt w:val="bullet"/>
      <w:lvlText w:val=""/>
      <w:lvlJc w:val="left"/>
      <w:pPr>
        <w:tabs>
          <w:tab w:pos="3780" w:val="num"/>
        </w:tabs>
        <w:ind w:hanging="420" w:left="3780"/>
      </w:pPr>
      <w:rPr>
        <w:rFonts w:ascii="Wingdings" w:hAnsi="Wingdings" w:hint="default"/>
      </w:rPr>
    </w:lvl>
  </w:abstractNum>
  <w:abstractNum w15:restartNumberingAfterBreak="0" w:abstractNumId="3">
    <w:nsid w:val="45342383"/>
    <w:multiLevelType w:val="multilevel"/>
    <w:tmpl w:val="0409001D"/>
    <w:styleLink w:val="5"/>
    <w:lvl w:ilvl="0">
      <w:start w:val="1"/>
      <w:numFmt w:val="decimal"/>
      <w:lvlText w:val="%1"/>
      <w:lvlJc w:val="left"/>
      <w:pPr>
        <w:tabs>
          <w:tab w:pos="425" w:val="num"/>
        </w:tabs>
        <w:ind w:hanging="425" w:left="425"/>
      </w:pPr>
    </w:lvl>
    <w:lvl w:ilvl="1">
      <w:start w:val="1"/>
      <w:numFmt w:val="decimal"/>
      <w:lvlText w:val="%1.%2"/>
      <w:lvlJc w:val="left"/>
      <w:pPr>
        <w:tabs>
          <w:tab w:pos="992" w:val="num"/>
        </w:tabs>
        <w:ind w:hanging="567" w:left="992"/>
      </w:pPr>
    </w:lvl>
    <w:lvl w:ilvl="2">
      <w:start w:val="1"/>
      <w:numFmt w:val="decimal"/>
      <w:lvlText w:val="%1.%2.%3"/>
      <w:lvlJc w:val="left"/>
      <w:pPr>
        <w:tabs>
          <w:tab w:pos="1418" w:val="num"/>
        </w:tabs>
        <w:ind w:hanging="567" w:left="1418"/>
      </w:pPr>
    </w:lvl>
    <w:lvl w:ilvl="3">
      <w:start w:val="1"/>
      <w:numFmt w:val="decimal"/>
      <w:lvlText w:val="%1.%2.%3.%4"/>
      <w:lvlJc w:val="left"/>
      <w:pPr>
        <w:tabs>
          <w:tab w:pos="1984" w:val="num"/>
        </w:tabs>
        <w:ind w:hanging="708" w:left="1984"/>
      </w:pPr>
    </w:lvl>
    <w:lvl w:ilvl="4">
      <w:start w:val="1"/>
      <w:numFmt w:val="decimal"/>
      <w:lvlText w:val="%1.%2.%3.%4.%5"/>
      <w:lvlJc w:val="left"/>
      <w:pPr>
        <w:tabs>
          <w:tab w:pos="2551" w:val="num"/>
        </w:tabs>
        <w:ind w:hanging="850" w:left="2551"/>
      </w:pPr>
    </w:lvl>
    <w:lvl w:ilvl="5">
      <w:start w:val="1"/>
      <w:numFmt w:val="decimal"/>
      <w:lvlText w:val="%1.%2.%3.%4.%5.%6"/>
      <w:lvlJc w:val="left"/>
      <w:pPr>
        <w:tabs>
          <w:tab w:pos="3260" w:val="num"/>
        </w:tabs>
        <w:ind w:hanging="1134" w:left="3260"/>
      </w:pPr>
    </w:lvl>
    <w:lvl w:ilvl="6">
      <w:start w:val="1"/>
      <w:numFmt w:val="decimal"/>
      <w:lvlText w:val="%1.%2.%3.%4.%5.%6.%7"/>
      <w:lvlJc w:val="left"/>
      <w:pPr>
        <w:tabs>
          <w:tab w:pos="3827" w:val="num"/>
        </w:tabs>
        <w:ind w:hanging="1276" w:left="3827"/>
      </w:pPr>
    </w:lvl>
    <w:lvl w:ilvl="7">
      <w:start w:val="1"/>
      <w:numFmt w:val="decimal"/>
      <w:lvlText w:val="%1.%2.%3.%4.%5.%6.%7.%8"/>
      <w:lvlJc w:val="left"/>
      <w:pPr>
        <w:tabs>
          <w:tab w:pos="4394" w:val="num"/>
        </w:tabs>
        <w:ind w:hanging="1418" w:left="4394"/>
      </w:pPr>
    </w:lvl>
    <w:lvl w:ilvl="8">
      <w:start w:val="1"/>
      <w:numFmt w:val="decimal"/>
      <w:lvlText w:val="%1.%2.%3.%4.%5.%6.%7.%8.%9"/>
      <w:lvlJc w:val="left"/>
      <w:pPr>
        <w:tabs>
          <w:tab w:pos="5102" w:val="num"/>
        </w:tabs>
        <w:ind w:hanging="1700" w:left="5102"/>
      </w:pPr>
    </w:lvl>
  </w:abstractNum>
  <w:abstractNum w15:restartNumberingAfterBreak="0" w:abstractNumId="4">
    <w:nsid w:val="57E8240C"/>
    <w:multiLevelType w:val="hybridMultilevel"/>
    <w:tmpl w:val="300A7112"/>
    <w:lvl w:ilvl="0" w:tplc="3782FDB8">
      <w:start w:val="1"/>
      <w:numFmt w:val="decimal"/>
      <w:lvlText w:val="（%1）"/>
      <w:lvlJc w:val="left"/>
      <w:pPr>
        <w:tabs>
          <w:tab w:pos="1200" w:val="num"/>
        </w:tabs>
        <w:ind w:hanging="720" w:left="1200"/>
      </w:pPr>
      <w:rPr>
        <w:rFonts w:hint="eastAsia"/>
        <w:sz w:val="24"/>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5">
    <w:nsid w:val="64C22724"/>
    <w:multiLevelType w:val="multilevel"/>
    <w:tmpl w:val="0409001D"/>
    <w:numStyleLink w:val="5"/>
  </w:abstractNum>
  <w:abstractNum w15:restartNumberingAfterBreak="0" w:abstractNumId="6">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pos="992" w:val="num"/>
          </w:tabs>
          <w:ind w:hanging="567" w:left="992"/>
        </w:pPr>
      </w:lvl>
    </w:lvlOverride>
    <w:lvlOverride w:ilvl="2">
      <w:lvl w:ilvl="2">
        <w:start w:val="1"/>
        <w:numFmt w:val="decimal"/>
        <w:lvlText w:val="%1.%2.%3"/>
        <w:lvlJc w:val="left"/>
        <w:pPr>
          <w:tabs>
            <w:tab w:pos="1418" w:val="num"/>
          </w:tabs>
          <w:ind w:hanging="567" w:left="1418"/>
        </w:pPr>
      </w:lvl>
    </w:lvlOverride>
  </w:num>
  <w:num w:numId="8">
    <w:abstractNumId w:val="3"/>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printPostScriptOverText/>
  <w:bordersDoNotSurroundHeader/>
  <w:bordersDoNotSurroundFooter/>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5115"/>
    <w:rsid w:val="00086398"/>
    <w:rsid w:val="000871DB"/>
    <w:rsid w:val="000922C5"/>
    <w:rsid w:val="0009314F"/>
    <w:rsid w:val="00093A23"/>
    <w:rsid w:val="0009582E"/>
    <w:rsid w:val="000A08FC"/>
    <w:rsid w:val="000A15F1"/>
    <w:rsid w:val="000A1617"/>
    <w:rsid w:val="000A2988"/>
    <w:rsid w:val="000A2E22"/>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5632"/>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3F6E"/>
    <w:rsid w:val="001257C7"/>
    <w:rsid w:val="00125E66"/>
    <w:rsid w:val="00126AC0"/>
    <w:rsid w:val="00126C2B"/>
    <w:rsid w:val="00127A01"/>
    <w:rsid w:val="00130395"/>
    <w:rsid w:val="00130D77"/>
    <w:rsid w:val="001315E1"/>
    <w:rsid w:val="00131EF6"/>
    <w:rsid w:val="0013251D"/>
    <w:rsid w:val="0013404A"/>
    <w:rsid w:val="00134734"/>
    <w:rsid w:val="00134CBE"/>
    <w:rsid w:val="00140C30"/>
    <w:rsid w:val="00142C74"/>
    <w:rsid w:val="00143E9C"/>
    <w:rsid w:val="00145E5B"/>
    <w:rsid w:val="001461A4"/>
    <w:rsid w:val="00147319"/>
    <w:rsid w:val="00147551"/>
    <w:rsid w:val="0015012F"/>
    <w:rsid w:val="00150C2E"/>
    <w:rsid w:val="0015170D"/>
    <w:rsid w:val="001517AE"/>
    <w:rsid w:val="00154FA5"/>
    <w:rsid w:val="0015531A"/>
    <w:rsid w:val="00156508"/>
    <w:rsid w:val="00156F9D"/>
    <w:rsid w:val="00157535"/>
    <w:rsid w:val="001602E3"/>
    <w:rsid w:val="00160539"/>
    <w:rsid w:val="00161548"/>
    <w:rsid w:val="00163D88"/>
    <w:rsid w:val="0017176A"/>
    <w:rsid w:val="00172B54"/>
    <w:rsid w:val="00175E3A"/>
    <w:rsid w:val="00176874"/>
    <w:rsid w:val="0017725A"/>
    <w:rsid w:val="0018052A"/>
    <w:rsid w:val="00180952"/>
    <w:rsid w:val="0018191A"/>
    <w:rsid w:val="00183C5B"/>
    <w:rsid w:val="001843E2"/>
    <w:rsid w:val="00185B68"/>
    <w:rsid w:val="00186199"/>
    <w:rsid w:val="00187122"/>
    <w:rsid w:val="001874E3"/>
    <w:rsid w:val="001936D7"/>
    <w:rsid w:val="00194155"/>
    <w:rsid w:val="001949CA"/>
    <w:rsid w:val="00195AFC"/>
    <w:rsid w:val="001A0417"/>
    <w:rsid w:val="001A0B71"/>
    <w:rsid w:val="001A1389"/>
    <w:rsid w:val="001A3016"/>
    <w:rsid w:val="001A3914"/>
    <w:rsid w:val="001A5D39"/>
    <w:rsid w:val="001A5E45"/>
    <w:rsid w:val="001A5FA6"/>
    <w:rsid w:val="001B01D2"/>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029"/>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5552"/>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0A5C"/>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77C6E"/>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324E6"/>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1E42"/>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2D89"/>
    <w:rsid w:val="005D4CBA"/>
    <w:rsid w:val="005E01A3"/>
    <w:rsid w:val="005E0354"/>
    <w:rsid w:val="005E6C62"/>
    <w:rsid w:val="005E6F13"/>
    <w:rsid w:val="005E726C"/>
    <w:rsid w:val="005F293E"/>
    <w:rsid w:val="005F43B9"/>
    <w:rsid w:val="005F458B"/>
    <w:rsid w:val="005F4A6A"/>
    <w:rsid w:val="005F4E28"/>
    <w:rsid w:val="005F56BA"/>
    <w:rsid w:val="005F69E7"/>
    <w:rsid w:val="0060008E"/>
    <w:rsid w:val="00601F15"/>
    <w:rsid w:val="00602321"/>
    <w:rsid w:val="006033E3"/>
    <w:rsid w:val="00606B29"/>
    <w:rsid w:val="0060758A"/>
    <w:rsid w:val="00607D0E"/>
    <w:rsid w:val="00607D16"/>
    <w:rsid w:val="006101F5"/>
    <w:rsid w:val="00610880"/>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AD1"/>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0963"/>
    <w:rsid w:val="006A120B"/>
    <w:rsid w:val="006A4828"/>
    <w:rsid w:val="006A5FE0"/>
    <w:rsid w:val="006A6D35"/>
    <w:rsid w:val="006A7C09"/>
    <w:rsid w:val="006B046C"/>
    <w:rsid w:val="006B252F"/>
    <w:rsid w:val="006B25AD"/>
    <w:rsid w:val="006B2CE8"/>
    <w:rsid w:val="006B32A4"/>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059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20BF"/>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5AD9"/>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4965"/>
    <w:rsid w:val="008F61C4"/>
    <w:rsid w:val="008F6228"/>
    <w:rsid w:val="008F7763"/>
    <w:rsid w:val="009007CB"/>
    <w:rsid w:val="009009DC"/>
    <w:rsid w:val="009010F0"/>
    <w:rsid w:val="00901162"/>
    <w:rsid w:val="00901A22"/>
    <w:rsid w:val="00901D46"/>
    <w:rsid w:val="009028E2"/>
    <w:rsid w:val="00903692"/>
    <w:rsid w:val="00904E07"/>
    <w:rsid w:val="009050AB"/>
    <w:rsid w:val="00910F55"/>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5C1"/>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44D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0A2B"/>
    <w:rsid w:val="00BC1A9B"/>
    <w:rsid w:val="00BC2A22"/>
    <w:rsid w:val="00BC4986"/>
    <w:rsid w:val="00BC5D75"/>
    <w:rsid w:val="00BC5E2E"/>
    <w:rsid w:val="00BC6379"/>
    <w:rsid w:val="00BC7608"/>
    <w:rsid w:val="00BC7EEF"/>
    <w:rsid w:val="00BD0B9C"/>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5839"/>
    <w:rsid w:val="00C05F8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577"/>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3F08"/>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247"/>
    <w:rsid w:val="00D20364"/>
    <w:rsid w:val="00D2130C"/>
    <w:rsid w:val="00D21CE9"/>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87429"/>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11B9"/>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87EDC"/>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0794"/>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martTagType w:name="chsdate" w:namespaceuri="urn:schemas-microsoft-com:office:smarttags"/>
  <w:shapeDefaults>
    <o:shapedefaults spidmax="2049" v:ext="edit"/>
    <o:shapelayout v:ext="edit">
      <o:idmap data="1" v:ext="edit"/>
    </o:shapelayout>
  </w:shapeDefaults>
  <w:decimalSymbol w:val="."/>
  <w:listSeparator w:val=","/>
  <w15:docId w15:val="{1E5385F9-CBC7-4839-BB43-893C032A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宋体" w:hAnsi="Times New Roman"/>
        <w:lang w:bidi="ar-SA" w:eastAsia="zh-CN" w:val="en-US"/>
      </w:rPr>
    </w:rPrDefault>
    <w:pPrDefault/>
  </w:docDefaults>
  <w:latentStyles w:count="371" w:defLockedState="0" w:defQFormat="0" w:defSemiHidden="0" w:defUIPriority="0" w:defUnhideWhenUsed="0">
    <w:lsdException w:name="Normal" w:qFormat="1"/>
    <w:lsdException w:name="heading 1" w:qFormat="1" w:uiPriority="99"/>
    <w:lsdException w:name="heading 2" w:qFormat="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6A4828"/>
    <w:pPr>
      <w:widowControl w:val="0"/>
      <w:jc w:val="both"/>
    </w:pPr>
    <w:rPr>
      <w:kern w:val="2"/>
      <w:sz w:val="21"/>
      <w:szCs w:val="24"/>
    </w:rPr>
  </w:style>
  <w:style w:styleId="1" w:type="paragraph">
    <w:name w:val="heading 1"/>
    <w:basedOn w:val="a"/>
    <w:next w:val="a"/>
    <w:link w:val="1Char"/>
    <w:uiPriority w:val="99"/>
    <w:qFormat/>
    <w:rsid w:val="00180952"/>
    <w:pPr>
      <w:keepNext/>
      <w:keepLines/>
      <w:spacing w:after="330" w:before="340" w:line="578" w:lineRule="auto"/>
      <w:outlineLvl w:val="0"/>
    </w:pPr>
    <w:rPr>
      <w:b/>
      <w:bCs/>
      <w:kern w:val="44"/>
      <w:sz w:val="44"/>
      <w:szCs w:val="44"/>
    </w:rPr>
  </w:style>
  <w:style w:styleId="2" w:type="paragraph">
    <w:name w:val="heading 2"/>
    <w:basedOn w:val="a"/>
    <w:next w:val="a0"/>
    <w:qFormat/>
    <w:rsid w:val="006A4828"/>
    <w:pPr>
      <w:keepNext/>
      <w:keepLines/>
      <w:spacing w:after="260" w:before="260" w:line="360" w:lineRule="auto"/>
      <w:outlineLvl w:val="1"/>
    </w:pPr>
    <w:rPr>
      <w:rFonts w:ascii="Arial" w:cs="Arial" w:hAnsi="Arial"/>
      <w:b/>
      <w:bCs/>
      <w:sz w:val="24"/>
      <w:szCs w:val="28"/>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uiPriority w:val="99"/>
    <w:rsid w:val="006A4828"/>
    <w:pPr>
      <w:ind w:firstLine="420" w:firstLineChars="200"/>
    </w:pPr>
  </w:style>
  <w:style w:styleId="a4" w:type="paragraph">
    <w:name w:val="Body Text Indent"/>
    <w:basedOn w:val="a"/>
    <w:rsid w:val="006A4828"/>
    <w:pPr>
      <w:widowControl/>
      <w:spacing w:after="100" w:afterAutospacing="1" w:before="100" w:beforeAutospacing="1"/>
      <w:jc w:val="left"/>
    </w:pPr>
    <w:rPr>
      <w:rFonts w:ascii="Arial Unicode MS" w:cs="Arial Unicode MS" w:eastAsia="Arial Unicode MS" w:hAnsi="Arial Unicode MS"/>
      <w:kern w:val="0"/>
      <w:sz w:val="24"/>
    </w:rPr>
  </w:style>
  <w:style w:styleId="a5" w:type="paragraph">
    <w:name w:val="Plain Text"/>
    <w:basedOn w:val="a"/>
    <w:link w:val="Char"/>
    <w:uiPriority w:val="99"/>
    <w:rsid w:val="006A4828"/>
    <w:rPr>
      <w:rFonts w:ascii="宋体" w:hAnsi="Courier New"/>
      <w:szCs w:val="21"/>
    </w:rPr>
  </w:style>
  <w:style w:styleId="20" w:type="paragraph">
    <w:name w:val="Body Text Indent 2"/>
    <w:basedOn w:val="a"/>
    <w:rsid w:val="006A4828"/>
    <w:pPr>
      <w:spacing w:line="560" w:lineRule="exact"/>
      <w:ind w:firstLine="480" w:firstLineChars="200"/>
    </w:pPr>
    <w:rPr>
      <w:rFonts w:ascii="宋体" w:hAnsi="宋体"/>
      <w:color w:val="FF0000"/>
      <w:sz w:val="24"/>
    </w:rPr>
  </w:style>
  <w:style w:styleId="a6" w:type="paragraph">
    <w:name w:val="footer"/>
    <w:basedOn w:val="a"/>
    <w:rsid w:val="006A4828"/>
    <w:pPr>
      <w:tabs>
        <w:tab w:pos="4153" w:val="center"/>
        <w:tab w:pos="8306" w:val="right"/>
      </w:tabs>
      <w:snapToGrid w:val="0"/>
      <w:jc w:val="left"/>
    </w:pPr>
    <w:rPr>
      <w:sz w:val="18"/>
      <w:szCs w:val="18"/>
    </w:rPr>
  </w:style>
  <w:style w:styleId="a7" w:type="character">
    <w:name w:val="page number"/>
    <w:basedOn w:val="a1"/>
    <w:rsid w:val="006A4828"/>
  </w:style>
  <w:style w:styleId="a8" w:type="character">
    <w:name w:val="Hyperlink"/>
    <w:basedOn w:val="a1"/>
    <w:rsid w:val="006A4828"/>
    <w:rPr>
      <w:color w:val="0000FF"/>
      <w:u w:val="single"/>
    </w:rPr>
  </w:style>
  <w:style w:styleId="3" w:type="paragraph">
    <w:name w:val="Body Text Indent 3"/>
    <w:basedOn w:val="a"/>
    <w:rsid w:val="006A4828"/>
    <w:pPr>
      <w:spacing w:line="560" w:lineRule="exact"/>
      <w:ind w:firstLine="420" w:firstLineChars="200"/>
    </w:pPr>
    <w:rPr>
      <w:rFonts w:ascii="Arial" w:cs="Arial" w:hAnsi="Arial"/>
      <w:color w:val="FF0000"/>
    </w:rPr>
  </w:style>
  <w:style w:styleId="a9" w:type="paragraph">
    <w:name w:val="header"/>
    <w:basedOn w:val="a"/>
    <w:link w:val="Char0"/>
    <w:uiPriority w:val="99"/>
    <w:rsid w:val="006A4828"/>
    <w:pPr>
      <w:pBdr>
        <w:bottom w:color="auto" w:space="1" w:sz="6" w:val="single"/>
      </w:pBdr>
      <w:tabs>
        <w:tab w:pos="4153" w:val="center"/>
        <w:tab w:pos="8306" w:val="right"/>
      </w:tabs>
      <w:snapToGrid w:val="0"/>
      <w:jc w:val="center"/>
    </w:pPr>
    <w:rPr>
      <w:sz w:val="18"/>
      <w:szCs w:val="18"/>
    </w:rPr>
  </w:style>
  <w:style w:customStyle="1" w:styleId="10" w:type="character">
    <w:name w:val="已访问的超链接1"/>
    <w:basedOn w:val="a1"/>
    <w:rsid w:val="006A4828"/>
    <w:rPr>
      <w:color w:val="800080"/>
      <w:u w:val="single"/>
    </w:rPr>
  </w:style>
  <w:style w:styleId="aa" w:type="paragraph">
    <w:name w:val="List"/>
    <w:basedOn w:val="ab"/>
    <w:rsid w:val="006A4828"/>
    <w:pPr>
      <w:spacing w:after="220" w:line="220" w:lineRule="atLeast"/>
      <w:ind w:hanging="360" w:left="1440"/>
    </w:pPr>
    <w:rPr>
      <w:szCs w:val="20"/>
    </w:rPr>
  </w:style>
  <w:style w:styleId="ab" w:type="paragraph">
    <w:name w:val="Body Text"/>
    <w:basedOn w:val="a"/>
    <w:rsid w:val="006A4828"/>
    <w:pPr>
      <w:spacing w:after="120"/>
    </w:pPr>
  </w:style>
  <w:style w:styleId="ac" w:type="paragraph">
    <w:name w:val="Date"/>
    <w:basedOn w:val="a"/>
    <w:next w:val="a"/>
    <w:link w:val="Char1"/>
    <w:rsid w:val="006A4828"/>
    <w:rPr>
      <w:sz w:val="24"/>
      <w:szCs w:val="20"/>
    </w:rPr>
  </w:style>
  <w:style w:customStyle="1" w:styleId="c1" w:type="character">
    <w:name w:val="c1"/>
    <w:basedOn w:val="a1"/>
    <w:rsid w:val="006A4828"/>
    <w:rPr>
      <w:color w:val="000000"/>
      <w:sz w:val="18"/>
      <w:szCs w:val="18"/>
    </w:rPr>
  </w:style>
  <w:style w:styleId="11" w:type="paragraph">
    <w:name w:val="index 1"/>
    <w:basedOn w:val="a"/>
    <w:next w:val="a"/>
    <w:autoRedefine/>
    <w:semiHidden/>
    <w:rsid w:val="006A4828"/>
    <w:pPr>
      <w:jc w:val="right"/>
    </w:pPr>
    <w:rPr>
      <w:color w:val="008000"/>
    </w:rPr>
  </w:style>
  <w:style w:customStyle="1" w:styleId="font5" w:type="paragraph">
    <w:name w:val="font5"/>
    <w:basedOn w:val="a"/>
    <w:rsid w:val="006A4828"/>
    <w:pPr>
      <w:widowControl/>
      <w:spacing w:after="100" w:afterAutospacing="1" w:before="100" w:beforeAutospacing="1"/>
      <w:jc w:val="left"/>
    </w:pPr>
    <w:rPr>
      <w:rFonts w:ascii="宋体" w:cs="Arial Unicode MS" w:hAnsi="宋体" w:hint="eastAsia"/>
      <w:kern w:val="0"/>
      <w:sz w:val="18"/>
      <w:szCs w:val="18"/>
    </w:rPr>
  </w:style>
  <w:style w:customStyle="1" w:styleId="xl24" w:type="paragraph">
    <w:name w:val="xl24"/>
    <w:basedOn w:val="a"/>
    <w:rsid w:val="006A4828"/>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rPr>
  </w:style>
  <w:style w:customStyle="1" w:styleId="xl26" w:type="paragraph">
    <w:name w:val="xl2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7" w:type="paragraph">
    <w:name w:val="xl2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9" w:type="paragraph">
    <w:name w:val="xl29"/>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0" w:type="paragraph">
    <w:name w:val="xl30"/>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1" w:type="paragraph">
    <w:name w:val="xl31"/>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d" w:type="paragraph">
    <w:name w:val="Balloon Text"/>
    <w:basedOn w:val="a"/>
    <w:semiHidden/>
    <w:rsid w:val="006A4828"/>
    <w:rPr>
      <w:sz w:val="18"/>
      <w:szCs w:val="18"/>
    </w:rPr>
  </w:style>
  <w:style w:styleId="ae" w:type="character">
    <w:name w:val="annotation reference"/>
    <w:basedOn w:val="a1"/>
    <w:uiPriority w:val="99"/>
    <w:semiHidden/>
    <w:rsid w:val="006A4828"/>
    <w:rPr>
      <w:sz w:val="21"/>
      <w:szCs w:val="21"/>
    </w:rPr>
  </w:style>
  <w:style w:styleId="af" w:type="paragraph">
    <w:name w:val="annotation text"/>
    <w:basedOn w:val="a"/>
    <w:link w:val="Char2"/>
    <w:uiPriority w:val="99"/>
    <w:semiHidden/>
    <w:rsid w:val="006A4828"/>
    <w:pPr>
      <w:jc w:val="left"/>
    </w:pPr>
  </w:style>
  <w:style w:styleId="af0" w:type="paragraph">
    <w:name w:val="annotation subject"/>
    <w:basedOn w:val="af"/>
    <w:next w:val="af"/>
    <w:semiHidden/>
    <w:rsid w:val="006A4828"/>
    <w:rPr>
      <w:b/>
      <w:bCs/>
    </w:rPr>
  </w:style>
  <w:style w:customStyle="1" w:styleId="Char3" w:type="paragraph">
    <w:name w:val="Char"/>
    <w:basedOn w:val="a"/>
    <w:rsid w:val="006A4828"/>
  </w:style>
  <w:style w:styleId="af1" w:type="paragraph">
    <w:name w:val="Document Map"/>
    <w:basedOn w:val="a"/>
    <w:semiHidden/>
    <w:rsid w:val="000A549A"/>
    <w:pPr>
      <w:shd w:color="auto" w:fill="000080" w:val="clear"/>
    </w:pPr>
  </w:style>
  <w:style w:styleId="af2" w:type="table">
    <w:name w:val="Table Grid"/>
    <w:basedOn w:val="a2"/>
    <w:qFormat/>
    <w:rsid w:val="009A31AF"/>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3" w:type="paragraph">
    <w:name w:val="footnote text"/>
    <w:basedOn w:val="a"/>
    <w:link w:val="Char4"/>
    <w:rsid w:val="000B251E"/>
    <w:pPr>
      <w:snapToGrid w:val="0"/>
      <w:jc w:val="left"/>
    </w:pPr>
    <w:rPr>
      <w:sz w:val="18"/>
      <w:szCs w:val="18"/>
    </w:rPr>
  </w:style>
  <w:style w:styleId="af4" w:type="character">
    <w:name w:val="footnote reference"/>
    <w:basedOn w:val="a1"/>
    <w:rsid w:val="000B251E"/>
    <w:rPr>
      <w:vertAlign w:val="superscript"/>
    </w:rPr>
  </w:style>
  <w:style w:styleId="af5" w:type="paragraph">
    <w:name w:val="Normal (Web)"/>
    <w:basedOn w:val="a"/>
    <w:rsid w:val="00B25807"/>
    <w:pPr>
      <w:widowControl/>
      <w:spacing w:after="100" w:afterAutospacing="1" w:before="100" w:beforeAutospacing="1"/>
      <w:jc w:val="left"/>
    </w:pPr>
    <w:rPr>
      <w:rFonts w:ascii="宋体" w:hAnsi="宋体"/>
      <w:kern w:val="0"/>
      <w:sz w:val="24"/>
    </w:rPr>
  </w:style>
  <w:style w:customStyle="1" w:styleId="Char5" w:type="paragraph">
    <w:name w:val="Char"/>
    <w:basedOn w:val="a"/>
    <w:rsid w:val="00D97213"/>
  </w:style>
  <w:style w:customStyle="1" w:styleId="5" w:type="numbering">
    <w:name w:val="样式5"/>
    <w:rsid w:val="00952A72"/>
    <w:pPr>
      <w:numPr>
        <w:numId w:val="8"/>
      </w:numPr>
    </w:pPr>
  </w:style>
  <w:style w:customStyle="1" w:styleId="t1" w:type="character">
    <w:name w:val="t1"/>
    <w:basedOn w:val="a1"/>
    <w:rsid w:val="002D2A00"/>
    <w:rPr>
      <w:color w:val="990000"/>
    </w:rPr>
  </w:style>
  <w:style w:customStyle="1" w:styleId="Char" w:type="character">
    <w:name w:val="纯文本 Char"/>
    <w:basedOn w:val="a1"/>
    <w:link w:val="a5"/>
    <w:uiPriority w:val="99"/>
    <w:rsid w:val="009A045B"/>
    <w:rPr>
      <w:rFonts w:ascii="宋体" w:hAnsi="Courier New"/>
      <w:kern w:val="2"/>
      <w:sz w:val="21"/>
      <w:szCs w:val="21"/>
    </w:rPr>
  </w:style>
  <w:style w:customStyle="1" w:styleId="Char4" w:type="character">
    <w:name w:val="脚注文本 Char"/>
    <w:basedOn w:val="a1"/>
    <w:link w:val="af3"/>
    <w:rsid w:val="00CB481C"/>
    <w:rPr>
      <w:kern w:val="2"/>
      <w:sz w:val="18"/>
      <w:szCs w:val="18"/>
    </w:rPr>
  </w:style>
  <w:style w:customStyle="1" w:styleId="Default" w:type="paragraph">
    <w:name w:val="Default"/>
    <w:rsid w:val="00CB481C"/>
    <w:pPr>
      <w:widowControl w:val="0"/>
      <w:autoSpaceDE w:val="0"/>
      <w:autoSpaceDN w:val="0"/>
      <w:adjustRightInd w:val="0"/>
    </w:pPr>
    <w:rPr>
      <w:rFonts w:ascii="FangSong" w:cs="FangSong" w:hAnsi="FangSong"/>
      <w:color w:val="000000"/>
      <w:sz w:val="24"/>
      <w:szCs w:val="24"/>
    </w:rPr>
  </w:style>
  <w:style w:customStyle="1" w:styleId="Char0" w:type="character">
    <w:name w:val="页眉 Char"/>
    <w:basedOn w:val="a1"/>
    <w:link w:val="a9"/>
    <w:uiPriority w:val="99"/>
    <w:rsid w:val="001207F2"/>
    <w:rPr>
      <w:kern w:val="2"/>
      <w:sz w:val="18"/>
      <w:szCs w:val="18"/>
    </w:rPr>
  </w:style>
  <w:style w:customStyle="1" w:styleId="1Char" w:type="character">
    <w:name w:val="标题 1 Char"/>
    <w:basedOn w:val="a1"/>
    <w:link w:val="1"/>
    <w:uiPriority w:val="99"/>
    <w:rsid w:val="00180952"/>
    <w:rPr>
      <w:b/>
      <w:bCs/>
      <w:kern w:val="44"/>
      <w:sz w:val="44"/>
      <w:szCs w:val="44"/>
    </w:rPr>
  </w:style>
  <w:style w:customStyle="1" w:styleId="Char1" w:type="character">
    <w:name w:val="日期 Char"/>
    <w:basedOn w:val="a1"/>
    <w:link w:val="ac"/>
    <w:rsid w:val="00D66685"/>
    <w:rPr>
      <w:kern w:val="2"/>
      <w:sz w:val="24"/>
    </w:rPr>
  </w:style>
  <w:style w:styleId="af6" w:type="character">
    <w:name w:val="Strong"/>
    <w:basedOn w:val="a1"/>
    <w:uiPriority w:val="22"/>
    <w:qFormat/>
    <w:rsid w:val="00C02900"/>
    <w:rPr>
      <w:b/>
      <w:bCs/>
    </w:rPr>
  </w:style>
  <w:style w:customStyle="1" w:styleId="Char2" w:type="character">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media/image2.jpeg" Type="http://schemas.openxmlformats.org/officeDocument/2006/relationships/image"/>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Users/Administrator/Desktop/abc&#23395;&#25253;.dot" TargetMode="External" Type="http://schemas.openxmlformats.org/officeDocument/2006/relationships/attachedTemplat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82FB8-C167-4963-8B27-9929FDC0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254</TotalTime>
  <Pages>27</Pages>
  <Words>4295</Words>
  <Characters>24488</Characters>
  <Application>Microsoft Office Word</Application>
  <DocSecurity>0</DocSecurity>
  <Lines>204</Lines>
  <Paragraphs>57</Paragraphs>
  <ScaleCrop>false</ScaleCrop>
  <Company>TRT. Ltd. Co.</Company>
  <LinksUpToDate>false</LinksUpToDate>
  <CharactersWithSpaces>28726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2014-01-17T06:19:00Z</dcterms:created>
  <dc:creator>bonnieliu</dc:creator>
  <cp:lastModifiedBy>业务系统</cp:lastModifiedBy>
  <cp:lastPrinted>2007-07-19T00:46:00Z</cp:lastPrinted>
  <dcterms:modified xsi:type="dcterms:W3CDTF">2020-03-05T08:23:00Z</dcterms:modified>
  <cp:revision>404</cp:revision>
</cp:coreProperties>
</file>