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2,698,235,394.32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1,012,788,668.17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969,747,068.74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0.3422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8,820,144,422.71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10.07%</w:t>
            </w:r>
          </w:p>
        </w:tc>
        <w:tc>
          <w:tcPr>
            <w:vAlign w:val="center"/>
          </w:tcPr>
          <w:p>
            <w:pPr>
              <w:jc w:val="center"/>
            </w:pPr>
            <w:r>
              <w:rPr>
                <w:color w:val="000000"/>
                <w:sz w:val="24"/>
                <w:szCs w:val="24"/>
              </w:rPr>
              <w:t>1.42%</w:t>
            </w:r>
          </w:p>
        </w:tc>
        <w:tc>
          <w:tcPr>
            <w:vAlign w:val="center"/>
          </w:tcPr>
          <w:p>
            <w:pPr>
              <w:jc w:val="center"/>
            </w:pPr>
            <w:r>
              <w:rPr>
                <w:color w:val="000000"/>
                <w:sz w:val="24"/>
                <w:szCs w:val="24"/>
              </w:rPr>
              <w:t>7.56%</w:t>
            </w:r>
          </w:p>
        </w:tc>
        <w:tc>
          <w:tcPr>
            <w:vAlign w:val="center"/>
          </w:tcPr>
          <w:p>
            <w:pPr>
              <w:jc w:val="center"/>
            </w:pPr>
            <w:r>
              <w:rPr>
                <w:color w:val="000000"/>
                <w:sz w:val="24"/>
                <w:szCs w:val="24"/>
              </w:rPr>
              <w:t>1.21%</w:t>
            </w:r>
          </w:p>
        </w:tc>
        <w:tc>
          <w:tcPr>
            <w:vAlign w:val="center"/>
          </w:tcPr>
          <w:p>
            <w:pPr>
              <w:jc w:val="center"/>
            </w:pPr>
            <w:r>
              <w:rPr>
                <w:color w:val="000000"/>
                <w:sz w:val="24"/>
                <w:szCs w:val="24"/>
              </w:rPr>
              <w:t>2.51%</w:t>
            </w:r>
          </w:p>
        </w:tc>
        <w:tc>
          <w:tcPr>
            <w:vAlign w:val="center"/>
          </w:tcPr>
          <w:p>
            <w:pPr>
              <w:jc w:val="center"/>
            </w:pPr>
            <w:r>
              <w:rPr>
                <w:color w:val="000000"/>
                <w:sz w:val="24"/>
                <w:szCs w:val="24"/>
              </w:rPr>
              <w:t>0.21%</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24.91%</w:t>
            </w:r>
          </w:p>
        </w:tc>
        <w:tc>
          <w:tcPr>
            <w:vAlign w:val="center"/>
          </w:tcPr>
          <w:p>
            <w:pPr>
              <w:jc w:val="center"/>
            </w:pPr>
            <w:r>
              <w:rPr>
                <w:color w:val="000000"/>
                <w:sz w:val="24"/>
                <w:szCs w:val="24"/>
              </w:rPr>
              <w:t>1.12%</w:t>
            </w:r>
          </w:p>
        </w:tc>
        <w:tc>
          <w:tcPr>
            <w:vAlign w:val="center"/>
          </w:tcPr>
          <w:p>
            <w:pPr>
              <w:jc w:val="center"/>
            </w:pPr>
            <w:r>
              <w:rPr>
                <w:color w:val="000000"/>
                <w:sz w:val="24"/>
                <w:szCs w:val="24"/>
              </w:rPr>
              <w:t>17.83%</w:t>
            </w:r>
          </w:p>
        </w:tc>
        <w:tc>
          <w:tcPr>
            <w:vAlign w:val="center"/>
          </w:tcPr>
          <w:p>
            <w:pPr>
              <w:jc w:val="center"/>
            </w:pPr>
            <w:r>
              <w:rPr>
                <w:color w:val="000000"/>
                <w:sz w:val="24"/>
                <w:szCs w:val="24"/>
              </w:rPr>
              <w:t>0.99%</w:t>
            </w:r>
          </w:p>
        </w:tc>
        <w:tc>
          <w:tcPr>
            <w:vAlign w:val="center"/>
          </w:tcPr>
          <w:p>
            <w:pPr>
              <w:jc w:val="center"/>
            </w:pPr>
            <w:r>
              <w:rPr>
                <w:color w:val="000000"/>
                <w:sz w:val="24"/>
                <w:szCs w:val="24"/>
              </w:rPr>
              <w:t>7.08%</w:t>
            </w:r>
          </w:p>
        </w:tc>
        <w:tc>
          <w:tcPr>
            <w:vAlign w:val="center"/>
          </w:tcPr>
          <w:p>
            <w:pPr>
              <w:jc w:val="center"/>
            </w:pPr>
            <w:r>
              <w:rPr>
                <w:color w:val="000000"/>
                <w:sz w:val="24"/>
                <w:szCs w:val="24"/>
              </w:rPr>
              <w:t>0.13%</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37.87%</w:t>
            </w:r>
          </w:p>
        </w:tc>
        <w:tc>
          <w:tcPr>
            <w:vAlign w:val="center"/>
          </w:tcPr>
          <w:p>
            <w:pPr>
              <w:jc w:val="center"/>
            </w:pPr>
            <w:r>
              <w:rPr>
                <w:color w:val="000000"/>
                <w:sz w:val="24"/>
                <w:szCs w:val="24"/>
              </w:rPr>
              <w:t>1.21%</w:t>
            </w:r>
          </w:p>
        </w:tc>
        <w:tc>
          <w:tcPr>
            <w:vAlign w:val="center"/>
          </w:tcPr>
          <w:p>
            <w:pPr>
              <w:jc w:val="center"/>
            </w:pPr>
            <w:r>
              <w:rPr>
                <w:color w:val="000000"/>
                <w:sz w:val="24"/>
                <w:szCs w:val="24"/>
              </w:rPr>
              <w:t>16.23%</w:t>
            </w:r>
          </w:p>
        </w:tc>
        <w:tc>
          <w:tcPr>
            <w:vAlign w:val="center"/>
          </w:tcPr>
          <w:p>
            <w:pPr>
              <w:jc w:val="center"/>
            </w:pPr>
            <w:r>
              <w:rPr>
                <w:color w:val="000000"/>
                <w:sz w:val="24"/>
                <w:szCs w:val="24"/>
              </w:rPr>
              <w:t>1.04%</w:t>
            </w:r>
          </w:p>
        </w:tc>
        <w:tc>
          <w:tcPr>
            <w:vAlign w:val="center"/>
          </w:tcPr>
          <w:p>
            <w:pPr>
              <w:jc w:val="center"/>
            </w:pPr>
            <w:r>
              <w:rPr>
                <w:color w:val="000000"/>
                <w:sz w:val="24"/>
                <w:szCs w:val="24"/>
              </w:rPr>
              <w:t>21.64%</w:t>
            </w:r>
          </w:p>
        </w:tc>
        <w:tc>
          <w:tcPr>
            <w:vAlign w:val="center"/>
          </w:tcPr>
          <w:p>
            <w:pPr>
              <w:jc w:val="center"/>
            </w:pPr>
            <w:r>
              <w:rPr>
                <w:color w:val="000000"/>
                <w:sz w:val="24"/>
                <w:szCs w:val="24"/>
              </w:rPr>
              <w:t>0.17%</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97.25%</w:t>
            </w:r>
          </w:p>
        </w:tc>
        <w:tc>
          <w:tcPr>
            <w:vAlign w:val="center"/>
          </w:tcPr>
          <w:p>
            <w:pPr>
              <w:jc w:val="center"/>
            </w:pPr>
            <w:r>
              <w:rPr>
                <w:color w:val="000000"/>
                <w:sz w:val="24"/>
                <w:szCs w:val="24"/>
              </w:rPr>
              <w:t>1.31%</w:t>
            </w:r>
          </w:p>
        </w:tc>
        <w:tc>
          <w:tcPr>
            <w:vAlign w:val="center"/>
          </w:tcPr>
          <w:p>
            <w:pPr>
              <w:jc w:val="center"/>
            </w:pPr>
            <w:r>
              <w:rPr>
                <w:color w:val="000000"/>
                <w:sz w:val="24"/>
                <w:szCs w:val="24"/>
              </w:rPr>
              <w:t>19.82%</w:t>
            </w:r>
          </w:p>
        </w:tc>
        <w:tc>
          <w:tcPr>
            <w:vAlign w:val="center"/>
          </w:tcPr>
          <w:p>
            <w:pPr>
              <w:jc w:val="center"/>
            </w:pPr>
            <w:r>
              <w:rPr>
                <w:color w:val="000000"/>
                <w:sz w:val="24"/>
                <w:szCs w:val="24"/>
              </w:rPr>
              <w:t>1.00%</w:t>
            </w:r>
          </w:p>
        </w:tc>
        <w:tc>
          <w:tcPr>
            <w:vAlign w:val="center"/>
          </w:tcPr>
          <w:p>
            <w:pPr>
              <w:jc w:val="center"/>
            </w:pPr>
            <w:r>
              <w:rPr>
                <w:color w:val="000000"/>
                <w:sz w:val="24"/>
                <w:szCs w:val="24"/>
              </w:rPr>
              <w:t>77.43%</w:t>
            </w:r>
          </w:p>
        </w:tc>
        <w:tc>
          <w:tcPr>
            <w:vAlign w:val="center"/>
          </w:tcPr>
          <w:p>
            <w:pPr>
              <w:jc w:val="center"/>
            </w:pPr>
            <w:r>
              <w:rPr>
                <w:color w:val="000000"/>
                <w:sz w:val="24"/>
                <w:szCs w:val="24"/>
              </w:rPr>
              <w:t>0.31%</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209.14%</w:t>
            </w:r>
          </w:p>
        </w:tc>
        <w:tc>
          <w:tcPr>
            <w:vAlign w:val="center"/>
          </w:tcPr>
          <w:p>
            <w:pPr>
              <w:jc w:val="center"/>
            </w:pPr>
            <w:r>
              <w:rPr>
                <w:color w:val="000000"/>
                <w:sz w:val="24"/>
                <w:szCs w:val="24"/>
              </w:rPr>
              <w:t>1.36%</w:t>
            </w:r>
          </w:p>
        </w:tc>
        <w:tc>
          <w:tcPr>
            <w:vAlign w:val="center"/>
          </w:tcPr>
          <w:p>
            <w:pPr>
              <w:jc w:val="center"/>
            </w:pPr>
            <w:r>
              <w:rPr>
                <w:color w:val="000000"/>
                <w:sz w:val="24"/>
                <w:szCs w:val="24"/>
              </w:rPr>
              <w:t>39.93%</w:t>
            </w:r>
          </w:p>
        </w:tc>
        <w:tc>
          <w:tcPr>
            <w:vAlign w:val="center"/>
          </w:tcPr>
          <w:p>
            <w:pPr>
              <w:jc w:val="center"/>
            </w:pPr>
            <w:r>
              <w:rPr>
                <w:color w:val="000000"/>
                <w:sz w:val="24"/>
                <w:szCs w:val="24"/>
              </w:rPr>
              <w:t>0.96%</w:t>
            </w:r>
          </w:p>
        </w:tc>
        <w:tc>
          <w:tcPr>
            <w:vAlign w:val="center"/>
          </w:tcPr>
          <w:p>
            <w:pPr>
              <w:jc w:val="center"/>
            </w:pPr>
            <w:r>
              <w:rPr>
                <w:color w:val="000000"/>
                <w:sz w:val="24"/>
                <w:szCs w:val="24"/>
              </w:rPr>
              <w:t>169.21%</w:t>
            </w:r>
          </w:p>
        </w:tc>
        <w:tc>
          <w:tcPr>
            <w:vAlign w:val="center"/>
          </w:tcPr>
          <w:p>
            <w:pPr>
              <w:jc w:val="center"/>
            </w:pPr>
            <w:r>
              <w:rPr>
                <w:color w:val="000000"/>
                <w:sz w:val="24"/>
                <w:szCs w:val="24"/>
              </w:rPr>
              <w:t>0.40%</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397.09%</w:t>
            </w:r>
          </w:p>
        </w:tc>
        <w:tc>
          <w:tcPr>
            <w:vAlign w:val="center"/>
          </w:tcPr>
          <w:p>
            <w:pPr>
              <w:jc w:val="center"/>
            </w:pPr>
            <w:r>
              <w:rPr>
                <w:color w:val="000000"/>
                <w:sz w:val="24"/>
                <w:szCs w:val="24"/>
              </w:rPr>
              <w:t>1.47%</w:t>
            </w:r>
          </w:p>
        </w:tc>
        <w:tc>
          <w:tcPr>
            <w:vAlign w:val="center"/>
          </w:tcPr>
          <w:p>
            <w:pPr>
              <w:jc w:val="center"/>
            </w:pPr>
            <w:r>
              <w:rPr>
                <w:color w:val="000000"/>
                <w:sz w:val="24"/>
                <w:szCs w:val="24"/>
              </w:rPr>
              <w:t>88.26%</w:t>
            </w:r>
          </w:p>
        </w:tc>
        <w:tc>
          <w:tcPr>
            <w:vAlign w:val="center"/>
          </w:tcPr>
          <w:p>
            <w:pPr>
              <w:jc w:val="center"/>
            </w:pPr>
            <w:r>
              <w:rPr>
                <w:color w:val="000000"/>
                <w:sz w:val="24"/>
                <w:szCs w:val="24"/>
              </w:rPr>
              <w:t>1.11%</w:t>
            </w:r>
          </w:p>
        </w:tc>
        <w:tc>
          <w:tcPr>
            <w:vAlign w:val="center"/>
          </w:tcPr>
          <w:p>
            <w:pPr>
              <w:jc w:val="center"/>
            </w:pPr>
            <w:r>
              <w:rPr>
                <w:color w:val="000000"/>
                <w:sz w:val="24"/>
                <w:szCs w:val="24"/>
              </w:rPr>
              <w:t>308.83%</w:t>
            </w:r>
          </w:p>
        </w:tc>
        <w:tc>
          <w:tcPr>
            <w:vAlign w:val="center"/>
          </w:tcPr>
          <w:p>
            <w:pPr>
              <w:jc w:val="center"/>
            </w:pPr>
            <w:r>
              <w:rPr>
                <w:color w:val="000000"/>
                <w:sz w:val="24"/>
                <w:szCs w:val="24"/>
              </w:rPr>
              <w:t>0.36%</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A股市场呈现振荡格局，市场指数先扬后抑，其中消费、军工等板块涨幅较佳，而医药等板块有一定回调。从宏观层面，国内经济逐渐走出阴霾，短期较大风险基本消除。经济的趋稳使得货币政策放松的预期收窄，部分前期涨幅较多估值上升明显的个股及板块出现回落。</w:t>
      </w:r>
    </w:p>
    <w:p>
      <w:pPr>
        <w:spacing w:before="29" w:line="288" w:lineRule="auto"/>
        <w:ind w:firstLine="480" w:firstLineChars="200"/>
        <w:rPr>
          <w:color w:val="000000"/>
          <w:sz w:val="24"/>
          <w:szCs w:val="24"/>
        </w:rPr>
      </w:pPr>
      <w:r>
        <w:rPr>
          <w:color w:val="000000"/>
          <w:sz w:val="24"/>
          <w:szCs w:val="24"/>
        </w:rPr>
        <w:t>三季度本基金新增了部分军工类及快递物流公司的持仓，兑现了部分医药板块持仓。</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我们认为随着“特殊时期”逐渐过去，市场将逐渐回归由公司基本面驱动的逻辑，而非估值的继续抬升。本基金将继续聚焦于选择可持续成长的公司或者性价比较高的股票，在一定安全边际下，力争为持有人持续获得长期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7,893,281,341.06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7,893,281,341.06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429,088,444.60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429,088,444.60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464,302,758.71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83,349,453.23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0.94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8,870,021,997.60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370,684.00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442,500.00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4,002,982,133.74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1,607,900.00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228,629.12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398,394,806.96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758,258,638.45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275,227,238.80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2,184,027,235.97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412,300.00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47,609,196.54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586,928.37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223,104,885.08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7,893,281,341.06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89.49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30,281,952</w:t>
            </w:r>
          </w:p>
        </w:tc>
        <w:tc>
          <w:tcPr>
            <w:vAlign w:val="center"/>
          </w:tcPr>
          <w:p>
            <w:pPr>
              <w:jc w:val="right"/>
            </w:pPr>
            <w:r>
              <w:rPr>
                <w:color w:val="000000"/>
                <w:sz w:val="24"/>
                <w:szCs w:val="24"/>
              </w:rPr>
              <w:t>848,500,295.04</w:t>
            </w:r>
          </w:p>
        </w:tc>
        <w:tc>
          <w:tcPr>
            <w:vAlign w:val="center"/>
          </w:tcPr>
          <w:p>
            <w:pPr>
              <w:jc w:val="right"/>
            </w:pPr>
            <w:r>
              <w:rPr>
                <w:color w:val="000000"/>
                <w:sz w:val="24"/>
                <w:szCs w:val="24"/>
              </w:rPr>
              <w:t>9.62</w:t>
            </w:r>
          </w:p>
        </w:tc>
      </w:tr>
      <w:tr>
        <w:tc>
          <w:tcPr>
            <w:vAlign w:val="center"/>
          </w:tcPr>
          <w:p>
            <w:pPr>
              <w:jc w:val="center"/>
            </w:pPr>
            <w:r>
              <w:rPr>
                <w:color w:val="000000"/>
                <w:sz w:val="24"/>
                <w:szCs w:val="24"/>
              </w:rPr>
              <w:t>2</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29,792,055</w:t>
            </w:r>
          </w:p>
        </w:tc>
        <w:tc>
          <w:tcPr>
            <w:vAlign w:val="center"/>
          </w:tcPr>
          <w:p>
            <w:pPr>
              <w:jc w:val="right"/>
            </w:pPr>
            <w:r>
              <w:rPr>
                <w:color w:val="000000"/>
                <w:sz w:val="24"/>
                <w:szCs w:val="24"/>
              </w:rPr>
              <w:t>661,383,621.00</w:t>
            </w:r>
          </w:p>
        </w:tc>
        <w:tc>
          <w:tcPr>
            <w:vAlign w:val="center"/>
          </w:tcPr>
          <w:p>
            <w:pPr>
              <w:jc w:val="right"/>
            </w:pPr>
            <w:r>
              <w:rPr>
                <w:color w:val="000000"/>
                <w:sz w:val="24"/>
                <w:szCs w:val="24"/>
              </w:rPr>
              <w:t>7.50</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33,024,560</w:t>
            </w:r>
          </w:p>
        </w:tc>
        <w:tc>
          <w:tcPr>
            <w:vAlign w:val="center"/>
          </w:tcPr>
          <w:p>
            <w:pPr>
              <w:jc w:val="right"/>
            </w:pPr>
            <w:r>
              <w:rPr>
                <w:color w:val="000000"/>
                <w:sz w:val="24"/>
                <w:szCs w:val="24"/>
              </w:rPr>
              <w:t>524,760,258.40</w:t>
            </w:r>
          </w:p>
        </w:tc>
        <w:tc>
          <w:tcPr>
            <w:vAlign w:val="center"/>
          </w:tcPr>
          <w:p>
            <w:pPr>
              <w:jc w:val="right"/>
            </w:pPr>
            <w:r>
              <w:rPr>
                <w:color w:val="000000"/>
                <w:sz w:val="24"/>
                <w:szCs w:val="24"/>
              </w:rPr>
              <w:t>5.95</w:t>
            </w:r>
          </w:p>
        </w:tc>
      </w:tr>
      <w:tr>
        <w:tc>
          <w:tcPr>
            <w:vAlign w:val="center"/>
          </w:tcPr>
          <w:p>
            <w:pPr>
              <w:jc w:val="center"/>
            </w:pPr>
            <w:r>
              <w:rPr>
                <w:color w:val="000000"/>
                <w:sz w:val="24"/>
                <w:szCs w:val="24"/>
              </w:rPr>
              <w:t>4</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4,099,269</w:t>
            </w:r>
          </w:p>
        </w:tc>
        <w:tc>
          <w:tcPr>
            <w:vAlign w:val="center"/>
          </w:tcPr>
          <w:p>
            <w:pPr>
              <w:jc w:val="right"/>
            </w:pPr>
            <w:r>
              <w:rPr>
                <w:color w:val="000000"/>
                <w:sz w:val="24"/>
                <w:szCs w:val="24"/>
              </w:rPr>
              <w:t>486,911,171.82</w:t>
            </w:r>
          </w:p>
        </w:tc>
        <w:tc>
          <w:tcPr>
            <w:vAlign w:val="center"/>
          </w:tcPr>
          <w:p>
            <w:pPr>
              <w:jc w:val="right"/>
            </w:pPr>
            <w:r>
              <w:rPr>
                <w:color w:val="000000"/>
                <w:sz w:val="24"/>
                <w:szCs w:val="24"/>
              </w:rPr>
              <w:t>5.52</w:t>
            </w:r>
          </w:p>
        </w:tc>
      </w:tr>
      <w:tr>
        <w:tc>
          <w:tcPr>
            <w:vAlign w:val="center"/>
          </w:tcPr>
          <w:p>
            <w:pPr>
              <w:jc w:val="center"/>
            </w:pPr>
            <w:r>
              <w:rPr>
                <w:color w:val="000000"/>
                <w:sz w:val="24"/>
                <w:szCs w:val="24"/>
              </w:rPr>
              <w:t>5</w:t>
            </w:r>
          </w:p>
        </w:tc>
        <w:tc>
          <w:tcPr>
            <w:vAlign w:val="center"/>
          </w:tcPr>
          <w:p>
            <w:pPr>
              <w:jc w:val="center"/>
            </w:pPr>
            <w:r>
              <w:rPr>
                <w:color w:val="000000"/>
                <w:sz w:val="24"/>
                <w:szCs w:val="24"/>
              </w:rPr>
              <w:t>002831</w:t>
            </w:r>
          </w:p>
        </w:tc>
        <w:tc>
          <w:tcPr>
            <w:vAlign w:val="center"/>
          </w:tcPr>
          <w:p>
            <w:pPr>
              <w:jc w:val="center"/>
            </w:pPr>
            <w:r>
              <w:rPr>
                <w:color w:val="000000"/>
                <w:sz w:val="24"/>
                <w:szCs w:val="24"/>
              </w:rPr>
              <w:t>裕同科技</w:t>
            </w:r>
          </w:p>
        </w:tc>
        <w:tc>
          <w:tcPr>
            <w:vAlign w:val="center"/>
          </w:tcPr>
          <w:p>
            <w:pPr>
              <w:jc w:val="right"/>
            </w:pPr>
            <w:r>
              <w:rPr>
                <w:color w:val="000000"/>
                <w:sz w:val="24"/>
                <w:szCs w:val="24"/>
              </w:rPr>
              <w:t>13,774,974</w:t>
            </w:r>
          </w:p>
        </w:tc>
        <w:tc>
          <w:tcPr>
            <w:vAlign w:val="center"/>
          </w:tcPr>
          <w:p>
            <w:pPr>
              <w:jc w:val="right"/>
            </w:pPr>
            <w:r>
              <w:rPr>
                <w:color w:val="000000"/>
                <w:sz w:val="24"/>
                <w:szCs w:val="24"/>
              </w:rPr>
              <w:t>437,355,424.50</w:t>
            </w:r>
          </w:p>
        </w:tc>
        <w:tc>
          <w:tcPr>
            <w:vAlign w:val="center"/>
          </w:tcPr>
          <w:p>
            <w:pPr>
              <w:jc w:val="right"/>
            </w:pPr>
            <w:r>
              <w:rPr>
                <w:color w:val="000000"/>
                <w:sz w:val="24"/>
                <w:szCs w:val="24"/>
              </w:rPr>
              <w:t>4.96</w:t>
            </w:r>
          </w:p>
        </w:tc>
      </w:tr>
      <w:tr>
        <w:tc>
          <w:tcPr>
            <w:vAlign w:val="center"/>
          </w:tcPr>
          <w:p>
            <w:pPr>
              <w:jc w:val="center"/>
            </w:pPr>
            <w:r>
              <w:rPr>
                <w:color w:val="000000"/>
                <w:sz w:val="24"/>
                <w:szCs w:val="24"/>
              </w:rPr>
              <w:t>6</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29,708,050</w:t>
            </w:r>
          </w:p>
        </w:tc>
        <w:tc>
          <w:tcPr>
            <w:vAlign w:val="center"/>
          </w:tcPr>
          <w:p>
            <w:pPr>
              <w:jc w:val="right"/>
            </w:pPr>
            <w:r>
              <w:rPr>
                <w:color w:val="000000"/>
                <w:sz w:val="24"/>
                <w:szCs w:val="24"/>
              </w:rPr>
              <w:t>432,252,127.50</w:t>
            </w:r>
          </w:p>
        </w:tc>
        <w:tc>
          <w:tcPr>
            <w:vAlign w:val="center"/>
          </w:tcPr>
          <w:p>
            <w:pPr>
              <w:jc w:val="right"/>
            </w:pPr>
            <w:r>
              <w:rPr>
                <w:color w:val="000000"/>
                <w:sz w:val="24"/>
                <w:szCs w:val="24"/>
              </w:rPr>
              <w:t>4.90</w:t>
            </w:r>
          </w:p>
        </w:tc>
      </w:tr>
      <w:tr>
        <w:tc>
          <w:tcPr>
            <w:vAlign w:val="center"/>
          </w:tcPr>
          <w:p>
            <w:pPr>
              <w:jc w:val="center"/>
            </w:pPr>
            <w:r>
              <w:rPr>
                <w:color w:val="000000"/>
                <w:sz w:val="24"/>
                <w:szCs w:val="24"/>
              </w:rPr>
              <w:t>7</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16,955,506</w:t>
            </w:r>
          </w:p>
        </w:tc>
        <w:tc>
          <w:tcPr>
            <w:vAlign w:val="center"/>
          </w:tcPr>
          <w:p>
            <w:pPr>
              <w:jc w:val="right"/>
            </w:pPr>
            <w:r>
              <w:rPr>
                <w:color w:val="000000"/>
                <w:sz w:val="24"/>
                <w:szCs w:val="24"/>
              </w:rPr>
              <w:t>405,067,038.34</w:t>
            </w:r>
          </w:p>
        </w:tc>
        <w:tc>
          <w:tcPr>
            <w:vAlign w:val="center"/>
          </w:tcPr>
          <w:p>
            <w:pPr>
              <w:jc w:val="right"/>
            </w:pPr>
            <w:r>
              <w:rPr>
                <w:color w:val="000000"/>
                <w:sz w:val="24"/>
                <w:szCs w:val="24"/>
              </w:rPr>
              <w:t>4.59</w:t>
            </w:r>
          </w:p>
        </w:tc>
      </w:tr>
      <w:tr>
        <w:tc>
          <w:tcPr>
            <w:vAlign w:val="center"/>
          </w:tcPr>
          <w:p>
            <w:pPr>
              <w:jc w:val="center"/>
            </w:pPr>
            <w:r>
              <w:rPr>
                <w:color w:val="000000"/>
                <w:sz w:val="24"/>
                <w:szCs w:val="24"/>
              </w:rPr>
              <w:t>8</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4,940,903</w:t>
            </w:r>
          </w:p>
        </w:tc>
        <w:tc>
          <w:tcPr>
            <w:vAlign w:val="center"/>
          </w:tcPr>
          <w:p>
            <w:pPr>
              <w:jc w:val="right"/>
            </w:pPr>
            <w:r>
              <w:rPr>
                <w:color w:val="000000"/>
                <w:sz w:val="24"/>
                <w:szCs w:val="24"/>
              </w:rPr>
              <w:t>397,801,323.60</w:t>
            </w:r>
          </w:p>
        </w:tc>
        <w:tc>
          <w:tcPr>
            <w:vAlign w:val="center"/>
          </w:tcPr>
          <w:p>
            <w:pPr>
              <w:jc w:val="right"/>
            </w:pPr>
            <w:r>
              <w:rPr>
                <w:color w:val="000000"/>
                <w:sz w:val="24"/>
                <w:szCs w:val="24"/>
              </w:rPr>
              <w:t>4.51</w:t>
            </w:r>
          </w:p>
        </w:tc>
      </w:tr>
      <w:tr>
        <w:tc>
          <w:tcPr>
            <w:vAlign w:val="center"/>
          </w:tcPr>
          <w:p>
            <w:pPr>
              <w:jc w:val="center"/>
            </w:pPr>
            <w:r>
              <w:rPr>
                <w:color w:val="000000"/>
                <w:sz w:val="24"/>
                <w:szCs w:val="24"/>
              </w:rPr>
              <w:t>9</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41,258,259</w:t>
            </w:r>
          </w:p>
        </w:tc>
        <w:tc>
          <w:tcPr>
            <w:vAlign w:val="center"/>
          </w:tcPr>
          <w:p>
            <w:pPr>
              <w:jc w:val="right"/>
            </w:pPr>
            <w:r>
              <w:rPr>
                <w:color w:val="000000"/>
                <w:sz w:val="24"/>
                <w:szCs w:val="24"/>
              </w:rPr>
              <w:t>378,338,235.03</w:t>
            </w:r>
          </w:p>
        </w:tc>
        <w:tc>
          <w:tcPr>
            <w:vAlign w:val="center"/>
          </w:tcPr>
          <w:p>
            <w:pPr>
              <w:jc w:val="right"/>
            </w:pPr>
            <w:r>
              <w:rPr>
                <w:color w:val="000000"/>
                <w:sz w:val="24"/>
                <w:szCs w:val="24"/>
              </w:rPr>
              <w:t>4.29</w:t>
            </w:r>
          </w:p>
        </w:tc>
      </w:tr>
      <w:tr>
        <w:tc>
          <w:tcPr>
            <w:vAlign w:val="center"/>
          </w:tcPr>
          <w:p>
            <w:pPr>
              <w:jc w:val="center"/>
            </w:pPr>
            <w:r>
              <w:rPr>
                <w:color w:val="000000"/>
                <w:sz w:val="24"/>
                <w:szCs w:val="24"/>
              </w:rPr>
              <w:t>10</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16,643,500</w:t>
            </w:r>
          </w:p>
        </w:tc>
        <w:tc>
          <w:tcPr>
            <w:vAlign w:val="center"/>
          </w:tcPr>
          <w:p>
            <w:pPr>
              <w:jc w:val="right"/>
            </w:pPr>
            <w:r>
              <w:rPr>
                <w:color w:val="000000"/>
                <w:sz w:val="24"/>
                <w:szCs w:val="24"/>
              </w:rPr>
              <w:t>331,039,215.00</w:t>
            </w:r>
          </w:p>
        </w:tc>
        <w:tc>
          <w:tcPr>
            <w:vAlign w:val="center"/>
          </w:tcPr>
          <w:p>
            <w:pPr>
              <w:jc w:val="right"/>
            </w:pPr>
            <w:r>
              <w:rPr>
                <w:color w:val="000000"/>
                <w:sz w:val="24"/>
                <w:szCs w:val="24"/>
              </w:rPr>
              <w:t>3.75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429,026,000.00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429,026,000.00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62,444.60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429,088,444.60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1,800,000</w:t>
            </w:r>
          </w:p>
        </w:tc>
        <w:tc>
          <w:tcPr>
            <w:vAlign w:val="center"/>
          </w:tcPr>
          <w:p>
            <w:pPr>
              <w:jc w:val="right"/>
            </w:pPr>
            <w:r>
              <w:rPr>
                <w:color w:val="000000"/>
                <w:sz w:val="24"/>
                <w:szCs w:val="24"/>
              </w:rPr>
              <w:t>180,054,000.00</w:t>
            </w:r>
          </w:p>
        </w:tc>
        <w:tc>
          <w:tcPr>
            <w:vAlign w:val="center"/>
          </w:tcPr>
          <w:p>
            <w:pPr>
              <w:jc w:val="right"/>
            </w:pPr>
            <w:r>
              <w:rPr>
                <w:color w:val="000000"/>
                <w:sz w:val="24"/>
                <w:szCs w:val="24"/>
              </w:rPr>
              <w:t>2.04</w:t>
            </w:r>
          </w:p>
        </w:tc>
      </w:tr>
      <w:tr>
        <w:tc>
          <w:tcPr>
            <w:vAlign w:val="center"/>
          </w:tcPr>
          <w:p>
            <w:pPr>
              <w:jc w:val="center"/>
            </w:pPr>
            <w:r>
              <w:rPr>
                <w:color w:val="000000"/>
                <w:sz w:val="24"/>
                <w:szCs w:val="24"/>
              </w:rPr>
              <w:t>2</w:t>
            </w:r>
          </w:p>
        </w:tc>
        <w:tc>
          <w:tcPr>
            <w:vAlign w:val="center"/>
          </w:tcPr>
          <w:p>
            <w:pPr>
              <w:jc w:val="center"/>
            </w:pPr>
            <w:r>
              <w:rPr>
                <w:color w:val="000000"/>
                <w:sz w:val="24"/>
                <w:szCs w:val="24"/>
              </w:rPr>
              <w:t>200406</w:t>
            </w:r>
          </w:p>
        </w:tc>
        <w:tc>
          <w:tcPr>
            <w:vAlign w:val="center"/>
          </w:tcPr>
          <w:p>
            <w:pPr>
              <w:jc w:val="center"/>
            </w:pPr>
            <w:r>
              <w:rPr>
                <w:color w:val="000000"/>
                <w:sz w:val="24"/>
                <w:szCs w:val="24"/>
              </w:rPr>
              <w:t>20农发06</w:t>
            </w:r>
          </w:p>
        </w:tc>
        <w:tc>
          <w:tcPr>
            <w:vAlign w:val="center"/>
          </w:tcPr>
          <w:p>
            <w:pPr>
              <w:jc w:val="right"/>
            </w:pPr>
            <w:r>
              <w:rPr>
                <w:color w:val="000000"/>
                <w:sz w:val="24"/>
                <w:szCs w:val="24"/>
              </w:rPr>
              <w:t>800,000</w:t>
            </w:r>
          </w:p>
        </w:tc>
        <w:tc>
          <w:tcPr>
            <w:vAlign w:val="center"/>
          </w:tcPr>
          <w:p>
            <w:pPr>
              <w:jc w:val="right"/>
            </w:pPr>
            <w:r>
              <w:rPr>
                <w:color w:val="000000"/>
                <w:sz w:val="24"/>
                <w:szCs w:val="24"/>
              </w:rPr>
              <w:t>79,576,000.00</w:t>
            </w:r>
          </w:p>
        </w:tc>
        <w:tc>
          <w:tcPr>
            <w:vAlign w:val="center"/>
          </w:tcPr>
          <w:p>
            <w:pPr>
              <w:jc w:val="right"/>
            </w:pPr>
            <w:r>
              <w:rPr>
                <w:color w:val="000000"/>
                <w:sz w:val="24"/>
                <w:szCs w:val="24"/>
              </w:rPr>
              <w:t>0.90</w:t>
            </w:r>
          </w:p>
        </w:tc>
      </w:tr>
      <w:tr>
        <w:tc>
          <w:tcPr>
            <w:vAlign w:val="center"/>
          </w:tcPr>
          <w:p>
            <w:pPr>
              <w:jc w:val="center"/>
            </w:pPr>
            <w:r>
              <w:rPr>
                <w:color w:val="000000"/>
                <w:sz w:val="24"/>
                <w:szCs w:val="24"/>
              </w:rPr>
              <w:t>3</w:t>
            </w:r>
          </w:p>
        </w:tc>
        <w:tc>
          <w:tcPr>
            <w:vAlign w:val="center"/>
          </w:tcPr>
          <w:p>
            <w:pPr>
              <w:jc w:val="center"/>
            </w:pPr>
            <w:r>
              <w:rPr>
                <w:color w:val="000000"/>
                <w:sz w:val="24"/>
                <w:szCs w:val="24"/>
              </w:rPr>
              <w:t>207703</w:t>
            </w:r>
          </w:p>
        </w:tc>
        <w:tc>
          <w:tcPr>
            <w:vAlign w:val="center"/>
          </w:tcPr>
          <w:p>
            <w:pPr>
              <w:jc w:val="center"/>
            </w:pPr>
            <w:r>
              <w:rPr>
                <w:color w:val="000000"/>
                <w:sz w:val="24"/>
                <w:szCs w:val="24"/>
              </w:rPr>
              <w:t>20贴现国开03</w:t>
            </w:r>
          </w:p>
        </w:tc>
        <w:tc>
          <w:tcPr>
            <w:vAlign w:val="center"/>
          </w:tcPr>
          <w:p>
            <w:pPr>
              <w:jc w:val="right"/>
            </w:pPr>
            <w:r>
              <w:rPr>
                <w:color w:val="000000"/>
                <w:sz w:val="24"/>
                <w:szCs w:val="24"/>
              </w:rPr>
              <w:t>600,000</w:t>
            </w:r>
          </w:p>
        </w:tc>
        <w:tc>
          <w:tcPr>
            <w:vAlign w:val="center"/>
          </w:tcPr>
          <w:p>
            <w:pPr>
              <w:jc w:val="right"/>
            </w:pPr>
            <w:r>
              <w:rPr>
                <w:color w:val="000000"/>
                <w:sz w:val="24"/>
                <w:szCs w:val="24"/>
              </w:rPr>
              <w:t>59,670,000.00</w:t>
            </w:r>
          </w:p>
        </w:tc>
        <w:tc>
          <w:tcPr>
            <w:vAlign w:val="center"/>
          </w:tcPr>
          <w:p>
            <w:pPr>
              <w:jc w:val="right"/>
            </w:pPr>
            <w:r>
              <w:rPr>
                <w:color w:val="000000"/>
                <w:sz w:val="24"/>
                <w:szCs w:val="24"/>
              </w:rPr>
              <w:t>0.68</w:t>
            </w:r>
          </w:p>
        </w:tc>
      </w:tr>
      <w:tr>
        <w:tc>
          <w:tcPr>
            <w:vAlign w:val="center"/>
          </w:tcPr>
          <w:p>
            <w:pPr>
              <w:jc w:val="center"/>
            </w:pPr>
            <w:r>
              <w:rPr>
                <w:color w:val="000000"/>
                <w:sz w:val="24"/>
                <w:szCs w:val="24"/>
              </w:rPr>
              <w:t>4</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500,000</w:t>
            </w:r>
          </w:p>
        </w:tc>
        <w:tc>
          <w:tcPr>
            <w:vAlign w:val="center"/>
          </w:tcPr>
          <w:p>
            <w:pPr>
              <w:jc w:val="right"/>
            </w:pPr>
            <w:r>
              <w:rPr>
                <w:color w:val="000000"/>
                <w:sz w:val="24"/>
                <w:szCs w:val="24"/>
              </w:rPr>
              <w:t>49,970,000.00</w:t>
            </w:r>
          </w:p>
        </w:tc>
        <w:tc>
          <w:tcPr>
            <w:vAlign w:val="center"/>
          </w:tcPr>
          <w:p>
            <w:pPr>
              <w:jc w:val="right"/>
            </w:pPr>
            <w:r>
              <w:rPr>
                <w:color w:val="000000"/>
                <w:sz w:val="24"/>
                <w:szCs w:val="24"/>
              </w:rPr>
              <w:t>0.57</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400,000</w:t>
            </w:r>
          </w:p>
        </w:tc>
        <w:tc>
          <w:tcPr>
            <w:vAlign w:val="center"/>
          </w:tcPr>
          <w:p>
            <w:pPr>
              <w:jc w:val="right"/>
            </w:pPr>
            <w:r>
              <w:rPr>
                <w:color w:val="000000"/>
                <w:sz w:val="24"/>
                <w:szCs w:val="24"/>
              </w:rPr>
              <w:t>39,876,000.00</w:t>
            </w:r>
          </w:p>
        </w:tc>
        <w:tc>
          <w:tcPr>
            <w:vAlign w:val="center"/>
          </w:tcPr>
          <w:p>
            <w:pPr>
              <w:jc w:val="right"/>
            </w:pPr>
            <w:r>
              <w:rPr>
                <w:color w:val="000000"/>
                <w:sz w:val="24"/>
                <w:szCs w:val="24"/>
              </w:rPr>
              <w:t>0.45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2,781,441.72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60,193,684.39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6,385,783.79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13,988,543.33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83,349,453.23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62,444.60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61,560,000.00</w:t>
            </w:r>
          </w:p>
        </w:tc>
        <w:tc>
          <w:tcPr>
            <w:vAlign w:val="center"/>
          </w:tcPr>
          <w:p>
            <w:pPr>
              <w:jc w:val="right"/>
            </w:pPr>
            <w:r>
              <w:rPr>
                <w:color w:val="000000"/>
                <w:sz w:val="24"/>
                <w:szCs w:val="24"/>
              </w:rPr>
              <w:t>0.70</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3,337,420,889.61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829,695,133.93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1,468,880,629.22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2,698,235,394.32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