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年第</w:t>
      </w:r>
      <w:r w:rsidRPr="005E324A">
        <w:rPr>
          <w:rFonts w:eastAsiaTheme="minorEastAsia"/>
          <w:b/>
          <w:sz w:val="36"/>
          <w:szCs w:val="36"/>
        </w:rPr>
        <w:t>3</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w:t>
      </w:r>
      <w:r w:rsidRPr="005E324A">
        <w:rPr>
          <w:rFonts w:eastAsiaTheme="minorEastAsia"/>
          <w:b/>
          <w:sz w:val="36"/>
          <w:szCs w:val="36"/>
        </w:rPr>
        <w:t>9</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二〇二〇年十月二十八日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194,702,422.73</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4F3D51">
            <w:pPr>
              <w:adjustRightInd w:val="0"/>
              <w:spacing w:before="29" w:line="360" w:lineRule="auto"/>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168,514,726.73</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13,093,848.00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13,093,848.00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F3D51" w:rsidRPr="005E324A" w:rsidTr="004F3D51">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4F3D51" w:rsidRPr="005E324A" w:rsidTr="004F3D5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6,895,944.22</w:t>
            </w:r>
          </w:p>
        </w:tc>
      </w:tr>
      <w:tr w:rsidR="004F3D51" w:rsidRPr="005E324A" w:rsidTr="004F3D5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39,023,524.22</w:t>
            </w:r>
          </w:p>
        </w:tc>
      </w:tr>
      <w:tr w:rsidR="004F3D51" w:rsidRPr="005E324A" w:rsidTr="004F3D5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0.1892</w:t>
            </w:r>
          </w:p>
        </w:tc>
      </w:tr>
      <w:tr w:rsidR="004F3D51" w:rsidRPr="005E324A" w:rsidTr="004F3D5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255,315,124.59</w:t>
            </w:r>
          </w:p>
        </w:tc>
      </w:tr>
      <w:tr w:rsidR="004F3D51" w:rsidRPr="005E324A" w:rsidTr="004F3D51">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1.311</w:t>
            </w:r>
          </w:p>
        </w:tc>
      </w:tr>
    </w:tbl>
    <w:p w:rsidR="004E72E3" w:rsidRDefault="004F3D51">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4E72E3">
        <w:tc>
          <w:tcPr>
            <w:tcW w:w="1215" w:type="dxa"/>
            <w:vAlign w:val="center"/>
          </w:tcPr>
          <w:p w:rsidR="004E72E3" w:rsidRDefault="004F3D51">
            <w:pPr>
              <w:jc w:val="left"/>
            </w:pPr>
            <w:r>
              <w:rPr>
                <w:rFonts w:eastAsiaTheme="minorEastAsia"/>
                <w:color w:val="000000"/>
                <w:kern w:val="0"/>
                <w:sz w:val="24"/>
              </w:rPr>
              <w:t>过去三个月</w:t>
            </w:r>
          </w:p>
        </w:tc>
        <w:tc>
          <w:tcPr>
            <w:tcW w:w="1216" w:type="dxa"/>
            <w:vAlign w:val="center"/>
          </w:tcPr>
          <w:p w:rsidR="004E72E3" w:rsidRDefault="004F3D51">
            <w:pPr>
              <w:jc w:val="center"/>
            </w:pPr>
            <w:r>
              <w:rPr>
                <w:rFonts w:eastAsiaTheme="minorEastAsia"/>
                <w:color w:val="000000"/>
                <w:kern w:val="0"/>
                <w:sz w:val="24"/>
              </w:rPr>
              <w:t>15.40%</w:t>
            </w:r>
          </w:p>
        </w:tc>
        <w:tc>
          <w:tcPr>
            <w:tcW w:w="1216" w:type="dxa"/>
            <w:vAlign w:val="center"/>
          </w:tcPr>
          <w:p w:rsidR="004E72E3" w:rsidRDefault="004F3D51">
            <w:pPr>
              <w:jc w:val="center"/>
            </w:pPr>
            <w:r>
              <w:rPr>
                <w:rFonts w:eastAsiaTheme="minorEastAsia"/>
                <w:color w:val="000000"/>
                <w:kern w:val="0"/>
                <w:sz w:val="24"/>
              </w:rPr>
              <w:t>1.79%</w:t>
            </w:r>
          </w:p>
        </w:tc>
        <w:tc>
          <w:tcPr>
            <w:tcW w:w="1216" w:type="dxa"/>
            <w:vAlign w:val="center"/>
          </w:tcPr>
          <w:p w:rsidR="004E72E3" w:rsidRDefault="004F3D51">
            <w:pPr>
              <w:jc w:val="center"/>
            </w:pPr>
            <w:r>
              <w:rPr>
                <w:rFonts w:eastAsiaTheme="minorEastAsia"/>
                <w:color w:val="000000"/>
                <w:kern w:val="0"/>
                <w:sz w:val="24"/>
              </w:rPr>
              <w:t>15.49%</w:t>
            </w:r>
          </w:p>
        </w:tc>
        <w:tc>
          <w:tcPr>
            <w:tcW w:w="1216" w:type="dxa"/>
            <w:vAlign w:val="center"/>
          </w:tcPr>
          <w:p w:rsidR="004E72E3" w:rsidRDefault="004F3D51">
            <w:pPr>
              <w:jc w:val="center"/>
            </w:pPr>
            <w:r>
              <w:rPr>
                <w:rFonts w:eastAsiaTheme="minorEastAsia"/>
                <w:color w:val="000000"/>
                <w:kern w:val="0"/>
                <w:sz w:val="24"/>
              </w:rPr>
              <w:t>1.80%</w:t>
            </w:r>
          </w:p>
        </w:tc>
        <w:tc>
          <w:tcPr>
            <w:tcW w:w="1217" w:type="dxa"/>
            <w:vAlign w:val="center"/>
          </w:tcPr>
          <w:p w:rsidR="004E72E3" w:rsidRDefault="004F3D51">
            <w:pPr>
              <w:jc w:val="center"/>
            </w:pPr>
            <w:r>
              <w:rPr>
                <w:rFonts w:eastAsiaTheme="minorEastAsia"/>
                <w:color w:val="000000"/>
                <w:kern w:val="0"/>
                <w:sz w:val="24"/>
              </w:rPr>
              <w:t>-0.09%</w:t>
            </w:r>
          </w:p>
        </w:tc>
        <w:tc>
          <w:tcPr>
            <w:tcW w:w="1217" w:type="dxa"/>
            <w:vAlign w:val="center"/>
          </w:tcPr>
          <w:p w:rsidR="004E72E3" w:rsidRDefault="004F3D51">
            <w:pPr>
              <w:jc w:val="center"/>
            </w:pPr>
            <w:r>
              <w:rPr>
                <w:rFonts w:eastAsiaTheme="minorEastAsia"/>
                <w:color w:val="000000"/>
                <w:kern w:val="0"/>
                <w:sz w:val="24"/>
              </w:rPr>
              <w:t>-0.01%</w:t>
            </w:r>
          </w:p>
        </w:tc>
      </w:tr>
      <w:tr w:rsidR="004E72E3">
        <w:tc>
          <w:tcPr>
            <w:tcW w:w="1215" w:type="dxa"/>
            <w:vAlign w:val="center"/>
          </w:tcPr>
          <w:p w:rsidR="004E72E3" w:rsidRDefault="004F3D51">
            <w:pPr>
              <w:jc w:val="left"/>
            </w:pPr>
            <w:r>
              <w:rPr>
                <w:rFonts w:eastAsiaTheme="minorEastAsia"/>
                <w:color w:val="000000"/>
                <w:kern w:val="0"/>
                <w:sz w:val="24"/>
              </w:rPr>
              <w:t>过去六个月</w:t>
            </w:r>
          </w:p>
        </w:tc>
        <w:tc>
          <w:tcPr>
            <w:tcW w:w="1216" w:type="dxa"/>
            <w:vAlign w:val="center"/>
          </w:tcPr>
          <w:p w:rsidR="004E72E3" w:rsidRDefault="004F3D51">
            <w:pPr>
              <w:jc w:val="center"/>
            </w:pPr>
            <w:r>
              <w:rPr>
                <w:rFonts w:eastAsiaTheme="minorEastAsia"/>
                <w:color w:val="000000"/>
                <w:kern w:val="0"/>
                <w:sz w:val="24"/>
              </w:rPr>
              <w:t>37.57%</w:t>
            </w:r>
          </w:p>
        </w:tc>
        <w:tc>
          <w:tcPr>
            <w:tcW w:w="1216" w:type="dxa"/>
            <w:vAlign w:val="center"/>
          </w:tcPr>
          <w:p w:rsidR="004E72E3" w:rsidRDefault="004F3D51">
            <w:pPr>
              <w:jc w:val="center"/>
            </w:pPr>
            <w:r>
              <w:rPr>
                <w:rFonts w:eastAsiaTheme="minorEastAsia"/>
                <w:color w:val="000000"/>
                <w:kern w:val="0"/>
                <w:sz w:val="24"/>
              </w:rPr>
              <w:t>1.57%</w:t>
            </w:r>
          </w:p>
        </w:tc>
        <w:tc>
          <w:tcPr>
            <w:tcW w:w="1216" w:type="dxa"/>
            <w:vAlign w:val="center"/>
          </w:tcPr>
          <w:p w:rsidR="004E72E3" w:rsidRDefault="004F3D51">
            <w:pPr>
              <w:jc w:val="center"/>
            </w:pPr>
            <w:r>
              <w:rPr>
                <w:rFonts w:eastAsiaTheme="minorEastAsia"/>
                <w:color w:val="000000"/>
                <w:kern w:val="0"/>
                <w:sz w:val="24"/>
              </w:rPr>
              <w:t>37.45%</w:t>
            </w:r>
          </w:p>
        </w:tc>
        <w:tc>
          <w:tcPr>
            <w:tcW w:w="1216" w:type="dxa"/>
            <w:vAlign w:val="center"/>
          </w:tcPr>
          <w:p w:rsidR="004E72E3" w:rsidRDefault="004F3D51">
            <w:pPr>
              <w:jc w:val="center"/>
            </w:pPr>
            <w:r>
              <w:rPr>
                <w:rFonts w:eastAsiaTheme="minorEastAsia"/>
                <w:color w:val="000000"/>
                <w:kern w:val="0"/>
                <w:sz w:val="24"/>
              </w:rPr>
              <w:t>1.58%</w:t>
            </w:r>
          </w:p>
        </w:tc>
        <w:tc>
          <w:tcPr>
            <w:tcW w:w="1217" w:type="dxa"/>
            <w:vAlign w:val="center"/>
          </w:tcPr>
          <w:p w:rsidR="004E72E3" w:rsidRDefault="004F3D51">
            <w:pPr>
              <w:jc w:val="center"/>
            </w:pPr>
            <w:r>
              <w:rPr>
                <w:rFonts w:eastAsiaTheme="minorEastAsia"/>
                <w:color w:val="000000"/>
                <w:kern w:val="0"/>
                <w:sz w:val="24"/>
              </w:rPr>
              <w:t>0.12%</w:t>
            </w:r>
          </w:p>
        </w:tc>
        <w:tc>
          <w:tcPr>
            <w:tcW w:w="1217" w:type="dxa"/>
            <w:vAlign w:val="center"/>
          </w:tcPr>
          <w:p w:rsidR="004E72E3" w:rsidRDefault="004F3D51">
            <w:pPr>
              <w:jc w:val="center"/>
            </w:pPr>
            <w:r>
              <w:rPr>
                <w:rFonts w:eastAsiaTheme="minorEastAsia"/>
                <w:color w:val="000000"/>
                <w:kern w:val="0"/>
                <w:sz w:val="24"/>
              </w:rPr>
              <w:t>-0.01%</w:t>
            </w:r>
          </w:p>
        </w:tc>
      </w:tr>
      <w:tr w:rsidR="004E72E3">
        <w:tc>
          <w:tcPr>
            <w:tcW w:w="1215" w:type="dxa"/>
            <w:vAlign w:val="center"/>
          </w:tcPr>
          <w:p w:rsidR="004E72E3" w:rsidRDefault="004F3D51">
            <w:pPr>
              <w:jc w:val="left"/>
            </w:pPr>
            <w:r>
              <w:rPr>
                <w:rFonts w:eastAsiaTheme="minorEastAsia"/>
                <w:color w:val="000000"/>
                <w:kern w:val="0"/>
                <w:sz w:val="24"/>
              </w:rPr>
              <w:t>过去一年</w:t>
            </w:r>
          </w:p>
        </w:tc>
        <w:tc>
          <w:tcPr>
            <w:tcW w:w="1216" w:type="dxa"/>
            <w:vAlign w:val="center"/>
          </w:tcPr>
          <w:p w:rsidR="004E72E3" w:rsidRDefault="004F3D51">
            <w:pPr>
              <w:jc w:val="center"/>
            </w:pPr>
            <w:r>
              <w:rPr>
                <w:rFonts w:eastAsiaTheme="minorEastAsia"/>
                <w:color w:val="000000"/>
                <w:kern w:val="0"/>
                <w:sz w:val="24"/>
              </w:rPr>
              <w:t>45.09%</w:t>
            </w:r>
          </w:p>
        </w:tc>
        <w:tc>
          <w:tcPr>
            <w:tcW w:w="1216" w:type="dxa"/>
            <w:vAlign w:val="center"/>
          </w:tcPr>
          <w:p w:rsidR="004E72E3" w:rsidRDefault="004F3D51">
            <w:pPr>
              <w:jc w:val="center"/>
            </w:pPr>
            <w:r>
              <w:rPr>
                <w:rFonts w:eastAsiaTheme="minorEastAsia"/>
                <w:color w:val="000000"/>
                <w:kern w:val="0"/>
                <w:sz w:val="24"/>
              </w:rPr>
              <w:t>1.74%</w:t>
            </w:r>
          </w:p>
        </w:tc>
        <w:tc>
          <w:tcPr>
            <w:tcW w:w="1216" w:type="dxa"/>
            <w:vAlign w:val="center"/>
          </w:tcPr>
          <w:p w:rsidR="004E72E3" w:rsidRDefault="004F3D51">
            <w:pPr>
              <w:jc w:val="center"/>
            </w:pPr>
            <w:r>
              <w:rPr>
                <w:rFonts w:eastAsiaTheme="minorEastAsia"/>
                <w:color w:val="000000"/>
                <w:kern w:val="0"/>
                <w:sz w:val="24"/>
              </w:rPr>
              <w:t>45.60%</w:t>
            </w:r>
          </w:p>
        </w:tc>
        <w:tc>
          <w:tcPr>
            <w:tcW w:w="1216" w:type="dxa"/>
            <w:vAlign w:val="center"/>
          </w:tcPr>
          <w:p w:rsidR="004E72E3" w:rsidRDefault="004F3D51">
            <w:pPr>
              <w:jc w:val="center"/>
            </w:pPr>
            <w:r>
              <w:rPr>
                <w:rFonts w:eastAsiaTheme="minorEastAsia"/>
                <w:color w:val="000000"/>
                <w:kern w:val="0"/>
                <w:sz w:val="24"/>
              </w:rPr>
              <w:t>1.75%</w:t>
            </w:r>
          </w:p>
        </w:tc>
        <w:tc>
          <w:tcPr>
            <w:tcW w:w="1217" w:type="dxa"/>
            <w:vAlign w:val="center"/>
          </w:tcPr>
          <w:p w:rsidR="004E72E3" w:rsidRDefault="004F3D51">
            <w:pPr>
              <w:jc w:val="center"/>
            </w:pPr>
            <w:r>
              <w:rPr>
                <w:rFonts w:eastAsiaTheme="minorEastAsia"/>
                <w:color w:val="000000"/>
                <w:kern w:val="0"/>
                <w:sz w:val="24"/>
              </w:rPr>
              <w:t>-0.51%</w:t>
            </w:r>
          </w:p>
        </w:tc>
        <w:tc>
          <w:tcPr>
            <w:tcW w:w="1217" w:type="dxa"/>
            <w:vAlign w:val="center"/>
          </w:tcPr>
          <w:p w:rsidR="004E72E3" w:rsidRDefault="004F3D51">
            <w:pPr>
              <w:jc w:val="center"/>
            </w:pPr>
            <w:r>
              <w:rPr>
                <w:rFonts w:eastAsiaTheme="minorEastAsia"/>
                <w:color w:val="000000"/>
                <w:kern w:val="0"/>
                <w:sz w:val="24"/>
              </w:rPr>
              <w:t>-0.01%</w:t>
            </w:r>
          </w:p>
        </w:tc>
      </w:tr>
      <w:tr w:rsidR="004E72E3">
        <w:tc>
          <w:tcPr>
            <w:tcW w:w="1215" w:type="dxa"/>
            <w:vAlign w:val="center"/>
          </w:tcPr>
          <w:p w:rsidR="004E72E3" w:rsidRDefault="004F3D51">
            <w:pPr>
              <w:jc w:val="left"/>
            </w:pPr>
            <w:r>
              <w:rPr>
                <w:rFonts w:eastAsiaTheme="minorEastAsia"/>
                <w:color w:val="000000"/>
                <w:kern w:val="0"/>
                <w:sz w:val="24"/>
              </w:rPr>
              <w:t>过去三年</w:t>
            </w:r>
          </w:p>
        </w:tc>
        <w:tc>
          <w:tcPr>
            <w:tcW w:w="1216" w:type="dxa"/>
            <w:vAlign w:val="center"/>
          </w:tcPr>
          <w:p w:rsidR="004E72E3" w:rsidRDefault="004F3D51">
            <w:pPr>
              <w:jc w:val="center"/>
            </w:pPr>
            <w:r>
              <w:rPr>
                <w:rFonts w:eastAsiaTheme="minorEastAsia"/>
                <w:color w:val="000000"/>
                <w:kern w:val="0"/>
                <w:sz w:val="24"/>
              </w:rPr>
              <w:t>-2.85%</w:t>
            </w:r>
          </w:p>
        </w:tc>
        <w:tc>
          <w:tcPr>
            <w:tcW w:w="1216" w:type="dxa"/>
            <w:vAlign w:val="center"/>
          </w:tcPr>
          <w:p w:rsidR="004E72E3" w:rsidRDefault="004F3D51">
            <w:pPr>
              <w:jc w:val="center"/>
            </w:pPr>
            <w:r>
              <w:rPr>
                <w:rFonts w:eastAsiaTheme="minorEastAsia"/>
                <w:color w:val="000000"/>
                <w:kern w:val="0"/>
                <w:sz w:val="24"/>
              </w:rPr>
              <w:t>1.60%</w:t>
            </w:r>
          </w:p>
        </w:tc>
        <w:tc>
          <w:tcPr>
            <w:tcW w:w="1216" w:type="dxa"/>
            <w:vAlign w:val="center"/>
          </w:tcPr>
          <w:p w:rsidR="004E72E3" w:rsidRDefault="004F3D51">
            <w:pPr>
              <w:jc w:val="center"/>
            </w:pPr>
            <w:r>
              <w:rPr>
                <w:rFonts w:eastAsiaTheme="minorEastAsia"/>
                <w:color w:val="000000"/>
                <w:kern w:val="0"/>
                <w:sz w:val="24"/>
              </w:rPr>
              <w:t>-0.10%</w:t>
            </w:r>
          </w:p>
        </w:tc>
        <w:tc>
          <w:tcPr>
            <w:tcW w:w="1216" w:type="dxa"/>
            <w:vAlign w:val="center"/>
          </w:tcPr>
          <w:p w:rsidR="004E72E3" w:rsidRDefault="004F3D51">
            <w:pPr>
              <w:jc w:val="center"/>
            </w:pPr>
            <w:r>
              <w:rPr>
                <w:rFonts w:eastAsiaTheme="minorEastAsia"/>
                <w:color w:val="000000"/>
                <w:kern w:val="0"/>
                <w:sz w:val="24"/>
              </w:rPr>
              <w:t>1.61%</w:t>
            </w:r>
          </w:p>
        </w:tc>
        <w:tc>
          <w:tcPr>
            <w:tcW w:w="1217" w:type="dxa"/>
            <w:vAlign w:val="center"/>
          </w:tcPr>
          <w:p w:rsidR="004E72E3" w:rsidRDefault="004F3D51">
            <w:pPr>
              <w:jc w:val="center"/>
            </w:pPr>
            <w:r>
              <w:rPr>
                <w:rFonts w:eastAsiaTheme="minorEastAsia"/>
                <w:color w:val="000000"/>
                <w:kern w:val="0"/>
                <w:sz w:val="24"/>
              </w:rPr>
              <w:t>-2.75%</w:t>
            </w:r>
          </w:p>
        </w:tc>
        <w:tc>
          <w:tcPr>
            <w:tcW w:w="1217" w:type="dxa"/>
            <w:vAlign w:val="center"/>
          </w:tcPr>
          <w:p w:rsidR="004E72E3" w:rsidRDefault="004F3D51">
            <w:pPr>
              <w:jc w:val="center"/>
            </w:pPr>
            <w:r>
              <w:rPr>
                <w:rFonts w:eastAsiaTheme="minorEastAsia"/>
                <w:color w:val="000000"/>
                <w:kern w:val="0"/>
                <w:sz w:val="24"/>
              </w:rPr>
              <w:t>-0.01%</w:t>
            </w:r>
          </w:p>
        </w:tc>
      </w:tr>
      <w:tr w:rsidR="004E72E3">
        <w:tc>
          <w:tcPr>
            <w:tcW w:w="1215" w:type="dxa"/>
            <w:vAlign w:val="center"/>
          </w:tcPr>
          <w:p w:rsidR="004E72E3" w:rsidRDefault="004F3D51">
            <w:pPr>
              <w:jc w:val="left"/>
            </w:pPr>
            <w:r>
              <w:rPr>
                <w:rFonts w:eastAsiaTheme="minorEastAsia"/>
                <w:color w:val="000000"/>
                <w:kern w:val="0"/>
                <w:sz w:val="24"/>
              </w:rPr>
              <w:t>过去五年</w:t>
            </w:r>
          </w:p>
        </w:tc>
        <w:tc>
          <w:tcPr>
            <w:tcW w:w="1216" w:type="dxa"/>
            <w:vAlign w:val="center"/>
          </w:tcPr>
          <w:p w:rsidR="004E72E3" w:rsidRDefault="004F3D51">
            <w:pPr>
              <w:jc w:val="center"/>
            </w:pPr>
            <w:r>
              <w:rPr>
                <w:rFonts w:eastAsiaTheme="minorEastAsia"/>
                <w:color w:val="000000"/>
                <w:kern w:val="0"/>
                <w:sz w:val="24"/>
              </w:rPr>
              <w:t>26.38%</w:t>
            </w:r>
          </w:p>
        </w:tc>
        <w:tc>
          <w:tcPr>
            <w:tcW w:w="1216" w:type="dxa"/>
            <w:vAlign w:val="center"/>
          </w:tcPr>
          <w:p w:rsidR="004E72E3" w:rsidRDefault="004F3D51">
            <w:pPr>
              <w:jc w:val="center"/>
            </w:pPr>
            <w:r>
              <w:rPr>
                <w:rFonts w:eastAsiaTheme="minorEastAsia"/>
                <w:color w:val="000000"/>
                <w:kern w:val="0"/>
                <w:sz w:val="24"/>
              </w:rPr>
              <w:t>1.68%</w:t>
            </w:r>
          </w:p>
        </w:tc>
        <w:tc>
          <w:tcPr>
            <w:tcW w:w="1216" w:type="dxa"/>
            <w:vAlign w:val="center"/>
          </w:tcPr>
          <w:p w:rsidR="004E72E3" w:rsidRDefault="004F3D51">
            <w:pPr>
              <w:jc w:val="center"/>
            </w:pPr>
            <w:r>
              <w:rPr>
                <w:rFonts w:eastAsiaTheme="minorEastAsia"/>
                <w:color w:val="000000"/>
                <w:kern w:val="0"/>
                <w:sz w:val="24"/>
              </w:rPr>
              <w:t>21.99%</w:t>
            </w:r>
          </w:p>
        </w:tc>
        <w:tc>
          <w:tcPr>
            <w:tcW w:w="1216" w:type="dxa"/>
            <w:vAlign w:val="center"/>
          </w:tcPr>
          <w:p w:rsidR="004E72E3" w:rsidRDefault="004F3D51">
            <w:pPr>
              <w:jc w:val="center"/>
            </w:pPr>
            <w:r>
              <w:rPr>
                <w:rFonts w:eastAsiaTheme="minorEastAsia"/>
                <w:color w:val="000000"/>
                <w:kern w:val="0"/>
                <w:sz w:val="24"/>
              </w:rPr>
              <w:t>1.67%</w:t>
            </w:r>
          </w:p>
        </w:tc>
        <w:tc>
          <w:tcPr>
            <w:tcW w:w="1217" w:type="dxa"/>
            <w:vAlign w:val="center"/>
          </w:tcPr>
          <w:p w:rsidR="004E72E3" w:rsidRDefault="004F3D51">
            <w:pPr>
              <w:jc w:val="center"/>
            </w:pPr>
            <w:r>
              <w:rPr>
                <w:rFonts w:eastAsiaTheme="minorEastAsia"/>
                <w:color w:val="000000"/>
                <w:kern w:val="0"/>
                <w:sz w:val="24"/>
              </w:rPr>
              <w:t>4.39%</w:t>
            </w:r>
          </w:p>
        </w:tc>
        <w:tc>
          <w:tcPr>
            <w:tcW w:w="1217" w:type="dxa"/>
            <w:vAlign w:val="center"/>
          </w:tcPr>
          <w:p w:rsidR="004E72E3" w:rsidRDefault="004F3D51">
            <w:pPr>
              <w:jc w:val="center"/>
            </w:pPr>
            <w:r>
              <w:rPr>
                <w:rFonts w:eastAsiaTheme="minorEastAsia"/>
                <w:color w:val="000000"/>
                <w:kern w:val="0"/>
                <w:sz w:val="24"/>
              </w:rPr>
              <w:t>0.01%</w:t>
            </w:r>
          </w:p>
        </w:tc>
      </w:tr>
      <w:tr w:rsidR="004E72E3">
        <w:tc>
          <w:tcPr>
            <w:tcW w:w="1215" w:type="dxa"/>
            <w:vAlign w:val="center"/>
          </w:tcPr>
          <w:p w:rsidR="004E72E3" w:rsidRDefault="004F3D51">
            <w:pPr>
              <w:jc w:val="left"/>
            </w:pPr>
            <w:r>
              <w:rPr>
                <w:rFonts w:eastAsiaTheme="minorEastAsia"/>
                <w:color w:val="000000"/>
                <w:kern w:val="0"/>
                <w:sz w:val="24"/>
              </w:rPr>
              <w:t>自基金合同生效至今</w:t>
            </w:r>
          </w:p>
        </w:tc>
        <w:tc>
          <w:tcPr>
            <w:tcW w:w="1216" w:type="dxa"/>
            <w:vAlign w:val="center"/>
          </w:tcPr>
          <w:p w:rsidR="004E72E3" w:rsidRDefault="004F3D51">
            <w:pPr>
              <w:jc w:val="center"/>
            </w:pPr>
            <w:r>
              <w:rPr>
                <w:rFonts w:eastAsiaTheme="minorEastAsia"/>
                <w:color w:val="000000"/>
                <w:kern w:val="0"/>
                <w:sz w:val="24"/>
              </w:rPr>
              <w:t>-9.10%</w:t>
            </w:r>
          </w:p>
        </w:tc>
        <w:tc>
          <w:tcPr>
            <w:tcW w:w="1216" w:type="dxa"/>
            <w:vAlign w:val="center"/>
          </w:tcPr>
          <w:p w:rsidR="004E72E3" w:rsidRDefault="004F3D51">
            <w:pPr>
              <w:jc w:val="center"/>
            </w:pPr>
            <w:r>
              <w:rPr>
                <w:rFonts w:eastAsiaTheme="minorEastAsia"/>
                <w:color w:val="000000"/>
                <w:kern w:val="0"/>
                <w:sz w:val="24"/>
              </w:rPr>
              <w:t>2.01%</w:t>
            </w:r>
          </w:p>
        </w:tc>
        <w:tc>
          <w:tcPr>
            <w:tcW w:w="1216" w:type="dxa"/>
            <w:vAlign w:val="center"/>
          </w:tcPr>
          <w:p w:rsidR="004E72E3" w:rsidRDefault="004F3D51">
            <w:pPr>
              <w:jc w:val="center"/>
            </w:pPr>
            <w:r>
              <w:rPr>
                <w:rFonts w:eastAsiaTheme="minorEastAsia"/>
                <w:color w:val="000000"/>
                <w:kern w:val="0"/>
                <w:sz w:val="24"/>
              </w:rPr>
              <w:t>6.20%</w:t>
            </w:r>
          </w:p>
        </w:tc>
        <w:tc>
          <w:tcPr>
            <w:tcW w:w="1216" w:type="dxa"/>
            <w:vAlign w:val="center"/>
          </w:tcPr>
          <w:p w:rsidR="004E72E3" w:rsidRDefault="004F3D51">
            <w:pPr>
              <w:jc w:val="center"/>
            </w:pPr>
            <w:r>
              <w:rPr>
                <w:rFonts w:eastAsiaTheme="minorEastAsia"/>
                <w:color w:val="000000"/>
                <w:kern w:val="0"/>
                <w:sz w:val="24"/>
              </w:rPr>
              <w:t>1.90%</w:t>
            </w:r>
          </w:p>
        </w:tc>
        <w:tc>
          <w:tcPr>
            <w:tcW w:w="1217" w:type="dxa"/>
            <w:vAlign w:val="center"/>
          </w:tcPr>
          <w:p w:rsidR="004E72E3" w:rsidRDefault="004F3D51">
            <w:pPr>
              <w:jc w:val="center"/>
            </w:pPr>
            <w:r>
              <w:rPr>
                <w:rFonts w:eastAsiaTheme="minorEastAsia"/>
                <w:color w:val="000000"/>
                <w:kern w:val="0"/>
                <w:sz w:val="24"/>
              </w:rPr>
              <w:t>-15.30%</w:t>
            </w:r>
          </w:p>
        </w:tc>
        <w:tc>
          <w:tcPr>
            <w:tcW w:w="1217" w:type="dxa"/>
            <w:vAlign w:val="center"/>
          </w:tcPr>
          <w:p w:rsidR="004E72E3" w:rsidRDefault="004F3D51">
            <w:pPr>
              <w:jc w:val="center"/>
            </w:pPr>
            <w:r>
              <w:rPr>
                <w:rFonts w:eastAsiaTheme="minorEastAsia"/>
                <w:color w:val="000000"/>
                <w:kern w:val="0"/>
                <w:sz w:val="24"/>
              </w:rPr>
              <w:t>0.11%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2020</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4E72E3">
        <w:tc>
          <w:tcPr>
            <w:tcW w:w="952" w:type="dxa"/>
            <w:vAlign w:val="center"/>
          </w:tcPr>
          <w:p w:rsidR="004E72E3" w:rsidRDefault="004F3D51">
            <w:pPr>
              <w:jc w:val="center"/>
            </w:pPr>
            <w:r>
              <w:rPr>
                <w:rFonts w:eastAsiaTheme="minorEastAsia"/>
                <w:color w:val="000000"/>
                <w:sz w:val="24"/>
              </w:rPr>
              <w:t>蔡铮</w:t>
            </w:r>
          </w:p>
        </w:tc>
        <w:tc>
          <w:tcPr>
            <w:tcW w:w="930" w:type="dxa"/>
            <w:vAlign w:val="center"/>
          </w:tcPr>
          <w:p w:rsidR="004E72E3" w:rsidRDefault="004F3D51">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210" w:type="dxa"/>
            <w:vAlign w:val="center"/>
          </w:tcPr>
          <w:p w:rsidR="004E72E3" w:rsidRDefault="004F3D51">
            <w:pPr>
              <w:jc w:val="center"/>
            </w:pPr>
            <w:r>
              <w:rPr>
                <w:rFonts w:eastAsiaTheme="minorEastAsia"/>
                <w:color w:val="000000"/>
                <w:sz w:val="24"/>
              </w:rPr>
              <w:t>2015-03-26</w:t>
            </w:r>
          </w:p>
        </w:tc>
        <w:tc>
          <w:tcPr>
            <w:tcW w:w="1309" w:type="dxa"/>
            <w:vAlign w:val="center"/>
          </w:tcPr>
          <w:p w:rsidR="004E72E3" w:rsidRDefault="004F3D51">
            <w:pPr>
              <w:jc w:val="center"/>
            </w:pPr>
            <w:r>
              <w:rPr>
                <w:rFonts w:eastAsiaTheme="minorEastAsia"/>
                <w:color w:val="000000"/>
                <w:sz w:val="24"/>
              </w:rPr>
              <w:t>-</w:t>
            </w:r>
          </w:p>
        </w:tc>
        <w:tc>
          <w:tcPr>
            <w:tcW w:w="1254" w:type="dxa"/>
            <w:vAlign w:val="center"/>
          </w:tcPr>
          <w:p w:rsidR="004E72E3" w:rsidRDefault="004F3D51">
            <w:pPr>
              <w:jc w:val="center"/>
            </w:pPr>
            <w:r>
              <w:rPr>
                <w:rFonts w:eastAsiaTheme="minorEastAsia"/>
                <w:color w:val="000000"/>
                <w:sz w:val="24"/>
              </w:rPr>
              <w:t>11</w:t>
            </w:r>
            <w:r>
              <w:rPr>
                <w:rFonts w:eastAsiaTheme="minorEastAsia"/>
                <w:color w:val="000000"/>
                <w:sz w:val="24"/>
              </w:rPr>
              <w:t>年</w:t>
            </w:r>
          </w:p>
        </w:tc>
        <w:tc>
          <w:tcPr>
            <w:tcW w:w="3276" w:type="dxa"/>
            <w:vAlign w:val="center"/>
          </w:tcPr>
          <w:p w:rsidR="004E72E3" w:rsidRDefault="004F3D51">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r>
              <w:rPr>
                <w:rFonts w:eastAsiaTheme="minorEastAsia"/>
                <w:color w:val="000000"/>
                <w:sz w:val="24"/>
              </w:rPr>
              <w:t>2018</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18</w:t>
            </w:r>
            <w:r>
              <w:rPr>
                <w:rFonts w:eastAsiaTheme="minorEastAsia"/>
                <w:color w:val="000000"/>
                <w:sz w:val="24"/>
              </w:rPr>
              <w:t>日至</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日担任交银施罗德致远量化智投策略定期开放混合型证券投资基金的基金经理。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公平交易制度的执行情况</w:t>
      </w:r>
    </w:p>
    <w:p w:rsidR="004E72E3" w:rsidRDefault="004F3D51">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72E3" w:rsidRDefault="004F3D51">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4E72E3" w:rsidRDefault="004F3D51">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4E72E3" w:rsidRDefault="004F3D51">
      <w:pPr>
        <w:spacing w:line="360" w:lineRule="auto"/>
        <w:ind w:firstLineChars="200" w:firstLine="480"/>
        <w:rPr>
          <w:rFonts w:eastAsiaTheme="minorEastAsia"/>
          <w:color w:val="000000"/>
          <w:kern w:val="0"/>
          <w:sz w:val="24"/>
        </w:rPr>
      </w:pPr>
      <w:r>
        <w:rPr>
          <w:rFonts w:eastAsiaTheme="minorEastAsia"/>
          <w:color w:val="000000"/>
          <w:kern w:val="0"/>
          <w:sz w:val="24"/>
        </w:rPr>
        <w:t>2020</w:t>
      </w:r>
      <w:r>
        <w:rPr>
          <w:rFonts w:eastAsiaTheme="minorEastAsia"/>
          <w:color w:val="000000"/>
          <w:kern w:val="0"/>
          <w:sz w:val="24"/>
        </w:rPr>
        <w:t>年三季度，国内疫情基本得到控制，经济继续保持修复性增长，企业盈利底部回升。九月制造业</w:t>
      </w:r>
      <w:r>
        <w:rPr>
          <w:rFonts w:eastAsiaTheme="minorEastAsia"/>
          <w:color w:val="000000"/>
          <w:kern w:val="0"/>
          <w:sz w:val="24"/>
        </w:rPr>
        <w:t>PMI</w:t>
      </w:r>
      <w:r>
        <w:rPr>
          <w:rFonts w:eastAsiaTheme="minorEastAsia"/>
          <w:color w:val="000000"/>
          <w:kern w:val="0"/>
          <w:sz w:val="24"/>
        </w:rPr>
        <w:t>连续七个月站上荣枯线。受益于宏观刺激政策发力，国内工业生产增速与结构持续改善，需求端的恢复力度也有所强化。随着国内疫情防控形势趋于稳定，三季度服务业复苏势头持续向好，居民消费需求加快释放，住宿、餐饮以及文化体育娱乐等行业活跃度有所提高。在此经济背景下，三季度</w:t>
      </w:r>
      <w:r>
        <w:rPr>
          <w:rFonts w:eastAsiaTheme="minorEastAsia"/>
          <w:color w:val="000000"/>
          <w:kern w:val="0"/>
          <w:sz w:val="24"/>
        </w:rPr>
        <w:t>A</w:t>
      </w:r>
      <w:r>
        <w:rPr>
          <w:rFonts w:eastAsiaTheme="minorEastAsia"/>
          <w:color w:val="000000"/>
          <w:kern w:val="0"/>
          <w:sz w:val="24"/>
        </w:rPr>
        <w:t>股市场在七月冲击年内高点后，进入高波动区间，市场短期震荡整固，整体波动率维持高位。作为跟踪基准指数的指数基金，三季度基金总体呈现先上行后震荡的态势。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2020</w:t>
      </w:r>
      <w:r w:rsidRPr="005E324A">
        <w:rPr>
          <w:rFonts w:eastAsiaTheme="minorEastAsia"/>
          <w:color w:val="000000"/>
          <w:kern w:val="0"/>
          <w:sz w:val="24"/>
        </w:rPr>
        <w:t>年四季度，海外疫情和美国大选等外部风险因素可能对短期市场产生一定冲击。但国内经济或将继续保持修复性增长，其中消费和出口上行趋势相对明显。未来我国财政和货币政策仍将大概率保持</w:t>
      </w:r>
      <w:r w:rsidR="00BD58F9">
        <w:rPr>
          <w:rFonts w:eastAsiaTheme="minorEastAsia" w:hint="eastAsia"/>
          <w:color w:val="000000"/>
          <w:kern w:val="0"/>
          <w:sz w:val="24"/>
        </w:rPr>
        <w:t>稳健</w:t>
      </w:r>
      <w:bookmarkStart w:id="0" w:name="_GoBack"/>
      <w:bookmarkEnd w:id="0"/>
      <w:r w:rsidRPr="005E324A">
        <w:rPr>
          <w:rFonts w:eastAsiaTheme="minorEastAsia"/>
          <w:color w:val="000000"/>
          <w:kern w:val="0"/>
          <w:sz w:val="24"/>
        </w:rPr>
        <w:t>，十四五规划的落地或将成为四季度政策层面的重要影响因素。从中长期来看，</w:t>
      </w:r>
      <w:r w:rsidRPr="005E324A">
        <w:rPr>
          <w:rFonts w:eastAsiaTheme="minorEastAsia"/>
          <w:color w:val="000000"/>
          <w:kern w:val="0"/>
          <w:sz w:val="24"/>
        </w:rPr>
        <w:t>A</w:t>
      </w:r>
      <w:r w:rsidRPr="005E324A">
        <w:rPr>
          <w:rFonts w:eastAsiaTheme="minorEastAsia"/>
          <w:color w:val="000000"/>
          <w:kern w:val="0"/>
          <w:sz w:val="24"/>
        </w:rPr>
        <w:t>股盈利能力与成长性将持续修复，</w:t>
      </w:r>
      <w:r w:rsidRPr="005E324A">
        <w:rPr>
          <w:rFonts w:eastAsiaTheme="minorEastAsia"/>
          <w:color w:val="000000"/>
          <w:kern w:val="0"/>
          <w:sz w:val="24"/>
        </w:rPr>
        <w:t>“</w:t>
      </w:r>
      <w:r w:rsidRPr="005E324A">
        <w:rPr>
          <w:rFonts w:eastAsiaTheme="minorEastAsia"/>
          <w:color w:val="000000"/>
          <w:kern w:val="0"/>
          <w:sz w:val="24"/>
        </w:rPr>
        <w:t>内循环</w:t>
      </w:r>
      <w:r w:rsidRPr="005E324A">
        <w:rPr>
          <w:rFonts w:eastAsiaTheme="minorEastAsia"/>
          <w:color w:val="000000"/>
          <w:kern w:val="0"/>
          <w:sz w:val="24"/>
        </w:rPr>
        <w:t>”</w:t>
      </w:r>
      <w:r w:rsidRPr="005E324A">
        <w:rPr>
          <w:rFonts w:eastAsiaTheme="minorEastAsia"/>
          <w:color w:val="000000"/>
          <w:kern w:val="0"/>
          <w:sz w:val="24"/>
        </w:rPr>
        <w:t>战略与创业板注册制的实施进一步支持创新型企业的发展。总体而言，随着企业盈利修复，从中长期来看我们对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237,385,553.01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92.56</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237,385,553.01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92.56</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19,035,621.12</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7.42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43,610.50</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256,464,784.63</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3A52D2" w:rsidRPr="003A52D2" w:rsidRDefault="003A52D2" w:rsidP="003A52D2">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31,302.40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31,302.40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bl>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2,889,742.60</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1.13</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209,711,600.29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82.14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13,285,838.11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5.20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3,207,116.64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5,601,387.97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2.19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2,658,565.00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1.04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237,354,250.61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92.97</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4E72E3">
        <w:tc>
          <w:tcPr>
            <w:tcW w:w="817" w:type="dxa"/>
            <w:vAlign w:val="center"/>
          </w:tcPr>
          <w:p w:rsidR="004E72E3" w:rsidRDefault="004F3D51">
            <w:pPr>
              <w:jc w:val="center"/>
            </w:pPr>
            <w:r>
              <w:rPr>
                <w:rFonts w:eastAsiaTheme="minorEastAsia"/>
                <w:color w:val="000000"/>
                <w:sz w:val="24"/>
              </w:rPr>
              <w:t>1</w:t>
            </w:r>
          </w:p>
        </w:tc>
        <w:tc>
          <w:tcPr>
            <w:tcW w:w="1276" w:type="dxa"/>
            <w:vAlign w:val="center"/>
          </w:tcPr>
          <w:p w:rsidR="004E72E3" w:rsidRDefault="004F3D51">
            <w:pPr>
              <w:jc w:val="center"/>
            </w:pPr>
            <w:r>
              <w:rPr>
                <w:rFonts w:eastAsiaTheme="minorEastAsia"/>
                <w:color w:val="000000"/>
                <w:sz w:val="24"/>
              </w:rPr>
              <w:t>601012</w:t>
            </w:r>
          </w:p>
        </w:tc>
        <w:tc>
          <w:tcPr>
            <w:tcW w:w="1701" w:type="dxa"/>
            <w:vAlign w:val="center"/>
          </w:tcPr>
          <w:p w:rsidR="004E72E3" w:rsidRDefault="004F3D51">
            <w:pPr>
              <w:jc w:val="center"/>
            </w:pPr>
            <w:r>
              <w:rPr>
                <w:rFonts w:eastAsiaTheme="minorEastAsia"/>
                <w:color w:val="000000"/>
                <w:sz w:val="24"/>
              </w:rPr>
              <w:t>隆基股份</w:t>
            </w:r>
          </w:p>
        </w:tc>
        <w:tc>
          <w:tcPr>
            <w:tcW w:w="1276" w:type="dxa"/>
            <w:vAlign w:val="center"/>
          </w:tcPr>
          <w:p w:rsidR="004E72E3" w:rsidRDefault="004F3D51">
            <w:pPr>
              <w:jc w:val="right"/>
            </w:pPr>
            <w:r>
              <w:rPr>
                <w:rFonts w:eastAsiaTheme="minorEastAsia"/>
                <w:color w:val="000000"/>
                <w:sz w:val="24"/>
              </w:rPr>
              <w:t>86,472</w:t>
            </w:r>
          </w:p>
        </w:tc>
        <w:tc>
          <w:tcPr>
            <w:tcW w:w="1842" w:type="dxa"/>
            <w:vAlign w:val="center"/>
          </w:tcPr>
          <w:p w:rsidR="004E72E3" w:rsidRDefault="004F3D51">
            <w:pPr>
              <w:jc w:val="right"/>
            </w:pPr>
            <w:r>
              <w:rPr>
                <w:rFonts w:eastAsiaTheme="minorEastAsia"/>
                <w:color w:val="000000"/>
                <w:sz w:val="24"/>
              </w:rPr>
              <w:t>6,486,264.72</w:t>
            </w:r>
          </w:p>
        </w:tc>
        <w:tc>
          <w:tcPr>
            <w:tcW w:w="1616" w:type="dxa"/>
            <w:vAlign w:val="center"/>
          </w:tcPr>
          <w:p w:rsidR="004E72E3" w:rsidRDefault="004F3D51">
            <w:pPr>
              <w:jc w:val="right"/>
            </w:pPr>
            <w:r>
              <w:rPr>
                <w:rFonts w:eastAsiaTheme="minorEastAsia"/>
                <w:color w:val="000000"/>
                <w:sz w:val="24"/>
              </w:rPr>
              <w:t>2.54</w:t>
            </w:r>
          </w:p>
        </w:tc>
      </w:tr>
      <w:tr w:rsidR="004E72E3">
        <w:tc>
          <w:tcPr>
            <w:tcW w:w="817" w:type="dxa"/>
            <w:vAlign w:val="center"/>
          </w:tcPr>
          <w:p w:rsidR="004E72E3" w:rsidRDefault="004F3D51">
            <w:pPr>
              <w:jc w:val="center"/>
            </w:pPr>
            <w:r>
              <w:rPr>
                <w:rFonts w:eastAsiaTheme="minorEastAsia"/>
                <w:color w:val="000000"/>
                <w:sz w:val="24"/>
              </w:rPr>
              <w:t>2</w:t>
            </w:r>
          </w:p>
        </w:tc>
        <w:tc>
          <w:tcPr>
            <w:tcW w:w="1276" w:type="dxa"/>
            <w:vAlign w:val="center"/>
          </w:tcPr>
          <w:p w:rsidR="004E72E3" w:rsidRDefault="004F3D51">
            <w:pPr>
              <w:jc w:val="center"/>
            </w:pPr>
            <w:r>
              <w:rPr>
                <w:rFonts w:eastAsiaTheme="minorEastAsia"/>
                <w:color w:val="000000"/>
                <w:sz w:val="24"/>
              </w:rPr>
              <w:t>300274</w:t>
            </w:r>
          </w:p>
        </w:tc>
        <w:tc>
          <w:tcPr>
            <w:tcW w:w="1701" w:type="dxa"/>
            <w:vAlign w:val="center"/>
          </w:tcPr>
          <w:p w:rsidR="004E72E3" w:rsidRDefault="004F3D51">
            <w:pPr>
              <w:jc w:val="center"/>
            </w:pPr>
            <w:r>
              <w:rPr>
                <w:rFonts w:eastAsiaTheme="minorEastAsia"/>
                <w:color w:val="000000"/>
                <w:sz w:val="24"/>
              </w:rPr>
              <w:t>阳光电源</w:t>
            </w:r>
          </w:p>
        </w:tc>
        <w:tc>
          <w:tcPr>
            <w:tcW w:w="1276" w:type="dxa"/>
            <w:vAlign w:val="center"/>
          </w:tcPr>
          <w:p w:rsidR="004E72E3" w:rsidRDefault="004F3D51">
            <w:pPr>
              <w:jc w:val="right"/>
            </w:pPr>
            <w:r>
              <w:rPr>
                <w:rFonts w:eastAsiaTheme="minorEastAsia"/>
                <w:color w:val="000000"/>
                <w:sz w:val="24"/>
              </w:rPr>
              <w:t>229,781</w:t>
            </w:r>
          </w:p>
        </w:tc>
        <w:tc>
          <w:tcPr>
            <w:tcW w:w="1842" w:type="dxa"/>
            <w:vAlign w:val="center"/>
          </w:tcPr>
          <w:p w:rsidR="004E72E3" w:rsidRDefault="004F3D51">
            <w:pPr>
              <w:jc w:val="right"/>
            </w:pPr>
            <w:r>
              <w:rPr>
                <w:rFonts w:eastAsiaTheme="minorEastAsia"/>
                <w:color w:val="000000"/>
                <w:sz w:val="24"/>
              </w:rPr>
              <w:t>6,316,679.69</w:t>
            </w:r>
          </w:p>
        </w:tc>
        <w:tc>
          <w:tcPr>
            <w:tcW w:w="1616" w:type="dxa"/>
            <w:vAlign w:val="center"/>
          </w:tcPr>
          <w:p w:rsidR="004E72E3" w:rsidRDefault="004F3D51">
            <w:pPr>
              <w:jc w:val="right"/>
            </w:pPr>
            <w:r>
              <w:rPr>
                <w:rFonts w:eastAsiaTheme="minorEastAsia"/>
                <w:color w:val="000000"/>
                <w:sz w:val="24"/>
              </w:rPr>
              <w:t>2.47</w:t>
            </w:r>
          </w:p>
        </w:tc>
      </w:tr>
      <w:tr w:rsidR="004E72E3">
        <w:tc>
          <w:tcPr>
            <w:tcW w:w="817" w:type="dxa"/>
            <w:vAlign w:val="center"/>
          </w:tcPr>
          <w:p w:rsidR="004E72E3" w:rsidRDefault="004F3D51">
            <w:pPr>
              <w:jc w:val="center"/>
            </w:pPr>
            <w:r>
              <w:rPr>
                <w:rFonts w:eastAsiaTheme="minorEastAsia"/>
                <w:color w:val="000000"/>
                <w:sz w:val="24"/>
              </w:rPr>
              <w:t>3</w:t>
            </w:r>
          </w:p>
        </w:tc>
        <w:tc>
          <w:tcPr>
            <w:tcW w:w="1276" w:type="dxa"/>
            <w:vAlign w:val="center"/>
          </w:tcPr>
          <w:p w:rsidR="004E72E3" w:rsidRDefault="004F3D51">
            <w:pPr>
              <w:jc w:val="center"/>
            </w:pPr>
            <w:r>
              <w:rPr>
                <w:rFonts w:eastAsiaTheme="minorEastAsia"/>
                <w:color w:val="000000"/>
                <w:sz w:val="24"/>
              </w:rPr>
              <w:t>603806</w:t>
            </w:r>
          </w:p>
        </w:tc>
        <w:tc>
          <w:tcPr>
            <w:tcW w:w="1701" w:type="dxa"/>
            <w:vAlign w:val="center"/>
          </w:tcPr>
          <w:p w:rsidR="004E72E3" w:rsidRDefault="004F3D51">
            <w:pPr>
              <w:jc w:val="center"/>
            </w:pPr>
            <w:r>
              <w:rPr>
                <w:rFonts w:eastAsiaTheme="minorEastAsia"/>
                <w:color w:val="000000"/>
                <w:sz w:val="24"/>
              </w:rPr>
              <w:t>福斯特</w:t>
            </w:r>
          </w:p>
        </w:tc>
        <w:tc>
          <w:tcPr>
            <w:tcW w:w="1276" w:type="dxa"/>
            <w:vAlign w:val="center"/>
          </w:tcPr>
          <w:p w:rsidR="004E72E3" w:rsidRDefault="004F3D51">
            <w:pPr>
              <w:jc w:val="right"/>
            </w:pPr>
            <w:r>
              <w:rPr>
                <w:rFonts w:eastAsiaTheme="minorEastAsia"/>
                <w:color w:val="000000"/>
                <w:sz w:val="24"/>
              </w:rPr>
              <w:t>79,620</w:t>
            </w:r>
          </w:p>
        </w:tc>
        <w:tc>
          <w:tcPr>
            <w:tcW w:w="1842" w:type="dxa"/>
            <w:vAlign w:val="center"/>
          </w:tcPr>
          <w:p w:rsidR="004E72E3" w:rsidRDefault="004F3D51">
            <w:pPr>
              <w:jc w:val="right"/>
            </w:pPr>
            <w:r>
              <w:rPr>
                <w:rFonts w:eastAsiaTheme="minorEastAsia"/>
                <w:color w:val="000000"/>
                <w:sz w:val="24"/>
              </w:rPr>
              <w:t>5,819,425.80</w:t>
            </w:r>
          </w:p>
        </w:tc>
        <w:tc>
          <w:tcPr>
            <w:tcW w:w="1616" w:type="dxa"/>
            <w:vAlign w:val="center"/>
          </w:tcPr>
          <w:p w:rsidR="004E72E3" w:rsidRDefault="004F3D51">
            <w:pPr>
              <w:jc w:val="right"/>
            </w:pPr>
            <w:r>
              <w:rPr>
                <w:rFonts w:eastAsiaTheme="minorEastAsia"/>
                <w:color w:val="000000"/>
                <w:sz w:val="24"/>
              </w:rPr>
              <w:t>2.28</w:t>
            </w:r>
          </w:p>
        </w:tc>
      </w:tr>
      <w:tr w:rsidR="004E72E3">
        <w:tc>
          <w:tcPr>
            <w:tcW w:w="817" w:type="dxa"/>
            <w:vAlign w:val="center"/>
          </w:tcPr>
          <w:p w:rsidR="004E72E3" w:rsidRDefault="004F3D51">
            <w:pPr>
              <w:jc w:val="center"/>
            </w:pPr>
            <w:r>
              <w:rPr>
                <w:rFonts w:eastAsiaTheme="minorEastAsia"/>
                <w:color w:val="000000"/>
                <w:sz w:val="24"/>
              </w:rPr>
              <w:t>4</w:t>
            </w:r>
          </w:p>
        </w:tc>
        <w:tc>
          <w:tcPr>
            <w:tcW w:w="1276" w:type="dxa"/>
            <w:vAlign w:val="center"/>
          </w:tcPr>
          <w:p w:rsidR="004E72E3" w:rsidRDefault="004F3D51">
            <w:pPr>
              <w:jc w:val="center"/>
            </w:pPr>
            <w:r>
              <w:rPr>
                <w:rFonts w:eastAsiaTheme="minorEastAsia"/>
                <w:color w:val="000000"/>
                <w:sz w:val="24"/>
              </w:rPr>
              <w:t>300376</w:t>
            </w:r>
          </w:p>
        </w:tc>
        <w:tc>
          <w:tcPr>
            <w:tcW w:w="1701" w:type="dxa"/>
            <w:vAlign w:val="center"/>
          </w:tcPr>
          <w:p w:rsidR="004E72E3" w:rsidRDefault="004F3D51">
            <w:pPr>
              <w:jc w:val="center"/>
            </w:pPr>
            <w:r>
              <w:rPr>
                <w:rFonts w:eastAsiaTheme="minorEastAsia"/>
                <w:color w:val="000000"/>
                <w:sz w:val="24"/>
              </w:rPr>
              <w:t>易事特</w:t>
            </w:r>
          </w:p>
        </w:tc>
        <w:tc>
          <w:tcPr>
            <w:tcW w:w="1276" w:type="dxa"/>
            <w:vAlign w:val="center"/>
          </w:tcPr>
          <w:p w:rsidR="004E72E3" w:rsidRDefault="004F3D51">
            <w:pPr>
              <w:jc w:val="right"/>
            </w:pPr>
            <w:r>
              <w:rPr>
                <w:rFonts w:eastAsiaTheme="minorEastAsia"/>
                <w:color w:val="000000"/>
                <w:sz w:val="24"/>
              </w:rPr>
              <w:t>561,600</w:t>
            </w:r>
          </w:p>
        </w:tc>
        <w:tc>
          <w:tcPr>
            <w:tcW w:w="1842" w:type="dxa"/>
            <w:vAlign w:val="center"/>
          </w:tcPr>
          <w:p w:rsidR="004E72E3" w:rsidRDefault="004F3D51">
            <w:pPr>
              <w:jc w:val="right"/>
            </w:pPr>
            <w:r>
              <w:rPr>
                <w:rFonts w:eastAsiaTheme="minorEastAsia"/>
                <w:color w:val="000000"/>
                <w:sz w:val="24"/>
              </w:rPr>
              <w:t>5,155,488.00</w:t>
            </w:r>
          </w:p>
        </w:tc>
        <w:tc>
          <w:tcPr>
            <w:tcW w:w="1616" w:type="dxa"/>
            <w:vAlign w:val="center"/>
          </w:tcPr>
          <w:p w:rsidR="004E72E3" w:rsidRDefault="004F3D51">
            <w:pPr>
              <w:jc w:val="right"/>
            </w:pPr>
            <w:r>
              <w:rPr>
                <w:rFonts w:eastAsiaTheme="minorEastAsia"/>
                <w:color w:val="000000"/>
                <w:sz w:val="24"/>
              </w:rPr>
              <w:t>2.02</w:t>
            </w:r>
          </w:p>
        </w:tc>
      </w:tr>
      <w:tr w:rsidR="004E72E3">
        <w:tc>
          <w:tcPr>
            <w:tcW w:w="817" w:type="dxa"/>
            <w:vAlign w:val="center"/>
          </w:tcPr>
          <w:p w:rsidR="004E72E3" w:rsidRDefault="004F3D51">
            <w:pPr>
              <w:jc w:val="center"/>
            </w:pPr>
            <w:r>
              <w:rPr>
                <w:rFonts w:eastAsiaTheme="minorEastAsia"/>
                <w:color w:val="000000"/>
                <w:sz w:val="24"/>
              </w:rPr>
              <w:t>5</w:t>
            </w:r>
          </w:p>
        </w:tc>
        <w:tc>
          <w:tcPr>
            <w:tcW w:w="1276" w:type="dxa"/>
            <w:vAlign w:val="center"/>
          </w:tcPr>
          <w:p w:rsidR="004E72E3" w:rsidRDefault="004F3D51">
            <w:pPr>
              <w:jc w:val="center"/>
            </w:pPr>
            <w:r>
              <w:rPr>
                <w:rFonts w:eastAsiaTheme="minorEastAsia"/>
                <w:color w:val="000000"/>
                <w:sz w:val="24"/>
              </w:rPr>
              <w:t>002594</w:t>
            </w:r>
          </w:p>
        </w:tc>
        <w:tc>
          <w:tcPr>
            <w:tcW w:w="1701" w:type="dxa"/>
            <w:vAlign w:val="center"/>
          </w:tcPr>
          <w:p w:rsidR="004E72E3" w:rsidRDefault="004F3D51">
            <w:pPr>
              <w:jc w:val="center"/>
            </w:pPr>
            <w:r>
              <w:rPr>
                <w:rFonts w:eastAsiaTheme="minorEastAsia"/>
                <w:color w:val="000000"/>
                <w:sz w:val="24"/>
              </w:rPr>
              <w:t>比亚迪</w:t>
            </w:r>
          </w:p>
        </w:tc>
        <w:tc>
          <w:tcPr>
            <w:tcW w:w="1276" w:type="dxa"/>
            <w:vAlign w:val="center"/>
          </w:tcPr>
          <w:p w:rsidR="004E72E3" w:rsidRDefault="004F3D51">
            <w:pPr>
              <w:jc w:val="right"/>
            </w:pPr>
            <w:r>
              <w:rPr>
                <w:rFonts w:eastAsiaTheme="minorEastAsia"/>
                <w:color w:val="000000"/>
                <w:sz w:val="24"/>
              </w:rPr>
              <w:t>43,949</w:t>
            </w:r>
          </w:p>
        </w:tc>
        <w:tc>
          <w:tcPr>
            <w:tcW w:w="1842" w:type="dxa"/>
            <w:vAlign w:val="center"/>
          </w:tcPr>
          <w:p w:rsidR="004E72E3" w:rsidRDefault="004F3D51">
            <w:pPr>
              <w:jc w:val="right"/>
            </w:pPr>
            <w:r>
              <w:rPr>
                <w:rFonts w:eastAsiaTheme="minorEastAsia"/>
                <w:color w:val="000000"/>
                <w:sz w:val="24"/>
              </w:rPr>
              <w:t>5,108,631.76</w:t>
            </w:r>
          </w:p>
        </w:tc>
        <w:tc>
          <w:tcPr>
            <w:tcW w:w="1616" w:type="dxa"/>
            <w:vAlign w:val="center"/>
          </w:tcPr>
          <w:p w:rsidR="004E72E3" w:rsidRDefault="004F3D51">
            <w:pPr>
              <w:jc w:val="right"/>
            </w:pPr>
            <w:r>
              <w:rPr>
                <w:rFonts w:eastAsiaTheme="minorEastAsia"/>
                <w:color w:val="000000"/>
                <w:sz w:val="24"/>
              </w:rPr>
              <w:t>2.00</w:t>
            </w:r>
          </w:p>
        </w:tc>
      </w:tr>
      <w:tr w:rsidR="004E72E3">
        <w:tc>
          <w:tcPr>
            <w:tcW w:w="817" w:type="dxa"/>
            <w:vAlign w:val="center"/>
          </w:tcPr>
          <w:p w:rsidR="004E72E3" w:rsidRDefault="004F3D51">
            <w:pPr>
              <w:jc w:val="center"/>
            </w:pPr>
            <w:r>
              <w:rPr>
                <w:rFonts w:eastAsiaTheme="minorEastAsia"/>
                <w:color w:val="000000"/>
                <w:sz w:val="24"/>
              </w:rPr>
              <w:t>6</w:t>
            </w:r>
          </w:p>
        </w:tc>
        <w:tc>
          <w:tcPr>
            <w:tcW w:w="1276" w:type="dxa"/>
            <w:vAlign w:val="center"/>
          </w:tcPr>
          <w:p w:rsidR="004E72E3" w:rsidRDefault="004F3D51">
            <w:pPr>
              <w:jc w:val="center"/>
            </w:pPr>
            <w:r>
              <w:rPr>
                <w:rFonts w:eastAsiaTheme="minorEastAsia"/>
                <w:color w:val="000000"/>
                <w:sz w:val="24"/>
              </w:rPr>
              <w:t>600438</w:t>
            </w:r>
          </w:p>
        </w:tc>
        <w:tc>
          <w:tcPr>
            <w:tcW w:w="1701" w:type="dxa"/>
            <w:vAlign w:val="center"/>
          </w:tcPr>
          <w:p w:rsidR="004E72E3" w:rsidRDefault="004F3D51">
            <w:pPr>
              <w:jc w:val="center"/>
            </w:pPr>
            <w:r>
              <w:rPr>
                <w:rFonts w:eastAsiaTheme="minorEastAsia"/>
                <w:color w:val="000000"/>
                <w:sz w:val="24"/>
              </w:rPr>
              <w:t>通威股份</w:t>
            </w:r>
          </w:p>
        </w:tc>
        <w:tc>
          <w:tcPr>
            <w:tcW w:w="1276" w:type="dxa"/>
            <w:vAlign w:val="center"/>
          </w:tcPr>
          <w:p w:rsidR="004E72E3" w:rsidRDefault="004F3D51">
            <w:pPr>
              <w:jc w:val="right"/>
            </w:pPr>
            <w:r>
              <w:rPr>
                <w:rFonts w:eastAsiaTheme="minorEastAsia"/>
                <w:color w:val="000000"/>
                <w:sz w:val="24"/>
              </w:rPr>
              <w:t>186,604</w:t>
            </w:r>
          </w:p>
        </w:tc>
        <w:tc>
          <w:tcPr>
            <w:tcW w:w="1842" w:type="dxa"/>
            <w:vAlign w:val="center"/>
          </w:tcPr>
          <w:p w:rsidR="004E72E3" w:rsidRDefault="004F3D51">
            <w:pPr>
              <w:jc w:val="right"/>
            </w:pPr>
            <w:r>
              <w:rPr>
                <w:rFonts w:eastAsiaTheme="minorEastAsia"/>
                <w:color w:val="000000"/>
                <w:sz w:val="24"/>
              </w:rPr>
              <w:t>4,959,934.32</w:t>
            </w:r>
          </w:p>
        </w:tc>
        <w:tc>
          <w:tcPr>
            <w:tcW w:w="1616" w:type="dxa"/>
            <w:vAlign w:val="center"/>
          </w:tcPr>
          <w:p w:rsidR="004E72E3" w:rsidRDefault="004F3D51">
            <w:pPr>
              <w:jc w:val="right"/>
            </w:pPr>
            <w:r>
              <w:rPr>
                <w:rFonts w:eastAsiaTheme="minorEastAsia"/>
                <w:color w:val="000000"/>
                <w:sz w:val="24"/>
              </w:rPr>
              <w:t>1.94</w:t>
            </w:r>
          </w:p>
        </w:tc>
      </w:tr>
      <w:tr w:rsidR="004E72E3">
        <w:tc>
          <w:tcPr>
            <w:tcW w:w="817" w:type="dxa"/>
            <w:vAlign w:val="center"/>
          </w:tcPr>
          <w:p w:rsidR="004E72E3" w:rsidRDefault="004F3D51">
            <w:pPr>
              <w:jc w:val="center"/>
            </w:pPr>
            <w:r>
              <w:rPr>
                <w:rFonts w:eastAsiaTheme="minorEastAsia"/>
                <w:color w:val="000000"/>
                <w:sz w:val="24"/>
              </w:rPr>
              <w:t>7</w:t>
            </w:r>
          </w:p>
        </w:tc>
        <w:tc>
          <w:tcPr>
            <w:tcW w:w="1276" w:type="dxa"/>
            <w:vAlign w:val="center"/>
          </w:tcPr>
          <w:p w:rsidR="004E72E3" w:rsidRDefault="004F3D51">
            <w:pPr>
              <w:jc w:val="center"/>
            </w:pPr>
            <w:r>
              <w:rPr>
                <w:rFonts w:eastAsiaTheme="minorEastAsia"/>
                <w:color w:val="000000"/>
                <w:sz w:val="24"/>
              </w:rPr>
              <w:t>002709</w:t>
            </w:r>
          </w:p>
        </w:tc>
        <w:tc>
          <w:tcPr>
            <w:tcW w:w="1701" w:type="dxa"/>
            <w:vAlign w:val="center"/>
          </w:tcPr>
          <w:p w:rsidR="004E72E3" w:rsidRDefault="004F3D51">
            <w:pPr>
              <w:jc w:val="center"/>
            </w:pPr>
            <w:r>
              <w:rPr>
                <w:rFonts w:eastAsiaTheme="minorEastAsia"/>
                <w:color w:val="000000"/>
                <w:sz w:val="24"/>
              </w:rPr>
              <w:t>天赐材料</w:t>
            </w:r>
          </w:p>
        </w:tc>
        <w:tc>
          <w:tcPr>
            <w:tcW w:w="1276" w:type="dxa"/>
            <w:vAlign w:val="center"/>
          </w:tcPr>
          <w:p w:rsidR="004E72E3" w:rsidRDefault="004F3D51">
            <w:pPr>
              <w:jc w:val="right"/>
            </w:pPr>
            <w:r>
              <w:rPr>
                <w:rFonts w:eastAsiaTheme="minorEastAsia"/>
                <w:color w:val="000000"/>
                <w:sz w:val="24"/>
              </w:rPr>
              <w:t>93,437</w:t>
            </w:r>
          </w:p>
        </w:tc>
        <w:tc>
          <w:tcPr>
            <w:tcW w:w="1842" w:type="dxa"/>
            <w:vAlign w:val="center"/>
          </w:tcPr>
          <w:p w:rsidR="004E72E3" w:rsidRDefault="004F3D51">
            <w:pPr>
              <w:jc w:val="right"/>
            </w:pPr>
            <w:r>
              <w:rPr>
                <w:rFonts w:eastAsiaTheme="minorEastAsia"/>
                <w:color w:val="000000"/>
                <w:sz w:val="24"/>
              </w:rPr>
              <w:t>4,830,692.90</w:t>
            </w:r>
          </w:p>
        </w:tc>
        <w:tc>
          <w:tcPr>
            <w:tcW w:w="1616" w:type="dxa"/>
            <w:vAlign w:val="center"/>
          </w:tcPr>
          <w:p w:rsidR="004E72E3" w:rsidRDefault="004F3D51">
            <w:pPr>
              <w:jc w:val="right"/>
            </w:pPr>
            <w:r>
              <w:rPr>
                <w:rFonts w:eastAsiaTheme="minorEastAsia"/>
                <w:color w:val="000000"/>
                <w:sz w:val="24"/>
              </w:rPr>
              <w:t>1.89</w:t>
            </w:r>
          </w:p>
        </w:tc>
      </w:tr>
      <w:tr w:rsidR="004E72E3">
        <w:tc>
          <w:tcPr>
            <w:tcW w:w="817" w:type="dxa"/>
            <w:vAlign w:val="center"/>
          </w:tcPr>
          <w:p w:rsidR="004E72E3" w:rsidRDefault="004F3D51">
            <w:pPr>
              <w:jc w:val="center"/>
            </w:pPr>
            <w:r>
              <w:rPr>
                <w:rFonts w:eastAsiaTheme="minorEastAsia"/>
                <w:color w:val="000000"/>
                <w:sz w:val="24"/>
              </w:rPr>
              <w:t>8</w:t>
            </w:r>
          </w:p>
        </w:tc>
        <w:tc>
          <w:tcPr>
            <w:tcW w:w="1276" w:type="dxa"/>
            <w:vAlign w:val="center"/>
          </w:tcPr>
          <w:p w:rsidR="004E72E3" w:rsidRDefault="004F3D51">
            <w:pPr>
              <w:jc w:val="center"/>
            </w:pPr>
            <w:r>
              <w:rPr>
                <w:rFonts w:eastAsiaTheme="minorEastAsia"/>
                <w:color w:val="000000"/>
                <w:sz w:val="24"/>
              </w:rPr>
              <w:t>300124</w:t>
            </w:r>
          </w:p>
        </w:tc>
        <w:tc>
          <w:tcPr>
            <w:tcW w:w="1701" w:type="dxa"/>
            <w:vAlign w:val="center"/>
          </w:tcPr>
          <w:p w:rsidR="004E72E3" w:rsidRDefault="004F3D51">
            <w:pPr>
              <w:jc w:val="center"/>
            </w:pPr>
            <w:r>
              <w:rPr>
                <w:rFonts w:eastAsiaTheme="minorEastAsia"/>
                <w:color w:val="000000"/>
                <w:sz w:val="24"/>
              </w:rPr>
              <w:t>汇川技术</w:t>
            </w:r>
          </w:p>
        </w:tc>
        <w:tc>
          <w:tcPr>
            <w:tcW w:w="1276" w:type="dxa"/>
            <w:vAlign w:val="center"/>
          </w:tcPr>
          <w:p w:rsidR="004E72E3" w:rsidRDefault="004F3D51">
            <w:pPr>
              <w:jc w:val="right"/>
            </w:pPr>
            <w:r>
              <w:rPr>
                <w:rFonts w:eastAsiaTheme="minorEastAsia"/>
                <w:color w:val="000000"/>
                <w:sz w:val="24"/>
              </w:rPr>
              <w:t>79,858</w:t>
            </w:r>
          </w:p>
        </w:tc>
        <w:tc>
          <w:tcPr>
            <w:tcW w:w="1842" w:type="dxa"/>
            <w:vAlign w:val="center"/>
          </w:tcPr>
          <w:p w:rsidR="004E72E3" w:rsidRDefault="004F3D51">
            <w:pPr>
              <w:jc w:val="right"/>
            </w:pPr>
            <w:r>
              <w:rPr>
                <w:rFonts w:eastAsiaTheme="minorEastAsia"/>
                <w:color w:val="000000"/>
                <w:sz w:val="24"/>
              </w:rPr>
              <w:t>4,623,778.20</w:t>
            </w:r>
          </w:p>
        </w:tc>
        <w:tc>
          <w:tcPr>
            <w:tcW w:w="1616" w:type="dxa"/>
            <w:vAlign w:val="center"/>
          </w:tcPr>
          <w:p w:rsidR="004E72E3" w:rsidRDefault="004F3D51">
            <w:pPr>
              <w:jc w:val="right"/>
            </w:pPr>
            <w:r>
              <w:rPr>
                <w:rFonts w:eastAsiaTheme="minorEastAsia"/>
                <w:color w:val="000000"/>
                <w:sz w:val="24"/>
              </w:rPr>
              <w:t>1.81</w:t>
            </w:r>
          </w:p>
        </w:tc>
      </w:tr>
      <w:tr w:rsidR="004E72E3">
        <w:tc>
          <w:tcPr>
            <w:tcW w:w="817" w:type="dxa"/>
            <w:vAlign w:val="center"/>
          </w:tcPr>
          <w:p w:rsidR="004E72E3" w:rsidRDefault="004F3D51">
            <w:pPr>
              <w:jc w:val="center"/>
            </w:pPr>
            <w:r>
              <w:rPr>
                <w:rFonts w:eastAsiaTheme="minorEastAsia"/>
                <w:color w:val="000000"/>
                <w:sz w:val="24"/>
              </w:rPr>
              <w:t>9</w:t>
            </w:r>
          </w:p>
        </w:tc>
        <w:tc>
          <w:tcPr>
            <w:tcW w:w="1276" w:type="dxa"/>
            <w:vAlign w:val="center"/>
          </w:tcPr>
          <w:p w:rsidR="004E72E3" w:rsidRDefault="004F3D51">
            <w:pPr>
              <w:jc w:val="center"/>
            </w:pPr>
            <w:r>
              <w:rPr>
                <w:rFonts w:eastAsiaTheme="minorEastAsia"/>
                <w:color w:val="000000"/>
                <w:sz w:val="24"/>
              </w:rPr>
              <w:t>300207</w:t>
            </w:r>
          </w:p>
        </w:tc>
        <w:tc>
          <w:tcPr>
            <w:tcW w:w="1701" w:type="dxa"/>
            <w:vAlign w:val="center"/>
          </w:tcPr>
          <w:p w:rsidR="004E72E3" w:rsidRDefault="004F3D51">
            <w:pPr>
              <w:jc w:val="center"/>
            </w:pPr>
            <w:r>
              <w:rPr>
                <w:rFonts w:eastAsiaTheme="minorEastAsia"/>
                <w:color w:val="000000"/>
                <w:sz w:val="24"/>
              </w:rPr>
              <w:t>欣旺达</w:t>
            </w:r>
          </w:p>
        </w:tc>
        <w:tc>
          <w:tcPr>
            <w:tcW w:w="1276" w:type="dxa"/>
            <w:vAlign w:val="center"/>
          </w:tcPr>
          <w:p w:rsidR="004E72E3" w:rsidRDefault="004F3D51">
            <w:pPr>
              <w:jc w:val="right"/>
            </w:pPr>
            <w:r>
              <w:rPr>
                <w:rFonts w:eastAsiaTheme="minorEastAsia"/>
                <w:color w:val="000000"/>
                <w:sz w:val="24"/>
              </w:rPr>
              <w:t>165,671</w:t>
            </w:r>
          </w:p>
        </w:tc>
        <w:tc>
          <w:tcPr>
            <w:tcW w:w="1842" w:type="dxa"/>
            <w:vAlign w:val="center"/>
          </w:tcPr>
          <w:p w:rsidR="004E72E3" w:rsidRDefault="004F3D51">
            <w:pPr>
              <w:jc w:val="right"/>
            </w:pPr>
            <w:r>
              <w:rPr>
                <w:rFonts w:eastAsiaTheme="minorEastAsia"/>
                <w:color w:val="000000"/>
                <w:sz w:val="24"/>
              </w:rPr>
              <w:t>4,488,027.39</w:t>
            </w:r>
          </w:p>
        </w:tc>
        <w:tc>
          <w:tcPr>
            <w:tcW w:w="1616" w:type="dxa"/>
            <w:vAlign w:val="center"/>
          </w:tcPr>
          <w:p w:rsidR="004E72E3" w:rsidRDefault="004F3D51">
            <w:pPr>
              <w:jc w:val="right"/>
            </w:pPr>
            <w:r>
              <w:rPr>
                <w:rFonts w:eastAsiaTheme="minorEastAsia"/>
                <w:color w:val="000000"/>
                <w:sz w:val="24"/>
              </w:rPr>
              <w:t>1.76</w:t>
            </w:r>
          </w:p>
        </w:tc>
      </w:tr>
      <w:tr w:rsidR="004E72E3">
        <w:tc>
          <w:tcPr>
            <w:tcW w:w="817" w:type="dxa"/>
            <w:vAlign w:val="center"/>
          </w:tcPr>
          <w:p w:rsidR="004E72E3" w:rsidRDefault="004F3D51">
            <w:pPr>
              <w:jc w:val="center"/>
            </w:pPr>
            <w:r>
              <w:rPr>
                <w:rFonts w:eastAsiaTheme="minorEastAsia"/>
                <w:color w:val="000000"/>
                <w:sz w:val="24"/>
              </w:rPr>
              <w:t>10</w:t>
            </w:r>
          </w:p>
        </w:tc>
        <w:tc>
          <w:tcPr>
            <w:tcW w:w="1276" w:type="dxa"/>
            <w:vAlign w:val="center"/>
          </w:tcPr>
          <w:p w:rsidR="004E72E3" w:rsidRDefault="004F3D51">
            <w:pPr>
              <w:jc w:val="center"/>
            </w:pPr>
            <w:r>
              <w:rPr>
                <w:rFonts w:eastAsiaTheme="minorEastAsia"/>
                <w:color w:val="000000"/>
                <w:sz w:val="24"/>
              </w:rPr>
              <w:t>300073</w:t>
            </w:r>
          </w:p>
        </w:tc>
        <w:tc>
          <w:tcPr>
            <w:tcW w:w="1701" w:type="dxa"/>
            <w:vAlign w:val="center"/>
          </w:tcPr>
          <w:p w:rsidR="004E72E3" w:rsidRDefault="004F3D51">
            <w:pPr>
              <w:jc w:val="center"/>
            </w:pPr>
            <w:r>
              <w:rPr>
                <w:rFonts w:eastAsiaTheme="minorEastAsia"/>
                <w:color w:val="000000"/>
                <w:sz w:val="24"/>
              </w:rPr>
              <w:t>当升科技</w:t>
            </w:r>
          </w:p>
        </w:tc>
        <w:tc>
          <w:tcPr>
            <w:tcW w:w="1276" w:type="dxa"/>
            <w:vAlign w:val="center"/>
          </w:tcPr>
          <w:p w:rsidR="004E72E3" w:rsidRDefault="004F3D51">
            <w:pPr>
              <w:jc w:val="right"/>
            </w:pPr>
            <w:r>
              <w:rPr>
                <w:rFonts w:eastAsiaTheme="minorEastAsia"/>
                <w:color w:val="000000"/>
                <w:sz w:val="24"/>
              </w:rPr>
              <w:t>95,032</w:t>
            </w:r>
          </w:p>
        </w:tc>
        <w:tc>
          <w:tcPr>
            <w:tcW w:w="1842" w:type="dxa"/>
            <w:vAlign w:val="center"/>
          </w:tcPr>
          <w:p w:rsidR="004E72E3" w:rsidRDefault="004F3D51">
            <w:pPr>
              <w:jc w:val="right"/>
            </w:pPr>
            <w:r>
              <w:rPr>
                <w:rFonts w:eastAsiaTheme="minorEastAsia"/>
                <w:color w:val="000000"/>
                <w:sz w:val="24"/>
              </w:rPr>
              <w:t>4,276,440.00</w:t>
            </w:r>
          </w:p>
        </w:tc>
        <w:tc>
          <w:tcPr>
            <w:tcW w:w="1616" w:type="dxa"/>
            <w:vAlign w:val="center"/>
          </w:tcPr>
          <w:p w:rsidR="004E72E3" w:rsidRDefault="004F3D51">
            <w:pPr>
              <w:jc w:val="right"/>
            </w:pPr>
            <w:r>
              <w:rPr>
                <w:rFonts w:eastAsiaTheme="minorEastAsia"/>
                <w:color w:val="000000"/>
                <w:sz w:val="24"/>
              </w:rPr>
              <w:t>1.67</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4E72E3">
        <w:tc>
          <w:tcPr>
            <w:tcW w:w="817" w:type="dxa"/>
            <w:vAlign w:val="center"/>
          </w:tcPr>
          <w:p w:rsidR="004E72E3" w:rsidRDefault="004F3D51">
            <w:pPr>
              <w:jc w:val="center"/>
            </w:pPr>
            <w:r>
              <w:rPr>
                <w:rFonts w:eastAsiaTheme="minorEastAsia"/>
                <w:color w:val="000000"/>
                <w:sz w:val="24"/>
              </w:rPr>
              <w:t>1</w:t>
            </w:r>
          </w:p>
        </w:tc>
        <w:tc>
          <w:tcPr>
            <w:tcW w:w="1276" w:type="dxa"/>
            <w:vAlign w:val="center"/>
          </w:tcPr>
          <w:p w:rsidR="004E72E3" w:rsidRDefault="004F3D51">
            <w:pPr>
              <w:jc w:val="center"/>
            </w:pPr>
            <w:r>
              <w:rPr>
                <w:rFonts w:eastAsiaTheme="minorEastAsia"/>
                <w:color w:val="000000"/>
                <w:sz w:val="24"/>
              </w:rPr>
              <w:t>300772</w:t>
            </w:r>
          </w:p>
        </w:tc>
        <w:tc>
          <w:tcPr>
            <w:tcW w:w="1701" w:type="dxa"/>
            <w:vAlign w:val="center"/>
          </w:tcPr>
          <w:p w:rsidR="004E72E3" w:rsidRDefault="004F3D51">
            <w:pPr>
              <w:jc w:val="center"/>
            </w:pPr>
            <w:r>
              <w:rPr>
                <w:rFonts w:eastAsiaTheme="minorEastAsia"/>
                <w:color w:val="000000"/>
                <w:sz w:val="24"/>
              </w:rPr>
              <w:t>运达股份</w:t>
            </w:r>
          </w:p>
        </w:tc>
        <w:tc>
          <w:tcPr>
            <w:tcW w:w="1276" w:type="dxa"/>
            <w:vAlign w:val="center"/>
          </w:tcPr>
          <w:p w:rsidR="004E72E3" w:rsidRDefault="004F3D51">
            <w:pPr>
              <w:jc w:val="right"/>
            </w:pPr>
            <w:r>
              <w:rPr>
                <w:rFonts w:eastAsiaTheme="minorEastAsia"/>
                <w:color w:val="000000"/>
                <w:sz w:val="24"/>
              </w:rPr>
              <w:t>2,336</w:t>
            </w:r>
          </w:p>
        </w:tc>
        <w:tc>
          <w:tcPr>
            <w:tcW w:w="1842" w:type="dxa"/>
            <w:vAlign w:val="center"/>
          </w:tcPr>
          <w:p w:rsidR="004E72E3" w:rsidRDefault="004F3D51">
            <w:pPr>
              <w:jc w:val="right"/>
            </w:pPr>
            <w:r>
              <w:rPr>
                <w:rFonts w:eastAsiaTheme="minorEastAsia"/>
                <w:color w:val="000000"/>
                <w:sz w:val="24"/>
              </w:rPr>
              <w:t>31,302.40</w:t>
            </w:r>
          </w:p>
        </w:tc>
        <w:tc>
          <w:tcPr>
            <w:tcW w:w="1616" w:type="dxa"/>
            <w:vAlign w:val="center"/>
          </w:tcPr>
          <w:p w:rsidR="004E72E3" w:rsidRDefault="004F3D51">
            <w:pPr>
              <w:jc w:val="right"/>
            </w:pPr>
            <w:r>
              <w:rPr>
                <w:rFonts w:eastAsiaTheme="minorEastAsia"/>
                <w:color w:val="000000"/>
                <w:sz w:val="24"/>
              </w:rPr>
              <w:t>0.01</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15,136.41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2,010.74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26,463.35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43,610.50</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196,567,370.02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15,489,431.00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15,489,431.00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1,747,461.33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34,591,270.62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4,791,166.00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-2,395,583.00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-2,395,583.00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168,514,726.73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13,093,848.00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13,093,848.00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707017">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t>根据《中华人民共和国证券投资基金法》、《公开募集证券投资基金运作管理办法》和《交银施罗德国证新能源指数分级证券投资基金基金合同》的有关规定，本基金管理人决定自2020年10月16日起至2020年10月27日17：00止以通讯方式召开本基金的基金份额持有人大会审议本基金转型并修改《基金合同》事宜，本基金管理人已分别于2020年9月25日、9月28日、9月29日在《上海证券报》及本公司网站发布了《交银施罗德基金管理有限公司关于以通讯方式召开交银施罗德国证新能源指数分级证券投资基金基金份额持有人大会的公告》及第一次、第二次提示性公告，详情请见相关公告。</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4E72E3" w:rsidRDefault="004F3D51">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A4" w:rsidRDefault="00B77EA4">
      <w:r>
        <w:separator/>
      </w:r>
    </w:p>
  </w:endnote>
  <w:endnote w:type="continuationSeparator" w:id="0">
    <w:p w:rsidR="00B77EA4" w:rsidRDefault="00B7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BD58F9">
      <w:rPr>
        <w:rStyle w:val="a7"/>
        <w:noProof/>
      </w:rPr>
      <w:t>8</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A4" w:rsidRDefault="00B77EA4">
      <w:r>
        <w:separator/>
      </w:r>
    </w:p>
  </w:footnote>
  <w:footnote w:type="continuationSeparator" w:id="0">
    <w:p w:rsidR="00B77EA4" w:rsidRDefault="00B77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E72E3"/>
    <w:rsid w:val="004F3D51"/>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77EA4"/>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8F9"/>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68BF"/>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16</Pages>
  <Words>1253</Words>
  <Characters>7143</Characters>
  <Application>Microsoft Office Word</Application>
  <DocSecurity>0</DocSecurity>
  <Lines>59</Lines>
  <Paragraphs>16</Paragraphs>
  <ScaleCrop>false</ScaleCrop>
  <Company>TRT. Ltd. Co.</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207</cp:revision>
  <cp:lastPrinted>2007-07-19T00:46:00Z</cp:lastPrinted>
  <dcterms:created xsi:type="dcterms:W3CDTF">2012-11-28T02:28:00Z</dcterms:created>
  <dcterms:modified xsi:type="dcterms:W3CDTF">2020-10-26T02:35:00Z</dcterms:modified>
</cp:coreProperties>
</file>