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交银施罗德稳健配置混合型证券投资基金</w:t>
      </w:r>
    </w:p>
    <w:p w:rsidR="002279D3" w:rsidRPr="0081286B" w:rsidRDefault="002279D3" w:rsidP="00C15CAC">
      <w:pPr>
        <w:spacing w:before="29" w:line="288" w:lineRule="auto"/>
        <w:jc w:val="center"/>
        <w:rPr>
          <w:b/>
          <w:sz w:val="36"/>
          <w:szCs w:val="36"/>
        </w:rPr>
      </w:pPr>
      <w:r w:rsidRPr="0081286B">
        <w:rPr>
          <w:b/>
          <w:sz w:val="36"/>
          <w:szCs w:val="36"/>
        </w:rPr>
        <w:t>2020</w:t>
      </w:r>
      <w:r w:rsidRPr="0081286B">
        <w:rPr>
          <w:b/>
          <w:sz w:val="36"/>
          <w:szCs w:val="36"/>
        </w:rPr>
        <w:t>年第</w:t>
      </w:r>
      <w:r w:rsidRPr="0081286B">
        <w:rPr>
          <w:b/>
          <w:sz w:val="36"/>
          <w:szCs w:val="36"/>
        </w:rPr>
        <w:t>2</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2020</w:t>
      </w:r>
      <w:r w:rsidRPr="0081286B">
        <w:rPr>
          <w:b/>
          <w:sz w:val="36"/>
          <w:szCs w:val="36"/>
        </w:rPr>
        <w:t>年</w:t>
      </w:r>
      <w:r w:rsidRPr="0081286B">
        <w:rPr>
          <w:b/>
          <w:sz w:val="36"/>
          <w:szCs w:val="36"/>
        </w:rPr>
        <w:t>6</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基金托管人：中国建设银行股份有限公司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二〇二〇年七月二十一日</w:t>
      </w:r>
    </w:p>
    <w:p w:rsidR="004061AC" w:rsidRPr="00414345" w:rsidRDefault="004061AC" w:rsidP="0011537B">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AB5778" w:rsidRDefault="00DD2F70">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AB5778" w:rsidRDefault="00DD2F70">
      <w:pPr>
        <w:spacing w:before="29" w:line="288"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2020</w:t>
      </w:r>
      <w:r>
        <w:rPr>
          <w:color w:val="000000"/>
          <w:sz w:val="24"/>
          <w:szCs w:val="24"/>
        </w:rPr>
        <w:t>年</w:t>
      </w:r>
      <w:r>
        <w:rPr>
          <w:color w:val="000000"/>
          <w:sz w:val="24"/>
          <w:szCs w:val="24"/>
        </w:rPr>
        <w:t>7</w:t>
      </w:r>
      <w:r>
        <w:rPr>
          <w:color w:val="000000"/>
          <w:sz w:val="24"/>
          <w:szCs w:val="24"/>
        </w:rPr>
        <w:t>月</w:t>
      </w:r>
      <w:r>
        <w:rPr>
          <w:color w:val="000000"/>
          <w:sz w:val="24"/>
          <w:szCs w:val="24"/>
        </w:rPr>
        <w:t>20</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AB5778" w:rsidRDefault="00DD2F70">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AB5778" w:rsidRDefault="00DD2F70">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AB5778" w:rsidRDefault="00DD2F70">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2020</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交银稳健配置混合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519690</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519690</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519691</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2006</w:t>
            </w:r>
            <w:r w:rsidRPr="00414345">
              <w:rPr>
                <w:color w:val="000000"/>
                <w:kern w:val="0"/>
                <w:sz w:val="24"/>
                <w:szCs w:val="24"/>
              </w:rPr>
              <w:t>年</w:t>
            </w:r>
            <w:r w:rsidRPr="00414345">
              <w:rPr>
                <w:color w:val="000000"/>
                <w:kern w:val="0"/>
                <w:sz w:val="24"/>
                <w:szCs w:val="24"/>
              </w:rPr>
              <w:t>6</w:t>
            </w:r>
            <w:r w:rsidRPr="00414345">
              <w:rPr>
                <w:color w:val="000000"/>
                <w:kern w:val="0"/>
                <w:sz w:val="24"/>
                <w:szCs w:val="24"/>
              </w:rPr>
              <w:t>月</w:t>
            </w:r>
            <w:r w:rsidRPr="00414345">
              <w:rPr>
                <w:color w:val="000000"/>
                <w:kern w:val="0"/>
                <w:sz w:val="24"/>
                <w:szCs w:val="24"/>
              </w:rPr>
              <w:t>14</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1,828,423,542.39</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将坚持并不断深化价值投资的基本理念，充分发挥专业研究与管理能力，根据宏观经济周期和市场环境的变化，自上而下灵活配置资产，自下而上精选证券，有效分散风险，谋求实现基金财产的长期稳定增长。</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把握宏观经济和投资市场的变化趋势，根据经济周期理论动态调整投资组合比例，自上而下配置资产，自下而上精选证券，有效分散风险。</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65%×MSCI</w:t>
            </w:r>
            <w:r w:rsidRPr="00414345">
              <w:rPr>
                <w:color w:val="000000"/>
                <w:kern w:val="0"/>
                <w:sz w:val="24"/>
                <w:szCs w:val="24"/>
              </w:rPr>
              <w:t>中国</w:t>
            </w:r>
            <w:r w:rsidRPr="00414345">
              <w:rPr>
                <w:color w:val="000000"/>
                <w:kern w:val="0"/>
                <w:sz w:val="24"/>
                <w:szCs w:val="24"/>
              </w:rPr>
              <w:t>A</w:t>
            </w:r>
            <w:r w:rsidRPr="00414345">
              <w:rPr>
                <w:color w:val="000000"/>
                <w:kern w:val="0"/>
                <w:sz w:val="24"/>
                <w:szCs w:val="24"/>
              </w:rPr>
              <w:t>股指数</w:t>
            </w:r>
            <w:r w:rsidRPr="00414345">
              <w:rPr>
                <w:color w:val="000000"/>
                <w:kern w:val="0"/>
                <w:sz w:val="24"/>
                <w:szCs w:val="24"/>
              </w:rPr>
              <w:t>+35%×</w:t>
            </w:r>
            <w:r w:rsidRPr="00414345">
              <w:rPr>
                <w:color w:val="000000"/>
                <w:kern w:val="0"/>
                <w:sz w:val="24"/>
                <w:szCs w:val="24"/>
              </w:rPr>
              <w:t>中证综合债券指数</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本基金是一只混合型基金，属于证券投资基金产品中的中等风险品种，本基金的风险与预期收益处于股票型基金和债券型基金之间。</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2A5C5A" w:rsidRPr="00414345" w:rsidTr="002A5C5A">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(2020</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-2020</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2A5C5A" w:rsidRPr="00414345" w:rsidTr="002A5C5A">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171,371,085.60</w:t>
            </w:r>
          </w:p>
        </w:tc>
      </w:tr>
      <w:tr w:rsidR="002A5C5A" w:rsidRPr="00414345" w:rsidTr="002A5C5A">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335,226,680.68</w:t>
            </w:r>
          </w:p>
        </w:tc>
      </w:tr>
      <w:tr w:rsidR="002A5C5A" w:rsidRPr="00414345" w:rsidTr="002A5C5A">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0.1655</w:t>
            </w:r>
          </w:p>
        </w:tc>
      </w:tr>
      <w:tr w:rsidR="002A5C5A" w:rsidRPr="00414345" w:rsidTr="002A5C5A">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2,703,549,982.64</w:t>
            </w:r>
          </w:p>
        </w:tc>
      </w:tr>
      <w:tr w:rsidR="002A5C5A" w:rsidRPr="00414345" w:rsidTr="002A5C5A">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1.4786</w:t>
            </w:r>
          </w:p>
        </w:tc>
      </w:tr>
    </w:tbl>
    <w:p w:rsidR="00AB5778" w:rsidRDefault="00DD2F70">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f2"/>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AB5778">
        <w:trPr>
          <w:jc w:val="center"/>
        </w:trPr>
        <w:tc>
          <w:tcPr>
            <w:tcW w:w="1701" w:type="dxa"/>
            <w:vAlign w:val="center"/>
          </w:tcPr>
          <w:p w:rsidR="00AB5778" w:rsidRDefault="00DD2F70">
            <w:pPr>
              <w:jc w:val="left"/>
            </w:pPr>
            <w:r>
              <w:rPr>
                <w:color w:val="000000"/>
                <w:sz w:val="24"/>
                <w:szCs w:val="24"/>
              </w:rPr>
              <w:t>过去三个月</w:t>
            </w:r>
          </w:p>
        </w:tc>
        <w:tc>
          <w:tcPr>
            <w:tcW w:w="1045" w:type="dxa"/>
            <w:vAlign w:val="center"/>
          </w:tcPr>
          <w:p w:rsidR="00AB5778" w:rsidRDefault="00DD2F70">
            <w:pPr>
              <w:jc w:val="center"/>
            </w:pPr>
            <w:r>
              <w:rPr>
                <w:color w:val="000000"/>
                <w:sz w:val="24"/>
                <w:szCs w:val="24"/>
              </w:rPr>
              <w:t>12.84%</w:t>
            </w:r>
          </w:p>
        </w:tc>
        <w:tc>
          <w:tcPr>
            <w:tcW w:w="1344" w:type="dxa"/>
            <w:vAlign w:val="center"/>
          </w:tcPr>
          <w:p w:rsidR="00AB5778" w:rsidRDefault="00DD2F70">
            <w:pPr>
              <w:jc w:val="center"/>
            </w:pPr>
            <w:r>
              <w:rPr>
                <w:color w:val="000000"/>
                <w:sz w:val="24"/>
                <w:szCs w:val="24"/>
              </w:rPr>
              <w:t>0.90%</w:t>
            </w:r>
          </w:p>
        </w:tc>
        <w:tc>
          <w:tcPr>
            <w:tcW w:w="1194" w:type="dxa"/>
            <w:vAlign w:val="center"/>
          </w:tcPr>
          <w:p w:rsidR="00AB5778" w:rsidRDefault="00DD2F70">
            <w:pPr>
              <w:jc w:val="center"/>
            </w:pPr>
            <w:r>
              <w:rPr>
                <w:color w:val="000000"/>
                <w:sz w:val="24"/>
                <w:szCs w:val="24"/>
              </w:rPr>
              <w:t>9.30%</w:t>
            </w:r>
          </w:p>
        </w:tc>
        <w:tc>
          <w:tcPr>
            <w:tcW w:w="1492" w:type="dxa"/>
            <w:vAlign w:val="center"/>
          </w:tcPr>
          <w:p w:rsidR="00AB5778" w:rsidRDefault="00DD2F70">
            <w:pPr>
              <w:jc w:val="center"/>
            </w:pPr>
            <w:r>
              <w:rPr>
                <w:color w:val="000000"/>
                <w:sz w:val="24"/>
                <w:szCs w:val="24"/>
              </w:rPr>
              <w:t>0.62%</w:t>
            </w:r>
          </w:p>
        </w:tc>
        <w:tc>
          <w:tcPr>
            <w:tcW w:w="1194" w:type="dxa"/>
            <w:vAlign w:val="center"/>
          </w:tcPr>
          <w:p w:rsidR="00AB5778" w:rsidRDefault="00DD2F70">
            <w:pPr>
              <w:jc w:val="center"/>
            </w:pPr>
            <w:r>
              <w:rPr>
                <w:color w:val="000000"/>
                <w:sz w:val="24"/>
                <w:szCs w:val="24"/>
              </w:rPr>
              <w:t>3.54%</w:t>
            </w:r>
          </w:p>
        </w:tc>
        <w:tc>
          <w:tcPr>
            <w:tcW w:w="898" w:type="dxa"/>
            <w:vAlign w:val="center"/>
          </w:tcPr>
          <w:p w:rsidR="00AB5778" w:rsidRDefault="00DD2F70">
            <w:pPr>
              <w:jc w:val="center"/>
            </w:pPr>
            <w:r>
              <w:rPr>
                <w:color w:val="000000"/>
                <w:sz w:val="24"/>
                <w:szCs w:val="24"/>
              </w:rPr>
              <w:t>0.28%</w:t>
            </w:r>
          </w:p>
        </w:tc>
      </w:tr>
      <w:tr w:rsidR="00AB5778">
        <w:trPr>
          <w:jc w:val="center"/>
        </w:trPr>
        <w:tc>
          <w:tcPr>
            <w:tcW w:w="1701" w:type="dxa"/>
            <w:vAlign w:val="center"/>
          </w:tcPr>
          <w:p w:rsidR="00AB5778" w:rsidRDefault="00DD2F70">
            <w:pPr>
              <w:jc w:val="left"/>
            </w:pPr>
            <w:r>
              <w:rPr>
                <w:color w:val="000000"/>
                <w:sz w:val="24"/>
                <w:szCs w:val="24"/>
              </w:rPr>
              <w:t>过去六个月</w:t>
            </w:r>
          </w:p>
        </w:tc>
        <w:tc>
          <w:tcPr>
            <w:tcW w:w="1045" w:type="dxa"/>
            <w:vAlign w:val="center"/>
          </w:tcPr>
          <w:p w:rsidR="00AB5778" w:rsidRDefault="00DD2F70">
            <w:pPr>
              <w:jc w:val="center"/>
            </w:pPr>
            <w:r>
              <w:rPr>
                <w:color w:val="000000"/>
                <w:sz w:val="24"/>
                <w:szCs w:val="24"/>
              </w:rPr>
              <w:t>11.63%</w:t>
            </w:r>
          </w:p>
        </w:tc>
        <w:tc>
          <w:tcPr>
            <w:tcW w:w="1344" w:type="dxa"/>
            <w:vAlign w:val="center"/>
          </w:tcPr>
          <w:p w:rsidR="00AB5778" w:rsidRDefault="00DD2F70">
            <w:pPr>
              <w:jc w:val="center"/>
            </w:pPr>
            <w:r>
              <w:rPr>
                <w:color w:val="000000"/>
                <w:sz w:val="24"/>
                <w:szCs w:val="24"/>
              </w:rPr>
              <w:t>1.53%</w:t>
            </w:r>
          </w:p>
        </w:tc>
        <w:tc>
          <w:tcPr>
            <w:tcW w:w="1194" w:type="dxa"/>
            <w:vAlign w:val="center"/>
          </w:tcPr>
          <w:p w:rsidR="00AB5778" w:rsidRDefault="00DD2F70">
            <w:pPr>
              <w:jc w:val="center"/>
            </w:pPr>
            <w:r>
              <w:rPr>
                <w:color w:val="000000"/>
                <w:sz w:val="24"/>
                <w:szCs w:val="24"/>
              </w:rPr>
              <w:t>4.71%</w:t>
            </w:r>
          </w:p>
        </w:tc>
        <w:tc>
          <w:tcPr>
            <w:tcW w:w="1492" w:type="dxa"/>
            <w:vAlign w:val="center"/>
          </w:tcPr>
          <w:p w:rsidR="00AB5778" w:rsidRDefault="00DD2F70">
            <w:pPr>
              <w:jc w:val="center"/>
            </w:pPr>
            <w:r>
              <w:rPr>
                <w:color w:val="000000"/>
                <w:sz w:val="24"/>
                <w:szCs w:val="24"/>
              </w:rPr>
              <w:t>1.02%</w:t>
            </w:r>
          </w:p>
        </w:tc>
        <w:tc>
          <w:tcPr>
            <w:tcW w:w="1194" w:type="dxa"/>
            <w:vAlign w:val="center"/>
          </w:tcPr>
          <w:p w:rsidR="00AB5778" w:rsidRDefault="00DD2F70">
            <w:pPr>
              <w:jc w:val="center"/>
            </w:pPr>
            <w:r>
              <w:rPr>
                <w:color w:val="000000"/>
                <w:sz w:val="24"/>
                <w:szCs w:val="24"/>
              </w:rPr>
              <w:t>6.92%</w:t>
            </w:r>
          </w:p>
        </w:tc>
        <w:tc>
          <w:tcPr>
            <w:tcW w:w="898" w:type="dxa"/>
            <w:vAlign w:val="center"/>
          </w:tcPr>
          <w:p w:rsidR="00AB5778" w:rsidRDefault="00DD2F70">
            <w:pPr>
              <w:jc w:val="center"/>
            </w:pPr>
            <w:r>
              <w:rPr>
                <w:color w:val="000000"/>
                <w:sz w:val="24"/>
                <w:szCs w:val="24"/>
              </w:rPr>
              <w:t>0.51%</w:t>
            </w:r>
          </w:p>
        </w:tc>
      </w:tr>
      <w:tr w:rsidR="00AB5778">
        <w:trPr>
          <w:jc w:val="center"/>
        </w:trPr>
        <w:tc>
          <w:tcPr>
            <w:tcW w:w="1701" w:type="dxa"/>
            <w:vAlign w:val="center"/>
          </w:tcPr>
          <w:p w:rsidR="00AB5778" w:rsidRDefault="00DD2F70">
            <w:pPr>
              <w:jc w:val="left"/>
            </w:pPr>
            <w:r>
              <w:rPr>
                <w:color w:val="000000"/>
                <w:sz w:val="24"/>
                <w:szCs w:val="24"/>
              </w:rPr>
              <w:t>过去一年</w:t>
            </w:r>
          </w:p>
        </w:tc>
        <w:tc>
          <w:tcPr>
            <w:tcW w:w="1045" w:type="dxa"/>
            <w:vAlign w:val="center"/>
          </w:tcPr>
          <w:p w:rsidR="00AB5778" w:rsidRDefault="00DD2F70">
            <w:pPr>
              <w:jc w:val="center"/>
            </w:pPr>
            <w:r>
              <w:rPr>
                <w:color w:val="000000"/>
                <w:sz w:val="24"/>
                <w:szCs w:val="24"/>
              </w:rPr>
              <w:t>30.38%</w:t>
            </w:r>
          </w:p>
        </w:tc>
        <w:tc>
          <w:tcPr>
            <w:tcW w:w="1344" w:type="dxa"/>
            <w:vAlign w:val="center"/>
          </w:tcPr>
          <w:p w:rsidR="00AB5778" w:rsidRDefault="00DD2F70">
            <w:pPr>
              <w:jc w:val="center"/>
            </w:pPr>
            <w:r>
              <w:rPr>
                <w:color w:val="000000"/>
                <w:sz w:val="24"/>
                <w:szCs w:val="24"/>
              </w:rPr>
              <w:t>1.23%</w:t>
            </w:r>
          </w:p>
        </w:tc>
        <w:tc>
          <w:tcPr>
            <w:tcW w:w="1194" w:type="dxa"/>
            <w:vAlign w:val="center"/>
          </w:tcPr>
          <w:p w:rsidR="00AB5778" w:rsidRDefault="00DD2F70">
            <w:pPr>
              <w:jc w:val="center"/>
            </w:pPr>
            <w:r>
              <w:rPr>
                <w:color w:val="000000"/>
                <w:sz w:val="24"/>
                <w:szCs w:val="24"/>
              </w:rPr>
              <w:t>11.03%</w:t>
            </w:r>
          </w:p>
        </w:tc>
        <w:tc>
          <w:tcPr>
            <w:tcW w:w="1492" w:type="dxa"/>
            <w:vAlign w:val="center"/>
          </w:tcPr>
          <w:p w:rsidR="00AB5778" w:rsidRDefault="00DD2F70">
            <w:pPr>
              <w:jc w:val="center"/>
            </w:pPr>
            <w:r>
              <w:rPr>
                <w:color w:val="000000"/>
                <w:sz w:val="24"/>
                <w:szCs w:val="24"/>
              </w:rPr>
              <w:t>0.82%</w:t>
            </w:r>
          </w:p>
        </w:tc>
        <w:tc>
          <w:tcPr>
            <w:tcW w:w="1194" w:type="dxa"/>
            <w:vAlign w:val="center"/>
          </w:tcPr>
          <w:p w:rsidR="00AB5778" w:rsidRDefault="00DD2F70">
            <w:pPr>
              <w:jc w:val="center"/>
            </w:pPr>
            <w:r>
              <w:rPr>
                <w:color w:val="000000"/>
                <w:sz w:val="24"/>
                <w:szCs w:val="24"/>
              </w:rPr>
              <w:t>19.35%</w:t>
            </w:r>
          </w:p>
        </w:tc>
        <w:tc>
          <w:tcPr>
            <w:tcW w:w="898" w:type="dxa"/>
            <w:vAlign w:val="center"/>
          </w:tcPr>
          <w:p w:rsidR="00AB5778" w:rsidRDefault="00DD2F70">
            <w:pPr>
              <w:jc w:val="center"/>
            </w:pPr>
            <w:r>
              <w:rPr>
                <w:color w:val="000000"/>
                <w:sz w:val="24"/>
                <w:szCs w:val="24"/>
              </w:rPr>
              <w:t>0.41%</w:t>
            </w:r>
          </w:p>
        </w:tc>
      </w:tr>
      <w:tr w:rsidR="00AB5778">
        <w:trPr>
          <w:jc w:val="center"/>
        </w:trPr>
        <w:tc>
          <w:tcPr>
            <w:tcW w:w="1701" w:type="dxa"/>
            <w:vAlign w:val="center"/>
          </w:tcPr>
          <w:p w:rsidR="00AB5778" w:rsidRDefault="00DD2F70">
            <w:pPr>
              <w:jc w:val="left"/>
            </w:pPr>
            <w:r>
              <w:rPr>
                <w:color w:val="000000"/>
                <w:sz w:val="24"/>
                <w:szCs w:val="24"/>
              </w:rPr>
              <w:t>过去三年</w:t>
            </w:r>
          </w:p>
        </w:tc>
        <w:tc>
          <w:tcPr>
            <w:tcW w:w="1045" w:type="dxa"/>
            <w:vAlign w:val="center"/>
          </w:tcPr>
          <w:p w:rsidR="00AB5778" w:rsidRDefault="00DD2F70">
            <w:pPr>
              <w:jc w:val="center"/>
            </w:pPr>
            <w:r>
              <w:rPr>
                <w:color w:val="000000"/>
                <w:sz w:val="24"/>
                <w:szCs w:val="24"/>
              </w:rPr>
              <w:t>41.33%</w:t>
            </w:r>
          </w:p>
        </w:tc>
        <w:tc>
          <w:tcPr>
            <w:tcW w:w="1344" w:type="dxa"/>
            <w:vAlign w:val="center"/>
          </w:tcPr>
          <w:p w:rsidR="00AB5778" w:rsidRDefault="00DD2F70">
            <w:pPr>
              <w:jc w:val="center"/>
            </w:pPr>
            <w:r>
              <w:rPr>
                <w:color w:val="000000"/>
                <w:sz w:val="24"/>
                <w:szCs w:val="24"/>
              </w:rPr>
              <w:t>1.25%</w:t>
            </w:r>
          </w:p>
        </w:tc>
        <w:tc>
          <w:tcPr>
            <w:tcW w:w="1194" w:type="dxa"/>
            <w:vAlign w:val="center"/>
          </w:tcPr>
          <w:p w:rsidR="00AB5778" w:rsidRDefault="00DD2F70">
            <w:pPr>
              <w:jc w:val="center"/>
            </w:pPr>
            <w:r>
              <w:rPr>
                <w:color w:val="000000"/>
                <w:sz w:val="24"/>
                <w:szCs w:val="24"/>
              </w:rPr>
              <w:t>10.40%</w:t>
            </w:r>
          </w:p>
        </w:tc>
        <w:tc>
          <w:tcPr>
            <w:tcW w:w="1492" w:type="dxa"/>
            <w:vAlign w:val="center"/>
          </w:tcPr>
          <w:p w:rsidR="00AB5778" w:rsidRDefault="00DD2F70">
            <w:pPr>
              <w:jc w:val="center"/>
            </w:pPr>
            <w:r>
              <w:rPr>
                <w:color w:val="000000"/>
                <w:sz w:val="24"/>
                <w:szCs w:val="24"/>
              </w:rPr>
              <w:t>0.83%</w:t>
            </w:r>
          </w:p>
        </w:tc>
        <w:tc>
          <w:tcPr>
            <w:tcW w:w="1194" w:type="dxa"/>
            <w:vAlign w:val="center"/>
          </w:tcPr>
          <w:p w:rsidR="00AB5778" w:rsidRDefault="00DD2F70">
            <w:pPr>
              <w:jc w:val="center"/>
            </w:pPr>
            <w:r>
              <w:rPr>
                <w:color w:val="000000"/>
                <w:sz w:val="24"/>
                <w:szCs w:val="24"/>
              </w:rPr>
              <w:t>30.93%</w:t>
            </w:r>
          </w:p>
        </w:tc>
        <w:tc>
          <w:tcPr>
            <w:tcW w:w="898" w:type="dxa"/>
            <w:vAlign w:val="center"/>
          </w:tcPr>
          <w:p w:rsidR="00AB5778" w:rsidRDefault="00DD2F70">
            <w:pPr>
              <w:jc w:val="center"/>
            </w:pPr>
            <w:r>
              <w:rPr>
                <w:color w:val="000000"/>
                <w:sz w:val="24"/>
                <w:szCs w:val="24"/>
              </w:rPr>
              <w:t>0.42%</w:t>
            </w:r>
          </w:p>
        </w:tc>
      </w:tr>
      <w:tr w:rsidR="00AB5778">
        <w:trPr>
          <w:jc w:val="center"/>
        </w:trPr>
        <w:tc>
          <w:tcPr>
            <w:tcW w:w="1701" w:type="dxa"/>
            <w:vAlign w:val="center"/>
          </w:tcPr>
          <w:p w:rsidR="00AB5778" w:rsidRDefault="00DD2F70">
            <w:pPr>
              <w:jc w:val="left"/>
            </w:pPr>
            <w:r>
              <w:rPr>
                <w:color w:val="000000"/>
                <w:sz w:val="24"/>
                <w:szCs w:val="24"/>
              </w:rPr>
              <w:t>过去五年</w:t>
            </w:r>
          </w:p>
        </w:tc>
        <w:tc>
          <w:tcPr>
            <w:tcW w:w="1045" w:type="dxa"/>
            <w:vAlign w:val="center"/>
          </w:tcPr>
          <w:p w:rsidR="00AB5778" w:rsidRDefault="00DD2F70">
            <w:pPr>
              <w:jc w:val="center"/>
            </w:pPr>
            <w:r>
              <w:rPr>
                <w:color w:val="000000"/>
                <w:sz w:val="24"/>
                <w:szCs w:val="24"/>
              </w:rPr>
              <w:t>30.74%</w:t>
            </w:r>
          </w:p>
        </w:tc>
        <w:tc>
          <w:tcPr>
            <w:tcW w:w="1344" w:type="dxa"/>
            <w:vAlign w:val="center"/>
          </w:tcPr>
          <w:p w:rsidR="00AB5778" w:rsidRDefault="00DD2F70">
            <w:pPr>
              <w:jc w:val="center"/>
            </w:pPr>
            <w:r>
              <w:rPr>
                <w:color w:val="000000"/>
                <w:sz w:val="24"/>
                <w:szCs w:val="24"/>
              </w:rPr>
              <w:t>1.36%</w:t>
            </w:r>
          </w:p>
        </w:tc>
        <w:tc>
          <w:tcPr>
            <w:tcW w:w="1194" w:type="dxa"/>
            <w:vAlign w:val="center"/>
          </w:tcPr>
          <w:p w:rsidR="00AB5778" w:rsidRDefault="00DD2F70">
            <w:pPr>
              <w:jc w:val="center"/>
            </w:pPr>
            <w:r>
              <w:rPr>
                <w:color w:val="000000"/>
                <w:sz w:val="24"/>
                <w:szCs w:val="24"/>
              </w:rPr>
              <w:t>-4.59%</w:t>
            </w:r>
          </w:p>
        </w:tc>
        <w:tc>
          <w:tcPr>
            <w:tcW w:w="1492" w:type="dxa"/>
            <w:vAlign w:val="center"/>
          </w:tcPr>
          <w:p w:rsidR="00AB5778" w:rsidRDefault="00DD2F70">
            <w:pPr>
              <w:jc w:val="center"/>
            </w:pPr>
            <w:r>
              <w:rPr>
                <w:color w:val="000000"/>
                <w:sz w:val="24"/>
                <w:szCs w:val="24"/>
              </w:rPr>
              <w:t>0.97%</w:t>
            </w:r>
          </w:p>
        </w:tc>
        <w:tc>
          <w:tcPr>
            <w:tcW w:w="1194" w:type="dxa"/>
            <w:vAlign w:val="center"/>
          </w:tcPr>
          <w:p w:rsidR="00AB5778" w:rsidRDefault="00DD2F70">
            <w:pPr>
              <w:jc w:val="center"/>
            </w:pPr>
            <w:r>
              <w:rPr>
                <w:color w:val="000000"/>
                <w:sz w:val="24"/>
                <w:szCs w:val="24"/>
              </w:rPr>
              <w:t>35.33%</w:t>
            </w:r>
          </w:p>
        </w:tc>
        <w:tc>
          <w:tcPr>
            <w:tcW w:w="898" w:type="dxa"/>
            <w:vAlign w:val="center"/>
          </w:tcPr>
          <w:p w:rsidR="00AB5778" w:rsidRDefault="00DD2F70">
            <w:pPr>
              <w:jc w:val="center"/>
            </w:pPr>
            <w:r>
              <w:rPr>
                <w:color w:val="000000"/>
                <w:sz w:val="24"/>
                <w:szCs w:val="24"/>
              </w:rPr>
              <w:t>0.39%</w:t>
            </w:r>
          </w:p>
        </w:tc>
      </w:tr>
      <w:tr w:rsidR="00AB5778">
        <w:trPr>
          <w:jc w:val="center"/>
        </w:trPr>
        <w:tc>
          <w:tcPr>
            <w:tcW w:w="1701" w:type="dxa"/>
            <w:vAlign w:val="center"/>
          </w:tcPr>
          <w:p w:rsidR="00AB5778" w:rsidRDefault="00DD2F70">
            <w:pPr>
              <w:jc w:val="left"/>
            </w:pPr>
            <w:r>
              <w:rPr>
                <w:color w:val="000000"/>
                <w:sz w:val="24"/>
                <w:szCs w:val="24"/>
              </w:rPr>
              <w:t>自基金合同生效起至今</w:t>
            </w:r>
          </w:p>
        </w:tc>
        <w:tc>
          <w:tcPr>
            <w:tcW w:w="1045" w:type="dxa"/>
            <w:vAlign w:val="center"/>
          </w:tcPr>
          <w:p w:rsidR="00AB5778" w:rsidRDefault="00DD2F70">
            <w:pPr>
              <w:jc w:val="center"/>
            </w:pPr>
            <w:r>
              <w:rPr>
                <w:color w:val="000000"/>
                <w:sz w:val="24"/>
                <w:szCs w:val="24"/>
              </w:rPr>
              <w:t>637.73%</w:t>
            </w:r>
          </w:p>
        </w:tc>
        <w:tc>
          <w:tcPr>
            <w:tcW w:w="1344" w:type="dxa"/>
            <w:vAlign w:val="center"/>
          </w:tcPr>
          <w:p w:rsidR="00AB5778" w:rsidRDefault="00DD2F70">
            <w:pPr>
              <w:jc w:val="center"/>
            </w:pPr>
            <w:r>
              <w:rPr>
                <w:color w:val="000000"/>
                <w:sz w:val="24"/>
                <w:szCs w:val="24"/>
              </w:rPr>
              <w:t>1.55%</w:t>
            </w:r>
          </w:p>
        </w:tc>
        <w:tc>
          <w:tcPr>
            <w:tcW w:w="1194" w:type="dxa"/>
            <w:vAlign w:val="center"/>
          </w:tcPr>
          <w:p w:rsidR="00AB5778" w:rsidRDefault="00DD2F70">
            <w:pPr>
              <w:jc w:val="center"/>
            </w:pPr>
            <w:r>
              <w:rPr>
                <w:color w:val="000000"/>
                <w:sz w:val="24"/>
                <w:szCs w:val="24"/>
              </w:rPr>
              <w:t>174.88%</w:t>
            </w:r>
          </w:p>
        </w:tc>
        <w:tc>
          <w:tcPr>
            <w:tcW w:w="1492" w:type="dxa"/>
            <w:vAlign w:val="center"/>
          </w:tcPr>
          <w:p w:rsidR="00AB5778" w:rsidRDefault="00DD2F70">
            <w:pPr>
              <w:jc w:val="center"/>
            </w:pPr>
            <w:r>
              <w:rPr>
                <w:color w:val="000000"/>
                <w:sz w:val="24"/>
                <w:szCs w:val="24"/>
              </w:rPr>
              <w:t>1.13%</w:t>
            </w:r>
          </w:p>
        </w:tc>
        <w:tc>
          <w:tcPr>
            <w:tcW w:w="1194" w:type="dxa"/>
            <w:vAlign w:val="center"/>
          </w:tcPr>
          <w:p w:rsidR="00AB5778" w:rsidRDefault="00DD2F70">
            <w:pPr>
              <w:jc w:val="center"/>
            </w:pPr>
            <w:r>
              <w:rPr>
                <w:color w:val="000000"/>
                <w:sz w:val="24"/>
                <w:szCs w:val="24"/>
              </w:rPr>
              <w:t>462.85%</w:t>
            </w:r>
          </w:p>
        </w:tc>
        <w:tc>
          <w:tcPr>
            <w:tcW w:w="898" w:type="dxa"/>
            <w:vAlign w:val="center"/>
          </w:tcPr>
          <w:p w:rsidR="00AB5778" w:rsidRDefault="00DD2F70">
            <w:pPr>
              <w:jc w:val="center"/>
            </w:pPr>
            <w:r>
              <w:rPr>
                <w:color w:val="000000"/>
                <w:sz w:val="24"/>
                <w:szCs w:val="24"/>
              </w:rPr>
              <w:t>0.42%</w:t>
            </w:r>
          </w:p>
        </w:tc>
      </w:tr>
    </w:tbl>
    <w:p w:rsidR="00AB5778" w:rsidRDefault="00DD2F70">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、本基金业绩比较基准自</w:t>
      </w:r>
      <w:r>
        <w:rPr>
          <w:color w:val="000000"/>
          <w:sz w:val="24"/>
          <w:szCs w:val="24"/>
        </w:rPr>
        <w:t>2013</w:t>
      </w:r>
      <w:r>
        <w:rPr>
          <w:color w:val="000000"/>
          <w:sz w:val="24"/>
          <w:szCs w:val="24"/>
        </w:rPr>
        <w:t>年</w:t>
      </w:r>
      <w:r>
        <w:rPr>
          <w:color w:val="000000"/>
          <w:sz w:val="24"/>
          <w:szCs w:val="24"/>
        </w:rPr>
        <w:t>7</w:t>
      </w:r>
      <w:r>
        <w:rPr>
          <w:color w:val="000000"/>
          <w:sz w:val="24"/>
          <w:szCs w:val="24"/>
        </w:rPr>
        <w:t>月</w:t>
      </w:r>
      <w:r>
        <w:rPr>
          <w:color w:val="000000"/>
          <w:sz w:val="24"/>
          <w:szCs w:val="24"/>
        </w:rPr>
        <w:t>1</w:t>
      </w:r>
      <w:r>
        <w:rPr>
          <w:color w:val="000000"/>
          <w:sz w:val="24"/>
          <w:szCs w:val="24"/>
        </w:rPr>
        <w:t>日起，由</w:t>
      </w:r>
      <w:r>
        <w:rPr>
          <w:color w:val="000000"/>
          <w:sz w:val="24"/>
          <w:szCs w:val="24"/>
        </w:rPr>
        <w:t>“65%×MSCI</w:t>
      </w:r>
      <w:r>
        <w:rPr>
          <w:color w:val="000000"/>
          <w:sz w:val="24"/>
          <w:szCs w:val="24"/>
        </w:rPr>
        <w:t>中国</w:t>
      </w:r>
      <w:r>
        <w:rPr>
          <w:color w:val="000000"/>
          <w:sz w:val="24"/>
          <w:szCs w:val="24"/>
        </w:rPr>
        <w:t>A</w:t>
      </w:r>
      <w:r>
        <w:rPr>
          <w:color w:val="000000"/>
          <w:sz w:val="24"/>
          <w:szCs w:val="24"/>
        </w:rPr>
        <w:t>股指数</w:t>
      </w:r>
      <w:r>
        <w:rPr>
          <w:color w:val="000000"/>
          <w:sz w:val="24"/>
          <w:szCs w:val="24"/>
        </w:rPr>
        <w:t>+35%×</w:t>
      </w:r>
      <w:r>
        <w:rPr>
          <w:color w:val="000000"/>
          <w:sz w:val="24"/>
          <w:szCs w:val="24"/>
        </w:rPr>
        <w:t>新华巴克莱资本中国全债指数</w:t>
      </w:r>
      <w:r>
        <w:rPr>
          <w:color w:val="000000"/>
          <w:sz w:val="24"/>
          <w:szCs w:val="24"/>
        </w:rPr>
        <w:t>”</w:t>
      </w:r>
      <w:r>
        <w:rPr>
          <w:color w:val="000000"/>
          <w:sz w:val="24"/>
          <w:szCs w:val="24"/>
        </w:rPr>
        <w:t>变更为</w:t>
      </w:r>
      <w:r>
        <w:rPr>
          <w:color w:val="000000"/>
          <w:sz w:val="24"/>
          <w:szCs w:val="24"/>
        </w:rPr>
        <w:t>“65%×MSCI</w:t>
      </w:r>
      <w:r>
        <w:rPr>
          <w:color w:val="000000"/>
          <w:sz w:val="24"/>
          <w:szCs w:val="24"/>
        </w:rPr>
        <w:t>中国</w:t>
      </w:r>
      <w:r>
        <w:rPr>
          <w:color w:val="000000"/>
          <w:sz w:val="24"/>
          <w:szCs w:val="24"/>
        </w:rPr>
        <w:t>A</w:t>
      </w:r>
      <w:r>
        <w:rPr>
          <w:color w:val="000000"/>
          <w:sz w:val="24"/>
          <w:szCs w:val="24"/>
        </w:rPr>
        <w:t>股指数</w:t>
      </w:r>
      <w:r>
        <w:rPr>
          <w:color w:val="000000"/>
          <w:sz w:val="24"/>
          <w:szCs w:val="24"/>
        </w:rPr>
        <w:t>+35%×</w:t>
      </w:r>
      <w:r>
        <w:rPr>
          <w:color w:val="000000"/>
          <w:sz w:val="24"/>
          <w:szCs w:val="24"/>
        </w:rPr>
        <w:t>中信标普全债指</w:t>
      </w:r>
      <w:r>
        <w:rPr>
          <w:color w:val="000000"/>
          <w:sz w:val="24"/>
          <w:szCs w:val="24"/>
        </w:rPr>
        <w:lastRenderedPageBreak/>
        <w:t>数</w:t>
      </w:r>
      <w:r>
        <w:rPr>
          <w:color w:val="000000"/>
          <w:sz w:val="24"/>
          <w:szCs w:val="24"/>
        </w:rPr>
        <w:t>”</w:t>
      </w:r>
      <w:r>
        <w:rPr>
          <w:color w:val="000000"/>
          <w:sz w:val="24"/>
          <w:szCs w:val="24"/>
        </w:rPr>
        <w:t>，</w:t>
      </w:r>
      <w:r>
        <w:rPr>
          <w:color w:val="000000"/>
          <w:sz w:val="24"/>
          <w:szCs w:val="24"/>
        </w:rPr>
        <w:t>3.2.2</w:t>
      </w:r>
      <w:r>
        <w:rPr>
          <w:color w:val="000000"/>
          <w:sz w:val="24"/>
          <w:szCs w:val="24"/>
        </w:rPr>
        <w:t>同。详情见本基金管理人于</w:t>
      </w:r>
      <w:r>
        <w:rPr>
          <w:color w:val="000000"/>
          <w:sz w:val="24"/>
          <w:szCs w:val="24"/>
        </w:rPr>
        <w:t>2013</w:t>
      </w:r>
      <w:r>
        <w:rPr>
          <w:color w:val="000000"/>
          <w:sz w:val="24"/>
          <w:szCs w:val="24"/>
        </w:rPr>
        <w:t>年</w:t>
      </w:r>
      <w:r>
        <w:rPr>
          <w:color w:val="000000"/>
          <w:sz w:val="24"/>
          <w:szCs w:val="24"/>
        </w:rPr>
        <w:t>6</w:t>
      </w:r>
      <w:r>
        <w:rPr>
          <w:color w:val="000000"/>
          <w:sz w:val="24"/>
          <w:szCs w:val="24"/>
        </w:rPr>
        <w:t>月</w:t>
      </w:r>
      <w:r>
        <w:rPr>
          <w:color w:val="000000"/>
          <w:sz w:val="24"/>
          <w:szCs w:val="24"/>
        </w:rPr>
        <w:t>26</w:t>
      </w:r>
      <w:r>
        <w:rPr>
          <w:color w:val="000000"/>
          <w:sz w:val="24"/>
          <w:szCs w:val="24"/>
        </w:rPr>
        <w:t>日发布的《交银施罗德基金管理有限公司关于变更交银施罗德稳健配置混合型证券投资基金业绩比较基准并修改基金合同相关内容的公告》。</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、本基金业绩比较基准自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日起，由</w:t>
      </w:r>
      <w:r w:rsidRPr="00414345">
        <w:rPr>
          <w:color w:val="000000"/>
          <w:sz w:val="24"/>
          <w:szCs w:val="24"/>
        </w:rPr>
        <w:t>“65%×MSCI</w:t>
      </w:r>
      <w:r w:rsidRPr="00414345">
        <w:rPr>
          <w:color w:val="000000"/>
          <w:sz w:val="24"/>
          <w:szCs w:val="24"/>
        </w:rPr>
        <w:t>中国</w:t>
      </w:r>
      <w:r w:rsidRPr="00414345">
        <w:rPr>
          <w:color w:val="000000"/>
          <w:sz w:val="24"/>
          <w:szCs w:val="24"/>
        </w:rPr>
        <w:t>A</w:t>
      </w:r>
      <w:r w:rsidRPr="00414345">
        <w:rPr>
          <w:color w:val="000000"/>
          <w:sz w:val="24"/>
          <w:szCs w:val="24"/>
        </w:rPr>
        <w:t>股指数</w:t>
      </w:r>
      <w:r w:rsidRPr="00414345">
        <w:rPr>
          <w:color w:val="000000"/>
          <w:sz w:val="24"/>
          <w:szCs w:val="24"/>
        </w:rPr>
        <w:t>+35%×</w:t>
      </w:r>
      <w:r w:rsidRPr="00414345">
        <w:rPr>
          <w:color w:val="000000"/>
          <w:sz w:val="24"/>
          <w:szCs w:val="24"/>
        </w:rPr>
        <w:t>中信标普全债指数</w:t>
      </w:r>
      <w:r w:rsidRPr="00414345">
        <w:rPr>
          <w:color w:val="000000"/>
          <w:sz w:val="24"/>
          <w:szCs w:val="24"/>
        </w:rPr>
        <w:t>”</w:t>
      </w:r>
      <w:r w:rsidRPr="00414345">
        <w:rPr>
          <w:color w:val="000000"/>
          <w:sz w:val="24"/>
          <w:szCs w:val="24"/>
        </w:rPr>
        <w:t>变更为</w:t>
      </w:r>
      <w:r w:rsidRPr="00414345">
        <w:rPr>
          <w:color w:val="000000"/>
          <w:sz w:val="24"/>
          <w:szCs w:val="24"/>
        </w:rPr>
        <w:t>“65%×MSCI</w:t>
      </w:r>
      <w:r w:rsidRPr="00414345">
        <w:rPr>
          <w:color w:val="000000"/>
          <w:sz w:val="24"/>
          <w:szCs w:val="24"/>
        </w:rPr>
        <w:t>中国</w:t>
      </w:r>
      <w:r w:rsidRPr="00414345">
        <w:rPr>
          <w:color w:val="000000"/>
          <w:sz w:val="24"/>
          <w:szCs w:val="24"/>
        </w:rPr>
        <w:t>A</w:t>
      </w:r>
      <w:r w:rsidRPr="00414345">
        <w:rPr>
          <w:color w:val="000000"/>
          <w:sz w:val="24"/>
          <w:szCs w:val="24"/>
        </w:rPr>
        <w:t>股指数</w:t>
      </w:r>
      <w:r w:rsidRPr="00414345">
        <w:rPr>
          <w:color w:val="000000"/>
          <w:sz w:val="24"/>
          <w:szCs w:val="24"/>
        </w:rPr>
        <w:t>+35%×</w:t>
      </w:r>
      <w:r w:rsidRPr="00414345">
        <w:rPr>
          <w:color w:val="000000"/>
          <w:sz w:val="24"/>
          <w:szCs w:val="24"/>
        </w:rPr>
        <w:t>中证综合债券指数</w:t>
      </w:r>
      <w:r w:rsidRPr="00414345">
        <w:rPr>
          <w:color w:val="000000"/>
          <w:sz w:val="24"/>
          <w:szCs w:val="24"/>
        </w:rPr>
        <w:t>”</w:t>
      </w:r>
      <w:r w:rsidRPr="00414345">
        <w:rPr>
          <w:color w:val="000000"/>
          <w:sz w:val="24"/>
          <w:szCs w:val="24"/>
        </w:rPr>
        <w:t>，</w:t>
      </w:r>
      <w:r w:rsidRPr="00414345">
        <w:rPr>
          <w:color w:val="000000"/>
          <w:sz w:val="24"/>
          <w:szCs w:val="24"/>
        </w:rPr>
        <w:t>3.2.2</w:t>
      </w:r>
      <w:r w:rsidRPr="00414345">
        <w:rPr>
          <w:color w:val="000000"/>
          <w:sz w:val="24"/>
          <w:szCs w:val="24"/>
        </w:rPr>
        <w:t>同。详情见本基金管理人于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日发布的《交银施罗德基金管理有限公司关于旗下部分基金业绩比较基准变更并修改基金合同相关内容的公告》。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交银施罗德稳健配置混合型证券投资基金</w:t>
      </w:r>
    </w:p>
    <w:p w:rsidR="004061AC" w:rsidRPr="00414345" w:rsidRDefault="00B56F53" w:rsidP="00C15CAC">
      <w:pPr>
        <w:pStyle w:val="a6"/>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6"/>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2006</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6</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14</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2020</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6</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6"/>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693843" w:rsidRPr="00414345" w:rsidRDefault="00693843" w:rsidP="00C15CAC">
      <w:pPr>
        <w:tabs>
          <w:tab w:val="left" w:pos="1800"/>
        </w:tabs>
        <w:spacing w:before="29" w:line="288" w:lineRule="auto"/>
        <w:rPr>
          <w:color w:val="000000"/>
          <w:sz w:val="24"/>
          <w:szCs w:val="24"/>
        </w:rPr>
      </w:pPr>
      <w:bookmarkStart w:id="0" w:name="_GoBack"/>
      <w:bookmarkEnd w:id="0"/>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AB5778">
        <w:trPr>
          <w:jc w:val="center"/>
        </w:trPr>
        <w:tc>
          <w:tcPr>
            <w:tcW w:w="846" w:type="dxa"/>
            <w:vAlign w:val="center"/>
          </w:tcPr>
          <w:p w:rsidR="00AB5778" w:rsidRDefault="00DD2F70">
            <w:pPr>
              <w:jc w:val="center"/>
            </w:pPr>
            <w:r>
              <w:rPr>
                <w:color w:val="000000"/>
                <w:sz w:val="24"/>
                <w:szCs w:val="24"/>
              </w:rPr>
              <w:lastRenderedPageBreak/>
              <w:t>陈孜铎</w:t>
            </w:r>
          </w:p>
        </w:tc>
        <w:tc>
          <w:tcPr>
            <w:tcW w:w="845" w:type="dxa"/>
            <w:vAlign w:val="center"/>
          </w:tcPr>
          <w:p w:rsidR="00AB5778" w:rsidRDefault="00DD2F70">
            <w:pPr>
              <w:jc w:val="center"/>
            </w:pPr>
            <w:r>
              <w:rPr>
                <w:color w:val="000000"/>
                <w:sz w:val="24"/>
                <w:szCs w:val="24"/>
              </w:rPr>
              <w:t>交银稳健配置混合的基金经理，公司研究部助理总经理</w:t>
            </w:r>
          </w:p>
        </w:tc>
        <w:tc>
          <w:tcPr>
            <w:tcW w:w="1549" w:type="dxa"/>
            <w:vAlign w:val="center"/>
          </w:tcPr>
          <w:p w:rsidR="00AB5778" w:rsidRDefault="00DD2F70">
            <w:pPr>
              <w:jc w:val="center"/>
            </w:pPr>
            <w:r>
              <w:rPr>
                <w:color w:val="000000"/>
                <w:sz w:val="24"/>
                <w:szCs w:val="24"/>
              </w:rPr>
              <w:t>2018-07-04</w:t>
            </w:r>
          </w:p>
        </w:tc>
        <w:tc>
          <w:tcPr>
            <w:tcW w:w="1548" w:type="dxa"/>
            <w:vAlign w:val="center"/>
          </w:tcPr>
          <w:p w:rsidR="00AB5778" w:rsidRDefault="00DD2F70">
            <w:pPr>
              <w:jc w:val="center"/>
            </w:pPr>
            <w:r>
              <w:rPr>
                <w:color w:val="000000"/>
                <w:sz w:val="24"/>
                <w:szCs w:val="24"/>
              </w:rPr>
              <w:t>-</w:t>
            </w:r>
          </w:p>
        </w:tc>
        <w:tc>
          <w:tcPr>
            <w:tcW w:w="1407" w:type="dxa"/>
            <w:vAlign w:val="center"/>
          </w:tcPr>
          <w:p w:rsidR="00AB5778" w:rsidRDefault="00DD2F70">
            <w:pPr>
              <w:jc w:val="center"/>
            </w:pPr>
            <w:r>
              <w:rPr>
                <w:color w:val="000000"/>
                <w:sz w:val="24"/>
                <w:szCs w:val="24"/>
              </w:rPr>
              <w:t>12</w:t>
            </w:r>
            <w:r>
              <w:rPr>
                <w:color w:val="000000"/>
                <w:sz w:val="24"/>
                <w:szCs w:val="24"/>
              </w:rPr>
              <w:t>年</w:t>
            </w:r>
          </w:p>
        </w:tc>
        <w:tc>
          <w:tcPr>
            <w:tcW w:w="2673" w:type="dxa"/>
            <w:vAlign w:val="center"/>
          </w:tcPr>
          <w:p w:rsidR="00AB5778" w:rsidRDefault="00DD2F70">
            <w:r>
              <w:rPr>
                <w:color w:val="000000"/>
                <w:sz w:val="24"/>
                <w:szCs w:val="24"/>
              </w:rPr>
              <w:t>陈孜铎先生，清华大学材料科学与工程硕士。</w:t>
            </w:r>
            <w:r>
              <w:rPr>
                <w:color w:val="000000"/>
                <w:sz w:val="24"/>
                <w:szCs w:val="24"/>
              </w:rPr>
              <w:t>2008</w:t>
            </w:r>
            <w:r>
              <w:rPr>
                <w:color w:val="000000"/>
                <w:sz w:val="24"/>
                <w:szCs w:val="24"/>
              </w:rPr>
              <w:t>年加入交银施罗德基金管理有限公司，历任行业分析师、高级研究员。</w:t>
            </w:r>
            <w:r>
              <w:rPr>
                <w:color w:val="000000"/>
                <w:sz w:val="24"/>
                <w:szCs w:val="24"/>
              </w:rPr>
              <w:t>2014</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日至</w:t>
            </w:r>
            <w:r>
              <w:rPr>
                <w:color w:val="000000"/>
                <w:sz w:val="24"/>
                <w:szCs w:val="24"/>
              </w:rPr>
              <w:t>2019</w:t>
            </w:r>
            <w:r>
              <w:rPr>
                <w:color w:val="000000"/>
                <w:sz w:val="24"/>
                <w:szCs w:val="24"/>
              </w:rPr>
              <w:t>年</w:t>
            </w:r>
            <w:r>
              <w:rPr>
                <w:color w:val="000000"/>
                <w:sz w:val="24"/>
                <w:szCs w:val="24"/>
              </w:rPr>
              <w:t>1</w:t>
            </w:r>
            <w:r>
              <w:rPr>
                <w:color w:val="000000"/>
                <w:sz w:val="24"/>
                <w:szCs w:val="24"/>
              </w:rPr>
              <w:t>月</w:t>
            </w:r>
            <w:r>
              <w:rPr>
                <w:color w:val="000000"/>
                <w:sz w:val="24"/>
                <w:szCs w:val="24"/>
              </w:rPr>
              <w:t>28</w:t>
            </w:r>
            <w:r>
              <w:rPr>
                <w:color w:val="000000"/>
                <w:sz w:val="24"/>
                <w:szCs w:val="24"/>
              </w:rPr>
              <w:t>日担任交银施罗德蓝筹混合型证券投资基金的基金经理。</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AB5778" w:rsidRDefault="00DD2F70">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AB5778" w:rsidRDefault="00DD2F70">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AB5778" w:rsidRDefault="00DD2F70">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w:t>
      </w:r>
      <w:r>
        <w:rPr>
          <w:color w:val="000000"/>
          <w:sz w:val="24"/>
          <w:szCs w:val="24"/>
        </w:rPr>
        <w:t>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lastRenderedPageBreak/>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AB5778" w:rsidRDefault="00DD2F70">
      <w:pPr>
        <w:spacing w:before="29" w:line="288" w:lineRule="auto"/>
        <w:ind w:firstLineChars="200" w:firstLine="480"/>
        <w:rPr>
          <w:color w:val="000000"/>
          <w:sz w:val="24"/>
          <w:szCs w:val="24"/>
        </w:rPr>
      </w:pPr>
      <w:r>
        <w:rPr>
          <w:color w:val="000000"/>
          <w:sz w:val="24"/>
          <w:szCs w:val="24"/>
        </w:rPr>
        <w:t>2020</w:t>
      </w:r>
      <w:r>
        <w:rPr>
          <w:color w:val="000000"/>
          <w:sz w:val="24"/>
          <w:szCs w:val="24"/>
        </w:rPr>
        <w:t>年二季度，整个</w:t>
      </w:r>
      <w:r>
        <w:rPr>
          <w:color w:val="000000"/>
          <w:sz w:val="24"/>
          <w:szCs w:val="24"/>
        </w:rPr>
        <w:t>A</w:t>
      </w:r>
      <w:r>
        <w:rPr>
          <w:color w:val="000000"/>
          <w:sz w:val="24"/>
          <w:szCs w:val="24"/>
        </w:rPr>
        <w:t>股市场整体呈震荡上行走势，市场风格分化持续拉大。在新冠疫情全球爆发的背景下，中国疫情影响逐步减弱，整体</w:t>
      </w:r>
      <w:r>
        <w:rPr>
          <w:color w:val="000000"/>
          <w:sz w:val="24"/>
          <w:szCs w:val="24"/>
        </w:rPr>
        <w:t>A</w:t>
      </w:r>
      <w:r>
        <w:rPr>
          <w:color w:val="000000"/>
          <w:sz w:val="24"/>
          <w:szCs w:val="24"/>
        </w:rPr>
        <w:t>股风险偏好快速回归，高估值</w:t>
      </w:r>
      <w:r>
        <w:rPr>
          <w:color w:val="000000"/>
          <w:sz w:val="24"/>
          <w:szCs w:val="24"/>
        </w:rPr>
        <w:t>TMT</w:t>
      </w:r>
      <w:r>
        <w:rPr>
          <w:color w:val="000000"/>
          <w:sz w:val="24"/>
          <w:szCs w:val="24"/>
        </w:rPr>
        <w:t>类股票及历史上的绩优消费股显著上涨，而与宏观相关联的传统白马蓝筹估值逐渐接近历史下缘。</w:t>
      </w:r>
    </w:p>
    <w:p w:rsidR="00AB5778" w:rsidRDefault="00DD2F70">
      <w:pPr>
        <w:spacing w:before="29" w:line="288" w:lineRule="auto"/>
        <w:ind w:firstLineChars="200" w:firstLine="480"/>
        <w:rPr>
          <w:color w:val="000000"/>
          <w:sz w:val="24"/>
          <w:szCs w:val="24"/>
        </w:rPr>
      </w:pPr>
      <w:r>
        <w:rPr>
          <w:color w:val="000000"/>
          <w:sz w:val="24"/>
          <w:szCs w:val="24"/>
        </w:rPr>
        <w:t>在市场回暖的过程中，考虑到疫情的不确定性，组合持续降低了风险偏好较高类资产仓位的配置，继续持有估值相对合理的优质资产，整体仓位有所下降，实现了绝对收益，但相对收益水平不佳。</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疫情的快速影响逐渐被市场所接受和认识后，由于对全球流动性的预期，整个市场在局部景气领域表现出资金推动的明显特征，而整个市场的估值体系持续分化到历史比较大的位置，严重偏离了基本面的中期背景。在这种情况下，我们更需要思考疫情爆发后对整个中国和全球经济格局的中期影响，而对风险偏好在局部区域的持续放大持谨慎态度。在上述基本判断下，我们将更为关心估值的中期合理性以及行业和公司实质性的基本面变化，本基金将努力寻找在底部的价值品种，受益于政策导向的品种以及产业潜力及竞争力具备优势的品种进行布局，努力为投资者持续创造回报。</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本基金（各类）份额净值及业绩表现请见</w:t>
      </w:r>
      <w:r w:rsidRPr="00414345">
        <w:rPr>
          <w:color w:val="000000"/>
          <w:sz w:val="24"/>
          <w:szCs w:val="24"/>
        </w:rPr>
        <w:t>“3.1</w:t>
      </w:r>
      <w:r w:rsidRPr="00414345">
        <w:rPr>
          <w:color w:val="000000"/>
          <w:sz w:val="24"/>
          <w:szCs w:val="24"/>
        </w:rPr>
        <w:t>主要财务指标</w:t>
      </w:r>
      <w:r w:rsidRPr="00414345">
        <w:rPr>
          <w:color w:val="000000"/>
          <w:sz w:val="24"/>
          <w:szCs w:val="24"/>
        </w:rPr>
        <w:t xml:space="preserve">” </w:t>
      </w:r>
      <w:r w:rsidRPr="00414345">
        <w:rPr>
          <w:color w:val="000000"/>
          <w:sz w:val="24"/>
          <w:szCs w:val="24"/>
        </w:rPr>
        <w:t>及</w:t>
      </w:r>
      <w:r w:rsidRPr="00414345">
        <w:rPr>
          <w:color w:val="000000"/>
          <w:sz w:val="24"/>
          <w:szCs w:val="24"/>
        </w:rPr>
        <w:t xml:space="preserve">“3.2.1 </w:t>
      </w:r>
      <w:r w:rsidRPr="00414345">
        <w:rPr>
          <w:color w:val="000000"/>
          <w:sz w:val="24"/>
          <w:szCs w:val="24"/>
        </w:rPr>
        <w:t>本报告期基金份额净值增长率及其与同期业绩比较基准收益率的比较</w:t>
      </w:r>
      <w:r w:rsidRPr="00414345">
        <w:rPr>
          <w:color w:val="000000"/>
          <w:sz w:val="24"/>
          <w:szCs w:val="24"/>
        </w:rPr>
        <w:t>”</w:t>
      </w:r>
      <w:r w:rsidRPr="00414345">
        <w:rPr>
          <w:color w:val="000000"/>
          <w:sz w:val="24"/>
          <w:szCs w:val="24"/>
        </w:rPr>
        <w:t>部分披露。</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p w:rsidR="006B5F69" w:rsidRPr="007B5F21" w:rsidRDefault="009C1009" w:rsidP="009C1009">
      <w:pPr>
        <w:autoSpaceDE w:val="0"/>
        <w:autoSpaceDN w:val="0"/>
        <w:adjustRightInd w:val="0"/>
        <w:spacing w:line="360" w:lineRule="auto"/>
        <w:jc w:val="right"/>
        <w:rPr>
          <w:rFonts w:eastAsiaTheme="minorEastAsia"/>
          <w:b/>
          <w:color w:val="000000" w:themeColor="text1"/>
          <w:kern w:val="0"/>
          <w:sz w:val="24"/>
          <w:szCs w:val="24"/>
        </w:rPr>
      </w:pPr>
      <w:r w:rsidRPr="009C1009">
        <w:rPr>
          <w:rFonts w:hint="eastAsia"/>
          <w:color w:val="000000"/>
          <w:kern w:val="0"/>
        </w:rPr>
        <w:t>金额单位：人民币元</w:t>
      </w:r>
    </w:p>
    <w:tbl>
      <w:tblPr>
        <w:tblStyle w:val="aff2"/>
        <w:tblW w:w="8897" w:type="dxa"/>
        <w:tblInd w:w="108" w:type="dxa"/>
        <w:tblLayout w:type="fixed"/>
        <w:tblLook w:val="04A0" w:firstRow="1" w:lastRow="0" w:firstColumn="1" w:lastColumn="0" w:noHBand="0" w:noVBand="1"/>
      </w:tblPr>
      <w:tblGrid>
        <w:gridCol w:w="720"/>
        <w:gridCol w:w="2682"/>
        <w:gridCol w:w="2552"/>
        <w:gridCol w:w="2943"/>
      </w:tblGrid>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68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p>
        </w:tc>
        <w:tc>
          <w:tcPr>
            <w:tcW w:w="2943"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0018138B">
              <w:rPr>
                <w:rFonts w:eastAsiaTheme="minorEastAsia" w:hint="eastAsia"/>
                <w:color w:val="000000" w:themeColor="text1"/>
                <w:sz w:val="24"/>
                <w:szCs w:val="24"/>
              </w:rPr>
              <w:t>(</w:t>
            </w:r>
            <w:r w:rsidR="0018138B">
              <w:rPr>
                <w:rFonts w:eastAsiaTheme="minorEastAsia"/>
                <w:color w:val="000000" w:themeColor="text1"/>
                <w:sz w:val="24"/>
                <w:szCs w:val="24"/>
              </w:rPr>
              <w:t>%</w:t>
            </w:r>
            <w:r w:rsidR="0018138B">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1,992,048,318.60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73.02</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1,992,048,318.60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73.02</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lastRenderedPageBreak/>
              <w:t>2</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62,914,354.68</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2.31</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62,914,354.68</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2.31</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682"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500,000,490.00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18.33</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168,767,151.54</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6.19</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4,476,393.13</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0.16</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2,728,206,707.95</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Default="00F51C4E" w:rsidP="00F51C4E">
      <w:pPr>
        <w:rPr>
          <w:rFonts w:eastAsiaTheme="minorEastAsia"/>
          <w:b/>
          <w:color w:val="000000" w:themeColor="text1"/>
          <w:kern w:val="0"/>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7B2639" w:rsidRPr="007B2639" w:rsidRDefault="009C1009" w:rsidP="009C1009">
      <w:pPr>
        <w:jc w:val="right"/>
        <w:rPr>
          <w:sz w:val="24"/>
        </w:rPr>
      </w:pPr>
      <w:r w:rsidRPr="009C1009">
        <w:rPr>
          <w:rFonts w:eastAsiaTheme="minorEastAsia" w:hint="eastAsia"/>
          <w:color w:val="000000" w:themeColor="text1"/>
          <w:kern w:val="0"/>
          <w:sz w:val="24"/>
        </w:rPr>
        <w:t>金额单位：人民币元</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B11F31" w:rsidP="00C15CAC">
            <w:pPr>
              <w:adjustRightInd w:val="0"/>
              <w:snapToGrid w:val="0"/>
              <w:spacing w:before="29" w:line="288" w:lineRule="auto"/>
              <w:jc w:val="center"/>
              <w:rPr>
                <w:sz w:val="24"/>
                <w:szCs w:val="24"/>
              </w:rPr>
            </w:pPr>
            <w:r>
              <w:rPr>
                <w:sz w:val="24"/>
                <w:szCs w:val="24"/>
              </w:rPr>
              <w:t>公允价值</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22,310,967.15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0.83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768,120,465.36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28.41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37,952,766.32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51,976,175.61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1.92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lastRenderedPageBreak/>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110,863,680.60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4.10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854,034,480.82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31.59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22,470,760.00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0.83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184,602.15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124,134,420.59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4.59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1,992,048,318.60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73.68</w:t>
            </w:r>
          </w:p>
        </w:tc>
      </w:tr>
    </w:tbl>
    <w:p w:rsidR="002A5C5A" w:rsidRDefault="002A5C5A" w:rsidP="00F51C4E">
      <w:pPr>
        <w:jc w:val="left"/>
        <w:rPr>
          <w:rFonts w:asciiTheme="minorEastAsia" w:eastAsiaTheme="minorEastAsia" w:hAnsiTheme="minorEastAsia"/>
          <w:b/>
          <w:bCs/>
          <w:color w:val="000000" w:themeColor="text1"/>
          <w:kern w:val="0"/>
          <w:sz w:val="24"/>
        </w:rPr>
      </w:pPr>
    </w:p>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f2"/>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AB5778">
        <w:trPr>
          <w:jc w:val="center"/>
        </w:trPr>
        <w:tc>
          <w:tcPr>
            <w:tcW w:w="855" w:type="dxa"/>
            <w:vAlign w:val="center"/>
          </w:tcPr>
          <w:p w:rsidR="00AB5778" w:rsidRDefault="00DD2F70">
            <w:pPr>
              <w:jc w:val="center"/>
            </w:pPr>
            <w:r>
              <w:rPr>
                <w:color w:val="000000"/>
                <w:sz w:val="24"/>
                <w:szCs w:val="24"/>
              </w:rPr>
              <w:t>1</w:t>
            </w:r>
          </w:p>
        </w:tc>
        <w:tc>
          <w:tcPr>
            <w:tcW w:w="1334" w:type="dxa"/>
            <w:vAlign w:val="center"/>
          </w:tcPr>
          <w:p w:rsidR="00AB5778" w:rsidRDefault="00DD2F70">
            <w:pPr>
              <w:jc w:val="center"/>
            </w:pPr>
            <w:r>
              <w:rPr>
                <w:color w:val="000000"/>
                <w:sz w:val="24"/>
                <w:szCs w:val="24"/>
              </w:rPr>
              <w:t>000002</w:t>
            </w:r>
          </w:p>
        </w:tc>
        <w:tc>
          <w:tcPr>
            <w:tcW w:w="1777" w:type="dxa"/>
            <w:vAlign w:val="center"/>
          </w:tcPr>
          <w:p w:rsidR="00AB5778" w:rsidRDefault="00DD2F70">
            <w:pPr>
              <w:jc w:val="center"/>
            </w:pPr>
            <w:r>
              <w:rPr>
                <w:color w:val="000000"/>
                <w:sz w:val="24"/>
                <w:szCs w:val="24"/>
              </w:rPr>
              <w:t>万科</w:t>
            </w:r>
            <w:r>
              <w:rPr>
                <w:color w:val="000000"/>
                <w:sz w:val="24"/>
                <w:szCs w:val="24"/>
              </w:rPr>
              <w:t>A</w:t>
            </w:r>
          </w:p>
        </w:tc>
        <w:tc>
          <w:tcPr>
            <w:tcW w:w="1334" w:type="dxa"/>
            <w:vAlign w:val="center"/>
          </w:tcPr>
          <w:p w:rsidR="00AB5778" w:rsidRDefault="00DD2F70">
            <w:pPr>
              <w:jc w:val="right"/>
            </w:pPr>
            <w:r>
              <w:rPr>
                <w:color w:val="000000"/>
                <w:sz w:val="24"/>
                <w:szCs w:val="24"/>
              </w:rPr>
              <w:t>8,097,028</w:t>
            </w:r>
          </w:p>
        </w:tc>
        <w:tc>
          <w:tcPr>
            <w:tcW w:w="1924" w:type="dxa"/>
            <w:vAlign w:val="center"/>
          </w:tcPr>
          <w:p w:rsidR="00AB5778" w:rsidRDefault="00DD2F70">
            <w:pPr>
              <w:jc w:val="right"/>
            </w:pPr>
            <w:r>
              <w:rPr>
                <w:color w:val="000000"/>
                <w:sz w:val="24"/>
                <w:szCs w:val="24"/>
              </w:rPr>
              <w:t>211,656,311.92</w:t>
            </w:r>
          </w:p>
        </w:tc>
        <w:tc>
          <w:tcPr>
            <w:tcW w:w="1644" w:type="dxa"/>
            <w:vAlign w:val="center"/>
          </w:tcPr>
          <w:p w:rsidR="00AB5778" w:rsidRDefault="00DD2F70">
            <w:pPr>
              <w:jc w:val="right"/>
            </w:pPr>
            <w:r>
              <w:rPr>
                <w:color w:val="000000"/>
                <w:sz w:val="24"/>
                <w:szCs w:val="24"/>
              </w:rPr>
              <w:t>7.83</w:t>
            </w:r>
          </w:p>
        </w:tc>
      </w:tr>
      <w:tr w:rsidR="00AB5778">
        <w:trPr>
          <w:jc w:val="center"/>
        </w:trPr>
        <w:tc>
          <w:tcPr>
            <w:tcW w:w="855" w:type="dxa"/>
            <w:vAlign w:val="center"/>
          </w:tcPr>
          <w:p w:rsidR="00AB5778" w:rsidRDefault="00DD2F70">
            <w:pPr>
              <w:jc w:val="center"/>
            </w:pPr>
            <w:r>
              <w:rPr>
                <w:color w:val="000000"/>
                <w:sz w:val="24"/>
                <w:szCs w:val="24"/>
              </w:rPr>
              <w:t>2</w:t>
            </w:r>
          </w:p>
        </w:tc>
        <w:tc>
          <w:tcPr>
            <w:tcW w:w="1334" w:type="dxa"/>
            <w:vAlign w:val="center"/>
          </w:tcPr>
          <w:p w:rsidR="00AB5778" w:rsidRDefault="00DD2F70">
            <w:pPr>
              <w:jc w:val="center"/>
            </w:pPr>
            <w:r>
              <w:rPr>
                <w:color w:val="000000"/>
                <w:sz w:val="24"/>
                <w:szCs w:val="24"/>
              </w:rPr>
              <w:t>000961</w:t>
            </w:r>
          </w:p>
        </w:tc>
        <w:tc>
          <w:tcPr>
            <w:tcW w:w="1777" w:type="dxa"/>
            <w:vAlign w:val="center"/>
          </w:tcPr>
          <w:p w:rsidR="00AB5778" w:rsidRDefault="00DD2F70">
            <w:pPr>
              <w:jc w:val="center"/>
            </w:pPr>
            <w:r>
              <w:rPr>
                <w:color w:val="000000"/>
                <w:sz w:val="24"/>
                <w:szCs w:val="24"/>
              </w:rPr>
              <w:t>中南建设</w:t>
            </w:r>
          </w:p>
        </w:tc>
        <w:tc>
          <w:tcPr>
            <w:tcW w:w="1334" w:type="dxa"/>
            <w:vAlign w:val="center"/>
          </w:tcPr>
          <w:p w:rsidR="00AB5778" w:rsidRDefault="00DD2F70">
            <w:pPr>
              <w:jc w:val="right"/>
            </w:pPr>
            <w:r>
              <w:rPr>
                <w:color w:val="000000"/>
                <w:sz w:val="24"/>
                <w:szCs w:val="24"/>
              </w:rPr>
              <w:t>22,002,653</w:t>
            </w:r>
          </w:p>
        </w:tc>
        <w:tc>
          <w:tcPr>
            <w:tcW w:w="1924" w:type="dxa"/>
            <w:vAlign w:val="center"/>
          </w:tcPr>
          <w:p w:rsidR="00AB5778" w:rsidRDefault="00DD2F70">
            <w:pPr>
              <w:jc w:val="right"/>
            </w:pPr>
            <w:r>
              <w:rPr>
                <w:color w:val="000000"/>
                <w:sz w:val="24"/>
                <w:szCs w:val="24"/>
              </w:rPr>
              <w:t>195,823,611.70</w:t>
            </w:r>
          </w:p>
        </w:tc>
        <w:tc>
          <w:tcPr>
            <w:tcW w:w="1644" w:type="dxa"/>
            <w:vAlign w:val="center"/>
          </w:tcPr>
          <w:p w:rsidR="00AB5778" w:rsidRDefault="00DD2F70">
            <w:pPr>
              <w:jc w:val="right"/>
            </w:pPr>
            <w:r>
              <w:rPr>
                <w:color w:val="000000"/>
                <w:sz w:val="24"/>
                <w:szCs w:val="24"/>
              </w:rPr>
              <w:t>7.24</w:t>
            </w:r>
          </w:p>
        </w:tc>
      </w:tr>
      <w:tr w:rsidR="00AB5778">
        <w:trPr>
          <w:jc w:val="center"/>
        </w:trPr>
        <w:tc>
          <w:tcPr>
            <w:tcW w:w="855" w:type="dxa"/>
            <w:vAlign w:val="center"/>
          </w:tcPr>
          <w:p w:rsidR="00AB5778" w:rsidRDefault="00DD2F70">
            <w:pPr>
              <w:jc w:val="center"/>
            </w:pPr>
            <w:r>
              <w:rPr>
                <w:color w:val="000000"/>
                <w:sz w:val="24"/>
                <w:szCs w:val="24"/>
              </w:rPr>
              <w:t>3</w:t>
            </w:r>
          </w:p>
        </w:tc>
        <w:tc>
          <w:tcPr>
            <w:tcW w:w="1334" w:type="dxa"/>
            <w:vAlign w:val="center"/>
          </w:tcPr>
          <w:p w:rsidR="00AB5778" w:rsidRDefault="00DD2F70">
            <w:pPr>
              <w:jc w:val="center"/>
            </w:pPr>
            <w:r>
              <w:rPr>
                <w:color w:val="000000"/>
                <w:sz w:val="24"/>
                <w:szCs w:val="24"/>
              </w:rPr>
              <w:t>000656</w:t>
            </w:r>
          </w:p>
        </w:tc>
        <w:tc>
          <w:tcPr>
            <w:tcW w:w="1777" w:type="dxa"/>
            <w:vAlign w:val="center"/>
          </w:tcPr>
          <w:p w:rsidR="00AB5778" w:rsidRDefault="00DD2F70">
            <w:pPr>
              <w:jc w:val="center"/>
            </w:pPr>
            <w:r>
              <w:rPr>
                <w:color w:val="000000"/>
                <w:sz w:val="24"/>
                <w:szCs w:val="24"/>
              </w:rPr>
              <w:t>金科股份</w:t>
            </w:r>
          </w:p>
        </w:tc>
        <w:tc>
          <w:tcPr>
            <w:tcW w:w="1334" w:type="dxa"/>
            <w:vAlign w:val="center"/>
          </w:tcPr>
          <w:p w:rsidR="00AB5778" w:rsidRDefault="00DD2F70">
            <w:pPr>
              <w:jc w:val="right"/>
            </w:pPr>
            <w:r>
              <w:rPr>
                <w:color w:val="000000"/>
                <w:sz w:val="24"/>
                <w:szCs w:val="24"/>
              </w:rPr>
              <w:t>17,006,056</w:t>
            </w:r>
          </w:p>
        </w:tc>
        <w:tc>
          <w:tcPr>
            <w:tcW w:w="1924" w:type="dxa"/>
            <w:vAlign w:val="center"/>
          </w:tcPr>
          <w:p w:rsidR="00AB5778" w:rsidRDefault="00DD2F70">
            <w:pPr>
              <w:jc w:val="right"/>
            </w:pPr>
            <w:r>
              <w:rPr>
                <w:color w:val="000000"/>
                <w:sz w:val="24"/>
                <w:szCs w:val="24"/>
              </w:rPr>
              <w:t>138,769,416.96</w:t>
            </w:r>
          </w:p>
        </w:tc>
        <w:tc>
          <w:tcPr>
            <w:tcW w:w="1644" w:type="dxa"/>
            <w:vAlign w:val="center"/>
          </w:tcPr>
          <w:p w:rsidR="00AB5778" w:rsidRDefault="00DD2F70">
            <w:pPr>
              <w:jc w:val="right"/>
            </w:pPr>
            <w:r>
              <w:rPr>
                <w:color w:val="000000"/>
                <w:sz w:val="24"/>
                <w:szCs w:val="24"/>
              </w:rPr>
              <w:t>5.13</w:t>
            </w:r>
          </w:p>
        </w:tc>
      </w:tr>
      <w:tr w:rsidR="00AB5778">
        <w:trPr>
          <w:jc w:val="center"/>
        </w:trPr>
        <w:tc>
          <w:tcPr>
            <w:tcW w:w="855" w:type="dxa"/>
            <w:vAlign w:val="center"/>
          </w:tcPr>
          <w:p w:rsidR="00AB5778" w:rsidRDefault="00DD2F70">
            <w:pPr>
              <w:jc w:val="center"/>
            </w:pPr>
            <w:r>
              <w:rPr>
                <w:color w:val="000000"/>
                <w:sz w:val="24"/>
                <w:szCs w:val="24"/>
              </w:rPr>
              <w:t>4</w:t>
            </w:r>
          </w:p>
        </w:tc>
        <w:tc>
          <w:tcPr>
            <w:tcW w:w="1334" w:type="dxa"/>
            <w:vAlign w:val="center"/>
          </w:tcPr>
          <w:p w:rsidR="00AB5778" w:rsidRDefault="00DD2F70">
            <w:pPr>
              <w:jc w:val="center"/>
            </w:pPr>
            <w:r>
              <w:rPr>
                <w:color w:val="000000"/>
                <w:sz w:val="24"/>
                <w:szCs w:val="24"/>
              </w:rPr>
              <w:t>600383</w:t>
            </w:r>
          </w:p>
        </w:tc>
        <w:tc>
          <w:tcPr>
            <w:tcW w:w="1777" w:type="dxa"/>
            <w:vAlign w:val="center"/>
          </w:tcPr>
          <w:p w:rsidR="00AB5778" w:rsidRDefault="00DD2F70">
            <w:pPr>
              <w:jc w:val="center"/>
            </w:pPr>
            <w:r>
              <w:rPr>
                <w:color w:val="000000"/>
                <w:sz w:val="24"/>
                <w:szCs w:val="24"/>
              </w:rPr>
              <w:t>金地集团</w:t>
            </w:r>
          </w:p>
        </w:tc>
        <w:tc>
          <w:tcPr>
            <w:tcW w:w="1334" w:type="dxa"/>
            <w:vAlign w:val="center"/>
          </w:tcPr>
          <w:p w:rsidR="00AB5778" w:rsidRDefault="00DD2F70">
            <w:pPr>
              <w:jc w:val="right"/>
            </w:pPr>
            <w:r>
              <w:rPr>
                <w:color w:val="000000"/>
                <w:sz w:val="24"/>
                <w:szCs w:val="24"/>
              </w:rPr>
              <w:t>10,000,000</w:t>
            </w:r>
          </w:p>
        </w:tc>
        <w:tc>
          <w:tcPr>
            <w:tcW w:w="1924" w:type="dxa"/>
            <w:vAlign w:val="center"/>
          </w:tcPr>
          <w:p w:rsidR="00AB5778" w:rsidRDefault="00DD2F70">
            <w:pPr>
              <w:jc w:val="right"/>
            </w:pPr>
            <w:r>
              <w:rPr>
                <w:color w:val="000000"/>
                <w:sz w:val="24"/>
                <w:szCs w:val="24"/>
              </w:rPr>
              <w:t>137,000,000.00</w:t>
            </w:r>
          </w:p>
        </w:tc>
        <w:tc>
          <w:tcPr>
            <w:tcW w:w="1644" w:type="dxa"/>
            <w:vAlign w:val="center"/>
          </w:tcPr>
          <w:p w:rsidR="00AB5778" w:rsidRDefault="00DD2F70">
            <w:pPr>
              <w:jc w:val="right"/>
            </w:pPr>
            <w:r>
              <w:rPr>
                <w:color w:val="000000"/>
                <w:sz w:val="24"/>
                <w:szCs w:val="24"/>
              </w:rPr>
              <w:t>5.07</w:t>
            </w:r>
          </w:p>
        </w:tc>
      </w:tr>
      <w:tr w:rsidR="00AB5778">
        <w:trPr>
          <w:jc w:val="center"/>
        </w:trPr>
        <w:tc>
          <w:tcPr>
            <w:tcW w:w="855" w:type="dxa"/>
            <w:vAlign w:val="center"/>
          </w:tcPr>
          <w:p w:rsidR="00AB5778" w:rsidRDefault="00DD2F70">
            <w:pPr>
              <w:jc w:val="center"/>
            </w:pPr>
            <w:r>
              <w:rPr>
                <w:color w:val="000000"/>
                <w:sz w:val="24"/>
                <w:szCs w:val="24"/>
              </w:rPr>
              <w:t>5</w:t>
            </w:r>
          </w:p>
        </w:tc>
        <w:tc>
          <w:tcPr>
            <w:tcW w:w="1334" w:type="dxa"/>
            <w:vAlign w:val="center"/>
          </w:tcPr>
          <w:p w:rsidR="00AB5778" w:rsidRDefault="00DD2F70">
            <w:pPr>
              <w:jc w:val="center"/>
            </w:pPr>
            <w:r>
              <w:rPr>
                <w:color w:val="000000"/>
                <w:sz w:val="24"/>
                <w:szCs w:val="24"/>
              </w:rPr>
              <w:t>000671</w:t>
            </w:r>
          </w:p>
        </w:tc>
        <w:tc>
          <w:tcPr>
            <w:tcW w:w="1777" w:type="dxa"/>
            <w:vAlign w:val="center"/>
          </w:tcPr>
          <w:p w:rsidR="00AB5778" w:rsidRDefault="00DD2F70">
            <w:pPr>
              <w:jc w:val="center"/>
            </w:pPr>
            <w:r>
              <w:rPr>
                <w:color w:val="000000"/>
                <w:sz w:val="24"/>
                <w:szCs w:val="24"/>
              </w:rPr>
              <w:t>阳光城</w:t>
            </w:r>
          </w:p>
        </w:tc>
        <w:tc>
          <w:tcPr>
            <w:tcW w:w="1334" w:type="dxa"/>
            <w:vAlign w:val="center"/>
          </w:tcPr>
          <w:p w:rsidR="00AB5778" w:rsidRDefault="00DD2F70">
            <w:pPr>
              <w:jc w:val="right"/>
            </w:pPr>
            <w:r>
              <w:rPr>
                <w:color w:val="000000"/>
                <w:sz w:val="24"/>
                <w:szCs w:val="24"/>
              </w:rPr>
              <w:t>21,004,600</w:t>
            </w:r>
          </w:p>
        </w:tc>
        <w:tc>
          <w:tcPr>
            <w:tcW w:w="1924" w:type="dxa"/>
            <w:vAlign w:val="center"/>
          </w:tcPr>
          <w:p w:rsidR="00AB5778" w:rsidRDefault="00DD2F70">
            <w:pPr>
              <w:jc w:val="right"/>
            </w:pPr>
            <w:r>
              <w:rPr>
                <w:color w:val="000000"/>
                <w:sz w:val="24"/>
                <w:szCs w:val="24"/>
              </w:rPr>
              <w:t>133,169,164.00</w:t>
            </w:r>
          </w:p>
        </w:tc>
        <w:tc>
          <w:tcPr>
            <w:tcW w:w="1644" w:type="dxa"/>
            <w:vAlign w:val="center"/>
          </w:tcPr>
          <w:p w:rsidR="00AB5778" w:rsidRDefault="00DD2F70">
            <w:pPr>
              <w:jc w:val="right"/>
            </w:pPr>
            <w:r>
              <w:rPr>
                <w:color w:val="000000"/>
                <w:sz w:val="24"/>
                <w:szCs w:val="24"/>
              </w:rPr>
              <w:t>4.93</w:t>
            </w:r>
          </w:p>
        </w:tc>
      </w:tr>
      <w:tr w:rsidR="00AB5778">
        <w:trPr>
          <w:jc w:val="center"/>
        </w:trPr>
        <w:tc>
          <w:tcPr>
            <w:tcW w:w="855" w:type="dxa"/>
            <w:vAlign w:val="center"/>
          </w:tcPr>
          <w:p w:rsidR="00AB5778" w:rsidRDefault="00DD2F70">
            <w:pPr>
              <w:jc w:val="center"/>
            </w:pPr>
            <w:r>
              <w:rPr>
                <w:color w:val="000000"/>
                <w:sz w:val="24"/>
                <w:szCs w:val="24"/>
              </w:rPr>
              <w:t>6</w:t>
            </w:r>
          </w:p>
        </w:tc>
        <w:tc>
          <w:tcPr>
            <w:tcW w:w="1334" w:type="dxa"/>
            <w:vAlign w:val="center"/>
          </w:tcPr>
          <w:p w:rsidR="00AB5778" w:rsidRDefault="00DD2F70">
            <w:pPr>
              <w:jc w:val="center"/>
            </w:pPr>
            <w:r>
              <w:rPr>
                <w:color w:val="000000"/>
                <w:sz w:val="24"/>
                <w:szCs w:val="24"/>
              </w:rPr>
              <w:t>300724</w:t>
            </w:r>
          </w:p>
        </w:tc>
        <w:tc>
          <w:tcPr>
            <w:tcW w:w="1777" w:type="dxa"/>
            <w:vAlign w:val="center"/>
          </w:tcPr>
          <w:p w:rsidR="00AB5778" w:rsidRDefault="00DD2F70">
            <w:pPr>
              <w:jc w:val="center"/>
            </w:pPr>
            <w:r>
              <w:rPr>
                <w:color w:val="000000"/>
                <w:sz w:val="24"/>
                <w:szCs w:val="24"/>
              </w:rPr>
              <w:t>捷佳伟创</w:t>
            </w:r>
          </w:p>
        </w:tc>
        <w:tc>
          <w:tcPr>
            <w:tcW w:w="1334" w:type="dxa"/>
            <w:vAlign w:val="center"/>
          </w:tcPr>
          <w:p w:rsidR="00AB5778" w:rsidRDefault="00DD2F70">
            <w:pPr>
              <w:jc w:val="right"/>
            </w:pPr>
            <w:r>
              <w:rPr>
                <w:color w:val="000000"/>
                <w:sz w:val="24"/>
                <w:szCs w:val="24"/>
              </w:rPr>
              <w:t>1,500,000</w:t>
            </w:r>
          </w:p>
        </w:tc>
        <w:tc>
          <w:tcPr>
            <w:tcW w:w="1924" w:type="dxa"/>
            <w:vAlign w:val="center"/>
          </w:tcPr>
          <w:p w:rsidR="00AB5778" w:rsidRDefault="00DD2F70">
            <w:pPr>
              <w:jc w:val="right"/>
            </w:pPr>
            <w:r>
              <w:rPr>
                <w:color w:val="000000"/>
                <w:sz w:val="24"/>
                <w:szCs w:val="24"/>
              </w:rPr>
              <w:t>132,795,000.00</w:t>
            </w:r>
          </w:p>
        </w:tc>
        <w:tc>
          <w:tcPr>
            <w:tcW w:w="1644" w:type="dxa"/>
            <w:vAlign w:val="center"/>
          </w:tcPr>
          <w:p w:rsidR="00AB5778" w:rsidRDefault="00DD2F70">
            <w:pPr>
              <w:jc w:val="right"/>
            </w:pPr>
            <w:r>
              <w:rPr>
                <w:color w:val="000000"/>
                <w:sz w:val="24"/>
                <w:szCs w:val="24"/>
              </w:rPr>
              <w:t>4.91</w:t>
            </w:r>
          </w:p>
        </w:tc>
      </w:tr>
      <w:tr w:rsidR="00AB5778">
        <w:trPr>
          <w:jc w:val="center"/>
        </w:trPr>
        <w:tc>
          <w:tcPr>
            <w:tcW w:w="855" w:type="dxa"/>
            <w:vAlign w:val="center"/>
          </w:tcPr>
          <w:p w:rsidR="00AB5778" w:rsidRDefault="00DD2F70">
            <w:pPr>
              <w:jc w:val="center"/>
            </w:pPr>
            <w:r>
              <w:rPr>
                <w:color w:val="000000"/>
                <w:sz w:val="24"/>
                <w:szCs w:val="24"/>
              </w:rPr>
              <w:t>7</w:t>
            </w:r>
          </w:p>
        </w:tc>
        <w:tc>
          <w:tcPr>
            <w:tcW w:w="1334" w:type="dxa"/>
            <w:vAlign w:val="center"/>
          </w:tcPr>
          <w:p w:rsidR="00AB5778" w:rsidRDefault="00DD2F70">
            <w:pPr>
              <w:jc w:val="center"/>
            </w:pPr>
            <w:r>
              <w:rPr>
                <w:color w:val="000000"/>
                <w:sz w:val="24"/>
                <w:szCs w:val="24"/>
              </w:rPr>
              <w:t>603517</w:t>
            </w:r>
          </w:p>
        </w:tc>
        <w:tc>
          <w:tcPr>
            <w:tcW w:w="1777" w:type="dxa"/>
            <w:vAlign w:val="center"/>
          </w:tcPr>
          <w:p w:rsidR="00AB5778" w:rsidRDefault="00DD2F70">
            <w:pPr>
              <w:jc w:val="center"/>
            </w:pPr>
            <w:r>
              <w:rPr>
                <w:color w:val="000000"/>
                <w:sz w:val="24"/>
                <w:szCs w:val="24"/>
              </w:rPr>
              <w:t>绝味食品</w:t>
            </w:r>
          </w:p>
        </w:tc>
        <w:tc>
          <w:tcPr>
            <w:tcW w:w="1334" w:type="dxa"/>
            <w:vAlign w:val="center"/>
          </w:tcPr>
          <w:p w:rsidR="00AB5778" w:rsidRDefault="00DD2F70">
            <w:pPr>
              <w:jc w:val="right"/>
            </w:pPr>
            <w:r>
              <w:rPr>
                <w:color w:val="000000"/>
                <w:sz w:val="24"/>
                <w:szCs w:val="24"/>
              </w:rPr>
              <w:t>1,700,000</w:t>
            </w:r>
          </w:p>
        </w:tc>
        <w:tc>
          <w:tcPr>
            <w:tcW w:w="1924" w:type="dxa"/>
            <w:vAlign w:val="center"/>
          </w:tcPr>
          <w:p w:rsidR="00AB5778" w:rsidRDefault="00DD2F70">
            <w:pPr>
              <w:jc w:val="right"/>
            </w:pPr>
            <w:r>
              <w:rPr>
                <w:color w:val="000000"/>
                <w:sz w:val="24"/>
                <w:szCs w:val="24"/>
              </w:rPr>
              <w:t>120,258,000.00</w:t>
            </w:r>
          </w:p>
        </w:tc>
        <w:tc>
          <w:tcPr>
            <w:tcW w:w="1644" w:type="dxa"/>
            <w:vAlign w:val="center"/>
          </w:tcPr>
          <w:p w:rsidR="00AB5778" w:rsidRDefault="00DD2F70">
            <w:pPr>
              <w:jc w:val="right"/>
            </w:pPr>
            <w:r>
              <w:rPr>
                <w:color w:val="000000"/>
                <w:sz w:val="24"/>
                <w:szCs w:val="24"/>
              </w:rPr>
              <w:t>4.45</w:t>
            </w:r>
          </w:p>
        </w:tc>
      </w:tr>
      <w:tr w:rsidR="00AB5778">
        <w:trPr>
          <w:jc w:val="center"/>
        </w:trPr>
        <w:tc>
          <w:tcPr>
            <w:tcW w:w="855" w:type="dxa"/>
            <w:vAlign w:val="center"/>
          </w:tcPr>
          <w:p w:rsidR="00AB5778" w:rsidRDefault="00DD2F70">
            <w:pPr>
              <w:jc w:val="center"/>
            </w:pPr>
            <w:r>
              <w:rPr>
                <w:color w:val="000000"/>
                <w:sz w:val="24"/>
                <w:szCs w:val="24"/>
              </w:rPr>
              <w:t>8</w:t>
            </w:r>
          </w:p>
        </w:tc>
        <w:tc>
          <w:tcPr>
            <w:tcW w:w="1334" w:type="dxa"/>
            <w:vAlign w:val="center"/>
          </w:tcPr>
          <w:p w:rsidR="00AB5778" w:rsidRDefault="00DD2F70">
            <w:pPr>
              <w:jc w:val="center"/>
            </w:pPr>
            <w:r>
              <w:rPr>
                <w:color w:val="000000"/>
                <w:sz w:val="24"/>
                <w:szCs w:val="24"/>
              </w:rPr>
              <w:t>000651</w:t>
            </w:r>
          </w:p>
        </w:tc>
        <w:tc>
          <w:tcPr>
            <w:tcW w:w="1777" w:type="dxa"/>
            <w:vAlign w:val="center"/>
          </w:tcPr>
          <w:p w:rsidR="00AB5778" w:rsidRDefault="00DD2F70">
            <w:pPr>
              <w:jc w:val="center"/>
            </w:pPr>
            <w:r>
              <w:rPr>
                <w:color w:val="000000"/>
                <w:sz w:val="24"/>
                <w:szCs w:val="24"/>
              </w:rPr>
              <w:t>格力电器</w:t>
            </w:r>
          </w:p>
        </w:tc>
        <w:tc>
          <w:tcPr>
            <w:tcW w:w="1334" w:type="dxa"/>
            <w:vAlign w:val="center"/>
          </w:tcPr>
          <w:p w:rsidR="00AB5778" w:rsidRDefault="00DD2F70">
            <w:pPr>
              <w:jc w:val="right"/>
            </w:pPr>
            <w:r>
              <w:rPr>
                <w:color w:val="000000"/>
                <w:sz w:val="24"/>
                <w:szCs w:val="24"/>
              </w:rPr>
              <w:t>2,005,675</w:t>
            </w:r>
          </w:p>
        </w:tc>
        <w:tc>
          <w:tcPr>
            <w:tcW w:w="1924" w:type="dxa"/>
            <w:vAlign w:val="center"/>
          </w:tcPr>
          <w:p w:rsidR="00AB5778" w:rsidRDefault="00DD2F70">
            <w:pPr>
              <w:jc w:val="right"/>
            </w:pPr>
            <w:r>
              <w:rPr>
                <w:color w:val="000000"/>
                <w:sz w:val="24"/>
                <w:szCs w:val="24"/>
              </w:rPr>
              <w:t>113,461,034.75</w:t>
            </w:r>
          </w:p>
        </w:tc>
        <w:tc>
          <w:tcPr>
            <w:tcW w:w="1644" w:type="dxa"/>
            <w:vAlign w:val="center"/>
          </w:tcPr>
          <w:p w:rsidR="00AB5778" w:rsidRDefault="00DD2F70">
            <w:pPr>
              <w:jc w:val="right"/>
            </w:pPr>
            <w:r>
              <w:rPr>
                <w:color w:val="000000"/>
                <w:sz w:val="24"/>
                <w:szCs w:val="24"/>
              </w:rPr>
              <w:t>4.20</w:t>
            </w:r>
          </w:p>
        </w:tc>
      </w:tr>
      <w:tr w:rsidR="00AB5778">
        <w:trPr>
          <w:jc w:val="center"/>
        </w:trPr>
        <w:tc>
          <w:tcPr>
            <w:tcW w:w="855" w:type="dxa"/>
            <w:vAlign w:val="center"/>
          </w:tcPr>
          <w:p w:rsidR="00AB5778" w:rsidRDefault="00DD2F70">
            <w:pPr>
              <w:jc w:val="center"/>
            </w:pPr>
            <w:r>
              <w:rPr>
                <w:color w:val="000000"/>
                <w:sz w:val="24"/>
                <w:szCs w:val="24"/>
              </w:rPr>
              <w:t>9</w:t>
            </w:r>
          </w:p>
        </w:tc>
        <w:tc>
          <w:tcPr>
            <w:tcW w:w="1334" w:type="dxa"/>
            <w:vAlign w:val="center"/>
          </w:tcPr>
          <w:p w:rsidR="00AB5778" w:rsidRDefault="00DD2F70">
            <w:pPr>
              <w:jc w:val="center"/>
            </w:pPr>
            <w:r>
              <w:rPr>
                <w:color w:val="000000"/>
                <w:sz w:val="24"/>
                <w:szCs w:val="24"/>
              </w:rPr>
              <w:t>601838</w:t>
            </w:r>
          </w:p>
        </w:tc>
        <w:tc>
          <w:tcPr>
            <w:tcW w:w="1777" w:type="dxa"/>
            <w:vAlign w:val="center"/>
          </w:tcPr>
          <w:p w:rsidR="00AB5778" w:rsidRDefault="00DD2F70">
            <w:pPr>
              <w:jc w:val="center"/>
            </w:pPr>
            <w:r>
              <w:rPr>
                <w:color w:val="000000"/>
                <w:sz w:val="24"/>
                <w:szCs w:val="24"/>
              </w:rPr>
              <w:t>成都银行</w:t>
            </w:r>
          </w:p>
        </w:tc>
        <w:tc>
          <w:tcPr>
            <w:tcW w:w="1334" w:type="dxa"/>
            <w:vAlign w:val="center"/>
          </w:tcPr>
          <w:p w:rsidR="00AB5778" w:rsidRDefault="00DD2F70">
            <w:pPr>
              <w:jc w:val="right"/>
            </w:pPr>
            <w:r>
              <w:rPr>
                <w:color w:val="000000"/>
                <w:sz w:val="24"/>
                <w:szCs w:val="24"/>
              </w:rPr>
              <w:t>11,364,825</w:t>
            </w:r>
          </w:p>
        </w:tc>
        <w:tc>
          <w:tcPr>
            <w:tcW w:w="1924" w:type="dxa"/>
            <w:vAlign w:val="center"/>
          </w:tcPr>
          <w:p w:rsidR="00AB5778" w:rsidRDefault="00DD2F70">
            <w:pPr>
              <w:jc w:val="right"/>
            </w:pPr>
            <w:r>
              <w:rPr>
                <w:color w:val="000000"/>
                <w:sz w:val="24"/>
                <w:szCs w:val="24"/>
              </w:rPr>
              <w:t>90,464,007.00</w:t>
            </w:r>
          </w:p>
        </w:tc>
        <w:tc>
          <w:tcPr>
            <w:tcW w:w="1644" w:type="dxa"/>
            <w:vAlign w:val="center"/>
          </w:tcPr>
          <w:p w:rsidR="00AB5778" w:rsidRDefault="00DD2F70">
            <w:pPr>
              <w:jc w:val="right"/>
            </w:pPr>
            <w:r>
              <w:rPr>
                <w:color w:val="000000"/>
                <w:sz w:val="24"/>
                <w:szCs w:val="24"/>
              </w:rPr>
              <w:t>3.35</w:t>
            </w:r>
          </w:p>
        </w:tc>
      </w:tr>
      <w:tr w:rsidR="00AB5778">
        <w:trPr>
          <w:jc w:val="center"/>
        </w:trPr>
        <w:tc>
          <w:tcPr>
            <w:tcW w:w="855" w:type="dxa"/>
            <w:vAlign w:val="center"/>
          </w:tcPr>
          <w:p w:rsidR="00AB5778" w:rsidRDefault="00DD2F70">
            <w:pPr>
              <w:jc w:val="center"/>
            </w:pPr>
            <w:r>
              <w:rPr>
                <w:color w:val="000000"/>
                <w:sz w:val="24"/>
                <w:szCs w:val="24"/>
              </w:rPr>
              <w:t>10</w:t>
            </w:r>
          </w:p>
        </w:tc>
        <w:tc>
          <w:tcPr>
            <w:tcW w:w="1334" w:type="dxa"/>
            <w:vAlign w:val="center"/>
          </w:tcPr>
          <w:p w:rsidR="00AB5778" w:rsidRDefault="00DD2F70">
            <w:pPr>
              <w:jc w:val="center"/>
            </w:pPr>
            <w:r>
              <w:rPr>
                <w:color w:val="000000"/>
                <w:sz w:val="24"/>
                <w:szCs w:val="24"/>
              </w:rPr>
              <w:t>002837</w:t>
            </w:r>
          </w:p>
        </w:tc>
        <w:tc>
          <w:tcPr>
            <w:tcW w:w="1777" w:type="dxa"/>
            <w:vAlign w:val="center"/>
          </w:tcPr>
          <w:p w:rsidR="00AB5778" w:rsidRDefault="00DD2F70">
            <w:pPr>
              <w:jc w:val="center"/>
            </w:pPr>
            <w:r>
              <w:rPr>
                <w:color w:val="000000"/>
                <w:sz w:val="24"/>
                <w:szCs w:val="24"/>
              </w:rPr>
              <w:t>英维克</w:t>
            </w:r>
          </w:p>
        </w:tc>
        <w:tc>
          <w:tcPr>
            <w:tcW w:w="1334" w:type="dxa"/>
            <w:vAlign w:val="center"/>
          </w:tcPr>
          <w:p w:rsidR="00AB5778" w:rsidRDefault="00DD2F70">
            <w:pPr>
              <w:jc w:val="right"/>
            </w:pPr>
            <w:r>
              <w:rPr>
                <w:color w:val="000000"/>
                <w:sz w:val="24"/>
                <w:szCs w:val="24"/>
              </w:rPr>
              <w:t>3,005,000</w:t>
            </w:r>
          </w:p>
        </w:tc>
        <w:tc>
          <w:tcPr>
            <w:tcW w:w="1924" w:type="dxa"/>
            <w:vAlign w:val="center"/>
          </w:tcPr>
          <w:p w:rsidR="00AB5778" w:rsidRDefault="00DD2F70">
            <w:pPr>
              <w:jc w:val="right"/>
            </w:pPr>
            <w:r>
              <w:rPr>
                <w:color w:val="000000"/>
                <w:sz w:val="24"/>
                <w:szCs w:val="24"/>
              </w:rPr>
              <w:t>89,008,100.00</w:t>
            </w:r>
          </w:p>
        </w:tc>
        <w:tc>
          <w:tcPr>
            <w:tcW w:w="1644" w:type="dxa"/>
            <w:vAlign w:val="center"/>
          </w:tcPr>
          <w:p w:rsidR="00AB5778" w:rsidRDefault="00DD2F70">
            <w:pPr>
              <w:jc w:val="right"/>
            </w:pPr>
            <w:r>
              <w:rPr>
                <w:color w:val="000000"/>
                <w:sz w:val="24"/>
                <w:szCs w:val="24"/>
              </w:rPr>
              <w:t>3.29</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CE7169" w:rsidRPr="00CE7169"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f2"/>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w:t>
            </w:r>
            <w:r w:rsidRPr="00414345">
              <w:rPr>
                <w:color w:val="000000"/>
                <w:sz w:val="24"/>
                <w:szCs w:val="24"/>
              </w:rPr>
              <w:lastRenderedPageBreak/>
              <w:t>值比例</w:t>
            </w:r>
            <w:r w:rsidR="003F0956">
              <w:rPr>
                <w:rFonts w:hint="eastAsia"/>
                <w:color w:val="000000"/>
                <w:sz w:val="24"/>
              </w:rPr>
              <w:t>(</w:t>
            </w:r>
            <w:r w:rsidR="003F0956">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lastRenderedPageBreak/>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59,538,000.00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2.20</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59,538,000.00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2.20</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3,376,354.68</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0.12</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62,914,354.68</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2.33</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5B4C8F" w:rsidRPr="005B4C8F"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f2"/>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9D1BD9">
              <w:rPr>
                <w:rFonts w:hint="eastAsia"/>
                <w:color w:val="000000"/>
                <w:sz w:val="24"/>
              </w:rPr>
              <w:t>(</w:t>
            </w:r>
            <w:r w:rsidR="009D1BD9">
              <w:rPr>
                <w:rFonts w:hint="eastAsia"/>
                <w:color w:val="000000"/>
                <w:sz w:val="24"/>
              </w:rPr>
              <w:t>张</w:t>
            </w:r>
            <w:r w:rsidR="009D1BD9">
              <w:rPr>
                <w:color w:val="000000"/>
                <w:sz w:val="24"/>
              </w:rPr>
              <w:t>)</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AB5778">
        <w:trPr>
          <w:jc w:val="center"/>
        </w:trPr>
        <w:tc>
          <w:tcPr>
            <w:tcW w:w="850" w:type="dxa"/>
            <w:vAlign w:val="center"/>
          </w:tcPr>
          <w:p w:rsidR="00AB5778" w:rsidRDefault="00DD2F70">
            <w:pPr>
              <w:jc w:val="center"/>
            </w:pPr>
            <w:r>
              <w:rPr>
                <w:color w:val="000000"/>
                <w:sz w:val="24"/>
                <w:szCs w:val="24"/>
              </w:rPr>
              <w:t>1</w:t>
            </w:r>
          </w:p>
        </w:tc>
        <w:tc>
          <w:tcPr>
            <w:tcW w:w="1475" w:type="dxa"/>
            <w:vAlign w:val="center"/>
          </w:tcPr>
          <w:p w:rsidR="00AB5778" w:rsidRDefault="00DD2F70">
            <w:pPr>
              <w:jc w:val="center"/>
            </w:pPr>
            <w:r>
              <w:rPr>
                <w:color w:val="000000"/>
                <w:sz w:val="24"/>
                <w:szCs w:val="24"/>
              </w:rPr>
              <w:t>207703</w:t>
            </w:r>
          </w:p>
        </w:tc>
        <w:tc>
          <w:tcPr>
            <w:tcW w:w="1769" w:type="dxa"/>
            <w:vAlign w:val="center"/>
          </w:tcPr>
          <w:p w:rsidR="00AB5778" w:rsidRDefault="00DD2F70">
            <w:pPr>
              <w:jc w:val="center"/>
            </w:pPr>
            <w:r>
              <w:rPr>
                <w:color w:val="000000"/>
                <w:sz w:val="24"/>
                <w:szCs w:val="24"/>
              </w:rPr>
              <w:t>20</w:t>
            </w:r>
            <w:r>
              <w:rPr>
                <w:color w:val="000000"/>
                <w:sz w:val="24"/>
                <w:szCs w:val="24"/>
              </w:rPr>
              <w:t>贴现国开</w:t>
            </w:r>
            <w:r>
              <w:rPr>
                <w:color w:val="000000"/>
                <w:sz w:val="24"/>
                <w:szCs w:val="24"/>
              </w:rPr>
              <w:t>03</w:t>
            </w:r>
          </w:p>
        </w:tc>
        <w:tc>
          <w:tcPr>
            <w:tcW w:w="1387" w:type="dxa"/>
            <w:vAlign w:val="center"/>
          </w:tcPr>
          <w:p w:rsidR="00AB5778" w:rsidRDefault="00DD2F70">
            <w:pPr>
              <w:jc w:val="right"/>
            </w:pPr>
            <w:r>
              <w:rPr>
                <w:color w:val="000000"/>
                <w:sz w:val="24"/>
                <w:szCs w:val="24"/>
              </w:rPr>
              <w:t>600,000</w:t>
            </w:r>
          </w:p>
        </w:tc>
        <w:tc>
          <w:tcPr>
            <w:tcW w:w="2150" w:type="dxa"/>
            <w:vAlign w:val="center"/>
          </w:tcPr>
          <w:p w:rsidR="00AB5778" w:rsidRDefault="00DD2F70">
            <w:pPr>
              <w:jc w:val="right"/>
            </w:pPr>
            <w:r>
              <w:rPr>
                <w:color w:val="000000"/>
                <w:sz w:val="24"/>
                <w:szCs w:val="24"/>
              </w:rPr>
              <w:t>59,538,000.00</w:t>
            </w:r>
          </w:p>
        </w:tc>
        <w:tc>
          <w:tcPr>
            <w:tcW w:w="1237" w:type="dxa"/>
            <w:vAlign w:val="center"/>
          </w:tcPr>
          <w:p w:rsidR="00AB5778" w:rsidRDefault="00DD2F70">
            <w:pPr>
              <w:jc w:val="right"/>
            </w:pPr>
            <w:r>
              <w:rPr>
                <w:color w:val="000000"/>
                <w:sz w:val="24"/>
                <w:szCs w:val="24"/>
              </w:rPr>
              <w:t>2.20</w:t>
            </w:r>
          </w:p>
        </w:tc>
      </w:tr>
      <w:tr w:rsidR="00AB5778">
        <w:trPr>
          <w:jc w:val="center"/>
        </w:trPr>
        <w:tc>
          <w:tcPr>
            <w:tcW w:w="850" w:type="dxa"/>
            <w:vAlign w:val="center"/>
          </w:tcPr>
          <w:p w:rsidR="00AB5778" w:rsidRDefault="00DD2F70">
            <w:pPr>
              <w:jc w:val="center"/>
            </w:pPr>
            <w:r>
              <w:rPr>
                <w:color w:val="000000"/>
                <w:sz w:val="24"/>
                <w:szCs w:val="24"/>
              </w:rPr>
              <w:t>2</w:t>
            </w:r>
          </w:p>
        </w:tc>
        <w:tc>
          <w:tcPr>
            <w:tcW w:w="1475" w:type="dxa"/>
            <w:vAlign w:val="center"/>
          </w:tcPr>
          <w:p w:rsidR="00AB5778" w:rsidRDefault="00DD2F70">
            <w:pPr>
              <w:jc w:val="center"/>
            </w:pPr>
            <w:r>
              <w:rPr>
                <w:color w:val="000000"/>
                <w:sz w:val="24"/>
                <w:szCs w:val="24"/>
              </w:rPr>
              <w:t>128035</w:t>
            </w:r>
          </w:p>
        </w:tc>
        <w:tc>
          <w:tcPr>
            <w:tcW w:w="1769" w:type="dxa"/>
            <w:vAlign w:val="center"/>
          </w:tcPr>
          <w:p w:rsidR="00AB5778" w:rsidRDefault="00DD2F70">
            <w:pPr>
              <w:jc w:val="center"/>
            </w:pPr>
            <w:r>
              <w:rPr>
                <w:color w:val="000000"/>
                <w:sz w:val="24"/>
                <w:szCs w:val="24"/>
              </w:rPr>
              <w:t>大族转债</w:t>
            </w:r>
          </w:p>
        </w:tc>
        <w:tc>
          <w:tcPr>
            <w:tcW w:w="1387" w:type="dxa"/>
            <w:vAlign w:val="center"/>
          </w:tcPr>
          <w:p w:rsidR="00AB5778" w:rsidRDefault="00DD2F70">
            <w:pPr>
              <w:jc w:val="right"/>
            </w:pPr>
            <w:r>
              <w:rPr>
                <w:color w:val="000000"/>
                <w:sz w:val="24"/>
                <w:szCs w:val="24"/>
              </w:rPr>
              <w:t>31,514</w:t>
            </w:r>
          </w:p>
        </w:tc>
        <w:tc>
          <w:tcPr>
            <w:tcW w:w="2150" w:type="dxa"/>
            <w:vAlign w:val="center"/>
          </w:tcPr>
          <w:p w:rsidR="00AB5778" w:rsidRDefault="00DD2F70">
            <w:pPr>
              <w:jc w:val="right"/>
            </w:pPr>
            <w:r>
              <w:rPr>
                <w:color w:val="000000"/>
                <w:sz w:val="24"/>
                <w:szCs w:val="24"/>
              </w:rPr>
              <w:t>3,373,888.84</w:t>
            </w:r>
          </w:p>
        </w:tc>
        <w:tc>
          <w:tcPr>
            <w:tcW w:w="1237" w:type="dxa"/>
            <w:vAlign w:val="center"/>
          </w:tcPr>
          <w:p w:rsidR="00AB5778" w:rsidRDefault="00DD2F70">
            <w:pPr>
              <w:jc w:val="right"/>
            </w:pPr>
            <w:r>
              <w:rPr>
                <w:color w:val="000000"/>
                <w:sz w:val="24"/>
                <w:szCs w:val="24"/>
              </w:rPr>
              <w:t>0.12</w:t>
            </w:r>
          </w:p>
        </w:tc>
      </w:tr>
      <w:tr w:rsidR="00AB5778">
        <w:trPr>
          <w:jc w:val="center"/>
        </w:trPr>
        <w:tc>
          <w:tcPr>
            <w:tcW w:w="850" w:type="dxa"/>
            <w:vAlign w:val="center"/>
          </w:tcPr>
          <w:p w:rsidR="00AB5778" w:rsidRDefault="00DD2F70">
            <w:pPr>
              <w:jc w:val="center"/>
            </w:pPr>
            <w:r>
              <w:rPr>
                <w:color w:val="000000"/>
                <w:sz w:val="24"/>
                <w:szCs w:val="24"/>
              </w:rPr>
              <w:t>3</w:t>
            </w:r>
          </w:p>
        </w:tc>
        <w:tc>
          <w:tcPr>
            <w:tcW w:w="1475" w:type="dxa"/>
            <w:vAlign w:val="center"/>
          </w:tcPr>
          <w:p w:rsidR="00AB5778" w:rsidRDefault="00DD2F70">
            <w:pPr>
              <w:jc w:val="center"/>
            </w:pPr>
            <w:r>
              <w:rPr>
                <w:color w:val="000000"/>
                <w:sz w:val="24"/>
                <w:szCs w:val="24"/>
              </w:rPr>
              <w:t>128023</w:t>
            </w:r>
          </w:p>
        </w:tc>
        <w:tc>
          <w:tcPr>
            <w:tcW w:w="1769" w:type="dxa"/>
            <w:vAlign w:val="center"/>
          </w:tcPr>
          <w:p w:rsidR="00AB5778" w:rsidRDefault="00DD2F70">
            <w:pPr>
              <w:jc w:val="center"/>
            </w:pPr>
            <w:r>
              <w:rPr>
                <w:color w:val="000000"/>
                <w:sz w:val="24"/>
                <w:szCs w:val="24"/>
              </w:rPr>
              <w:t>亚太转债</w:t>
            </w:r>
          </w:p>
        </w:tc>
        <w:tc>
          <w:tcPr>
            <w:tcW w:w="1387" w:type="dxa"/>
            <w:vAlign w:val="center"/>
          </w:tcPr>
          <w:p w:rsidR="00AB5778" w:rsidRDefault="00DD2F70">
            <w:pPr>
              <w:jc w:val="right"/>
            </w:pPr>
            <w:r>
              <w:rPr>
                <w:color w:val="000000"/>
                <w:sz w:val="24"/>
                <w:szCs w:val="24"/>
              </w:rPr>
              <w:t>26</w:t>
            </w:r>
          </w:p>
        </w:tc>
        <w:tc>
          <w:tcPr>
            <w:tcW w:w="2150" w:type="dxa"/>
            <w:vAlign w:val="center"/>
          </w:tcPr>
          <w:p w:rsidR="00AB5778" w:rsidRDefault="00DD2F70">
            <w:pPr>
              <w:jc w:val="right"/>
            </w:pPr>
            <w:r>
              <w:rPr>
                <w:color w:val="000000"/>
                <w:sz w:val="24"/>
                <w:szCs w:val="24"/>
              </w:rPr>
              <w:t>2,465.84</w:t>
            </w:r>
          </w:p>
        </w:tc>
        <w:tc>
          <w:tcPr>
            <w:tcW w:w="1237" w:type="dxa"/>
            <w:vAlign w:val="center"/>
          </w:tcPr>
          <w:p w:rsidR="00AB5778" w:rsidRDefault="00DD2F70">
            <w:pPr>
              <w:jc w:val="right"/>
            </w:pPr>
            <w:r>
              <w:rPr>
                <w:color w:val="000000"/>
                <w:sz w:val="24"/>
                <w:szCs w:val="24"/>
              </w:rPr>
              <w:t>0.00</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2A5C5A" w:rsidRDefault="002A5C5A" w:rsidP="00C15CAC">
      <w:pPr>
        <w:autoSpaceDE w:val="0"/>
        <w:autoSpaceDN w:val="0"/>
        <w:adjustRightInd w:val="0"/>
        <w:spacing w:before="29" w:line="288" w:lineRule="auto"/>
        <w:jc w:val="left"/>
        <w:rPr>
          <w:b/>
          <w:bCs/>
          <w:color w:val="000000"/>
          <w:kern w:val="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34FB5" w:rsidRDefault="00BE5388" w:rsidP="00E40D31">
      <w:pPr>
        <w:autoSpaceDE w:val="0"/>
        <w:autoSpaceDN w:val="0"/>
        <w:adjustRightInd w:val="0"/>
        <w:spacing w:before="29" w:line="288" w:lineRule="auto"/>
        <w:jc w:val="left"/>
        <w:rPr>
          <w:b/>
          <w:bCs/>
          <w:color w:val="000000"/>
          <w:kern w:val="0"/>
          <w:sz w:val="24"/>
          <w:szCs w:val="24"/>
        </w:rPr>
      </w:pPr>
      <w:r w:rsidRPr="00B34FB5">
        <w:rPr>
          <w:b/>
          <w:bCs/>
          <w:color w:val="000000"/>
          <w:kern w:val="0"/>
          <w:sz w:val="24"/>
          <w:szCs w:val="24"/>
        </w:rPr>
        <w:t>5.11.1</w:t>
      </w:r>
      <w:r w:rsidRPr="00AA3969">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AA3969" w:rsidRDefault="00BE5388" w:rsidP="00E40D31">
      <w:pPr>
        <w:autoSpaceDE w:val="0"/>
        <w:autoSpaceDN w:val="0"/>
        <w:adjustRightInd w:val="0"/>
        <w:spacing w:before="29" w:line="288" w:lineRule="auto"/>
        <w:jc w:val="left"/>
        <w:rPr>
          <w:bCs/>
          <w:color w:val="000000"/>
          <w:kern w:val="0"/>
          <w:sz w:val="24"/>
          <w:szCs w:val="24"/>
        </w:rPr>
      </w:pPr>
      <w:r w:rsidRPr="00B34FB5">
        <w:rPr>
          <w:b/>
          <w:bCs/>
          <w:color w:val="000000"/>
          <w:kern w:val="0"/>
          <w:sz w:val="24"/>
          <w:szCs w:val="24"/>
        </w:rPr>
        <w:t>5.11.2</w:t>
      </w:r>
      <w:r w:rsidRPr="00AA3969">
        <w:rPr>
          <w:bCs/>
          <w:color w:val="000000"/>
          <w:kern w:val="0"/>
          <w:sz w:val="24"/>
          <w:szCs w:val="24"/>
        </w:rPr>
        <w:t>本基金投资的前十名股票中，没有超出基金合同规定的备选股票库之外的股票。</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R="00DD7A00" w:rsidRPr="00414345" w:rsidRDefault="004A0AA9" w:rsidP="00DD7A00">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金额单位：人民币元</w:t>
      </w:r>
    </w:p>
    <w:tbl>
      <w:tblPr>
        <w:tblStyle w:val="aff2"/>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1,354,184.19</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257,124.45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2,865,084.49</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4,476,393.13</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R="00173B44" w:rsidRPr="00414345" w:rsidRDefault="00173B44" w:rsidP="00173B44">
      <w:pPr>
        <w:autoSpaceDE w:val="0"/>
        <w:autoSpaceDN w:val="0"/>
        <w:adjustRightInd w:val="0"/>
        <w:spacing w:before="29" w:line="288" w:lineRule="auto"/>
        <w:jc w:val="right"/>
        <w:rPr>
          <w:bCs/>
          <w:color w:val="000000"/>
          <w:kern w:val="0"/>
          <w:sz w:val="24"/>
          <w:szCs w:val="24"/>
        </w:rPr>
      </w:pPr>
      <w:r w:rsidRPr="00173B44">
        <w:rPr>
          <w:rFonts w:hint="eastAsia"/>
          <w:bCs/>
          <w:color w:val="000000"/>
          <w:kern w:val="0"/>
          <w:sz w:val="24"/>
          <w:szCs w:val="24"/>
        </w:rPr>
        <w:t>金额单位：人民币元</w:t>
      </w:r>
    </w:p>
    <w:tbl>
      <w:tblPr>
        <w:tblStyle w:val="aff2"/>
        <w:tblW w:w="8868" w:type="dxa"/>
        <w:jc w:val="center"/>
        <w:tblLayout w:type="fixed"/>
        <w:tblCellMar>
          <w:top w:w="57" w:type="dxa"/>
          <w:bottom w:w="57" w:type="dxa"/>
        </w:tblCellMar>
        <w:tblLook w:val="04A0" w:firstRow="1" w:lastRow="0" w:firstColumn="1" w:lastColumn="0" w:noHBand="0" w:noVBand="1"/>
      </w:tblPr>
      <w:tblGrid>
        <w:gridCol w:w="1883"/>
        <w:gridCol w:w="1801"/>
        <w:gridCol w:w="1727"/>
        <w:gridCol w:w="1768"/>
        <w:gridCol w:w="1689"/>
      </w:tblGrid>
      <w:tr w:rsidR="003E62FB" w:rsidRPr="00414345" w:rsidTr="00A324F4">
        <w:trPr>
          <w:jc w:val="center"/>
        </w:trPr>
        <w:tc>
          <w:tcPr>
            <w:tcW w:w="180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729"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65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69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p>
        </w:tc>
        <w:tc>
          <w:tcPr>
            <w:tcW w:w="162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9D1BD9">
              <w:rPr>
                <w:rFonts w:hint="eastAsia"/>
                <w:color w:val="000000"/>
                <w:sz w:val="24"/>
                <w:szCs w:val="24"/>
              </w:rPr>
              <w:t>(</w:t>
            </w:r>
            <w:r w:rsidR="009D1BD9">
              <w:rPr>
                <w:color w:val="000000"/>
                <w:sz w:val="24"/>
                <w:szCs w:val="24"/>
              </w:rPr>
              <w:t>%</w:t>
            </w:r>
            <w:r w:rsidR="009D1BD9">
              <w:rPr>
                <w:rFonts w:hint="eastAsia"/>
                <w:color w:val="000000"/>
                <w:sz w:val="24"/>
                <w:szCs w:val="24"/>
              </w:rPr>
              <w:t>)</w:t>
            </w:r>
          </w:p>
        </w:tc>
      </w:tr>
      <w:tr w:rsidR="00AB5778">
        <w:trPr>
          <w:jc w:val="center"/>
        </w:trPr>
        <w:tc>
          <w:tcPr>
            <w:tcW w:w="1883" w:type="dxa"/>
            <w:vAlign w:val="center"/>
          </w:tcPr>
          <w:p w:rsidR="00AB5778" w:rsidRDefault="00DD2F70">
            <w:pPr>
              <w:jc w:val="center"/>
            </w:pPr>
            <w:r>
              <w:rPr>
                <w:color w:val="000000"/>
                <w:sz w:val="24"/>
                <w:szCs w:val="24"/>
              </w:rPr>
              <w:t>1</w:t>
            </w:r>
          </w:p>
        </w:tc>
        <w:tc>
          <w:tcPr>
            <w:tcW w:w="1801" w:type="dxa"/>
            <w:vAlign w:val="center"/>
          </w:tcPr>
          <w:p w:rsidR="00AB5778" w:rsidRDefault="00DD2F70">
            <w:pPr>
              <w:jc w:val="center"/>
            </w:pPr>
            <w:r>
              <w:rPr>
                <w:color w:val="000000"/>
                <w:sz w:val="24"/>
                <w:szCs w:val="24"/>
              </w:rPr>
              <w:t>128035</w:t>
            </w:r>
          </w:p>
        </w:tc>
        <w:tc>
          <w:tcPr>
            <w:tcW w:w="1727" w:type="dxa"/>
            <w:vAlign w:val="center"/>
          </w:tcPr>
          <w:p w:rsidR="00AB5778" w:rsidRDefault="00DD2F70">
            <w:pPr>
              <w:jc w:val="center"/>
            </w:pPr>
            <w:r>
              <w:rPr>
                <w:color w:val="000000"/>
                <w:sz w:val="24"/>
                <w:szCs w:val="24"/>
              </w:rPr>
              <w:t>大族转债</w:t>
            </w:r>
          </w:p>
        </w:tc>
        <w:tc>
          <w:tcPr>
            <w:tcW w:w="1768" w:type="dxa"/>
            <w:vAlign w:val="center"/>
          </w:tcPr>
          <w:p w:rsidR="00AB5778" w:rsidRDefault="00DD2F70">
            <w:pPr>
              <w:jc w:val="right"/>
            </w:pPr>
            <w:r>
              <w:rPr>
                <w:color w:val="000000"/>
                <w:sz w:val="24"/>
                <w:szCs w:val="24"/>
              </w:rPr>
              <w:t>3,373,888.84</w:t>
            </w:r>
          </w:p>
        </w:tc>
        <w:tc>
          <w:tcPr>
            <w:tcW w:w="1689" w:type="dxa"/>
            <w:vAlign w:val="center"/>
          </w:tcPr>
          <w:p w:rsidR="00AB5778" w:rsidRDefault="00DD2F70">
            <w:pPr>
              <w:jc w:val="right"/>
            </w:pPr>
            <w:r>
              <w:rPr>
                <w:color w:val="000000"/>
                <w:sz w:val="24"/>
                <w:szCs w:val="24"/>
              </w:rPr>
              <w:t>0.12</w:t>
            </w:r>
          </w:p>
        </w:tc>
      </w:tr>
      <w:tr w:rsidR="00AB5778">
        <w:trPr>
          <w:jc w:val="center"/>
        </w:trPr>
        <w:tc>
          <w:tcPr>
            <w:tcW w:w="1883" w:type="dxa"/>
            <w:vAlign w:val="center"/>
          </w:tcPr>
          <w:p w:rsidR="00AB5778" w:rsidRDefault="00DD2F70">
            <w:pPr>
              <w:jc w:val="center"/>
            </w:pPr>
            <w:r>
              <w:rPr>
                <w:color w:val="000000"/>
                <w:sz w:val="24"/>
                <w:szCs w:val="24"/>
              </w:rPr>
              <w:t>2</w:t>
            </w:r>
          </w:p>
        </w:tc>
        <w:tc>
          <w:tcPr>
            <w:tcW w:w="1801" w:type="dxa"/>
            <w:vAlign w:val="center"/>
          </w:tcPr>
          <w:p w:rsidR="00AB5778" w:rsidRDefault="00DD2F70">
            <w:pPr>
              <w:jc w:val="center"/>
            </w:pPr>
            <w:r>
              <w:rPr>
                <w:color w:val="000000"/>
                <w:sz w:val="24"/>
                <w:szCs w:val="24"/>
              </w:rPr>
              <w:t>128023</w:t>
            </w:r>
          </w:p>
        </w:tc>
        <w:tc>
          <w:tcPr>
            <w:tcW w:w="1727" w:type="dxa"/>
            <w:vAlign w:val="center"/>
          </w:tcPr>
          <w:p w:rsidR="00AB5778" w:rsidRDefault="00DD2F70">
            <w:pPr>
              <w:jc w:val="center"/>
            </w:pPr>
            <w:r>
              <w:rPr>
                <w:color w:val="000000"/>
                <w:sz w:val="24"/>
                <w:szCs w:val="24"/>
              </w:rPr>
              <w:t>亚太转债</w:t>
            </w:r>
          </w:p>
        </w:tc>
        <w:tc>
          <w:tcPr>
            <w:tcW w:w="1768" w:type="dxa"/>
            <w:vAlign w:val="center"/>
          </w:tcPr>
          <w:p w:rsidR="00AB5778" w:rsidRDefault="00DD2F70">
            <w:pPr>
              <w:jc w:val="right"/>
            </w:pPr>
            <w:r>
              <w:rPr>
                <w:color w:val="000000"/>
                <w:sz w:val="24"/>
                <w:szCs w:val="24"/>
              </w:rPr>
              <w:t>2,465.84</w:t>
            </w:r>
          </w:p>
        </w:tc>
        <w:tc>
          <w:tcPr>
            <w:tcW w:w="1689" w:type="dxa"/>
            <w:vAlign w:val="center"/>
          </w:tcPr>
          <w:p w:rsidR="00AB5778" w:rsidRDefault="00DD2F70">
            <w:pPr>
              <w:jc w:val="right"/>
            </w:pPr>
            <w:r>
              <w:rPr>
                <w:color w:val="000000"/>
                <w:sz w:val="24"/>
                <w:szCs w:val="24"/>
              </w:rPr>
              <w:t>0.00</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2A5C5A" w:rsidRDefault="002A5C5A" w:rsidP="00C15CAC">
      <w:pPr>
        <w:autoSpaceDE w:val="0"/>
        <w:autoSpaceDN w:val="0"/>
        <w:adjustRightInd w:val="0"/>
        <w:spacing w:before="29" w:line="288" w:lineRule="auto"/>
        <w:jc w:val="left"/>
        <w:rPr>
          <w:b/>
          <w:bCs/>
          <w:color w:val="000000"/>
          <w:kern w:val="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1F3E2A" w:rsidRPr="00414345" w:rsidRDefault="001F3E2A" w:rsidP="00C15CAC">
      <w:pPr>
        <w:spacing w:before="29" w:line="288" w:lineRule="auto"/>
        <w:ind w:firstLineChars="200" w:firstLine="480"/>
        <w:rPr>
          <w:color w:val="000000"/>
          <w:sz w:val="24"/>
          <w:szCs w:val="24"/>
        </w:rPr>
      </w:pPr>
    </w:p>
    <w:p w:rsidR="004061AC" w:rsidRPr="005A3D62" w:rsidRDefault="004061AC" w:rsidP="0011537B">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6</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2,064,639,838.06</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100,993,855.75</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337,210,151.42</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1,828,423,542.39</w:t>
            </w:r>
          </w:p>
        </w:tc>
      </w:tr>
    </w:tbl>
    <w:p w:rsidR="00AB5778" w:rsidRDefault="00DD2F70">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11537B">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B22DEE" w:rsidRPr="00E02660"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8</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AB5778" w:rsidRDefault="00DD2F70">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、中国证监会批准交银施罗德稳健配置混合型证券投资基金募集的文件；</w:t>
      </w:r>
      <w:r>
        <w:rPr>
          <w:color w:val="000000"/>
          <w:sz w:val="24"/>
          <w:szCs w:val="24"/>
        </w:rPr>
        <w:t xml:space="preserve"> </w:t>
      </w:r>
    </w:p>
    <w:p w:rsidR="00AB5778" w:rsidRDefault="00DD2F70">
      <w:pPr>
        <w:spacing w:before="29" w:line="288" w:lineRule="auto"/>
        <w:ind w:firstLineChars="200" w:firstLine="480"/>
        <w:rPr>
          <w:color w:val="000000"/>
          <w:sz w:val="24"/>
          <w:szCs w:val="24"/>
        </w:rPr>
      </w:pPr>
      <w:r>
        <w:rPr>
          <w:color w:val="000000"/>
          <w:sz w:val="24"/>
          <w:szCs w:val="24"/>
        </w:rPr>
        <w:t>2</w:t>
      </w:r>
      <w:r>
        <w:rPr>
          <w:color w:val="000000"/>
          <w:sz w:val="24"/>
          <w:szCs w:val="24"/>
        </w:rPr>
        <w:t>、《交银施罗德稳健配置混合型证券投资基金基金合同》；</w:t>
      </w:r>
      <w:r>
        <w:rPr>
          <w:color w:val="000000"/>
          <w:sz w:val="24"/>
          <w:szCs w:val="24"/>
        </w:rPr>
        <w:t xml:space="preserve"> </w:t>
      </w:r>
    </w:p>
    <w:p w:rsidR="00AB5778" w:rsidRDefault="00DD2F70">
      <w:pPr>
        <w:spacing w:before="29" w:line="288" w:lineRule="auto"/>
        <w:ind w:firstLineChars="200" w:firstLine="480"/>
        <w:rPr>
          <w:color w:val="000000"/>
          <w:sz w:val="24"/>
          <w:szCs w:val="24"/>
        </w:rPr>
      </w:pPr>
      <w:r>
        <w:rPr>
          <w:color w:val="000000"/>
          <w:sz w:val="24"/>
          <w:szCs w:val="24"/>
        </w:rPr>
        <w:t>3</w:t>
      </w:r>
      <w:r>
        <w:rPr>
          <w:color w:val="000000"/>
          <w:sz w:val="24"/>
          <w:szCs w:val="24"/>
        </w:rPr>
        <w:t>、《交银施罗德稳健配置混合型证券投资基金招募说明书》；</w:t>
      </w:r>
    </w:p>
    <w:p w:rsidR="00AB5778" w:rsidRDefault="00DD2F70">
      <w:pPr>
        <w:spacing w:before="29" w:line="288" w:lineRule="auto"/>
        <w:ind w:firstLineChars="200" w:firstLine="480"/>
        <w:rPr>
          <w:color w:val="000000"/>
          <w:sz w:val="24"/>
          <w:szCs w:val="24"/>
        </w:rPr>
      </w:pPr>
      <w:r>
        <w:rPr>
          <w:color w:val="000000"/>
          <w:sz w:val="24"/>
          <w:szCs w:val="24"/>
        </w:rPr>
        <w:t>4</w:t>
      </w:r>
      <w:r>
        <w:rPr>
          <w:color w:val="000000"/>
          <w:sz w:val="24"/>
          <w:szCs w:val="24"/>
        </w:rPr>
        <w:t>、《交银施罗德稳健配置混合型证券投资基金托管协议》；</w:t>
      </w:r>
      <w:r>
        <w:rPr>
          <w:color w:val="000000"/>
          <w:sz w:val="24"/>
          <w:szCs w:val="24"/>
        </w:rPr>
        <w:t xml:space="preserve"> </w:t>
      </w:r>
    </w:p>
    <w:p w:rsidR="00AB5778" w:rsidRDefault="00DD2F70">
      <w:pPr>
        <w:spacing w:before="29" w:line="288" w:lineRule="auto"/>
        <w:ind w:firstLineChars="200" w:firstLine="480"/>
        <w:rPr>
          <w:color w:val="000000"/>
          <w:sz w:val="24"/>
          <w:szCs w:val="24"/>
        </w:rPr>
      </w:pPr>
      <w:r>
        <w:rPr>
          <w:color w:val="000000"/>
          <w:sz w:val="24"/>
          <w:szCs w:val="24"/>
        </w:rPr>
        <w:t>5</w:t>
      </w:r>
      <w:r>
        <w:rPr>
          <w:color w:val="000000"/>
          <w:sz w:val="24"/>
          <w:szCs w:val="24"/>
        </w:rPr>
        <w:t>、关于募集交银施罗德稳健配置混合型证券投资基金之法律意见书；</w:t>
      </w:r>
      <w:r>
        <w:rPr>
          <w:color w:val="000000"/>
          <w:sz w:val="24"/>
          <w:szCs w:val="24"/>
        </w:rPr>
        <w:t xml:space="preserve"> </w:t>
      </w:r>
    </w:p>
    <w:p w:rsidR="00AB5778" w:rsidRDefault="00DD2F70">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AB5778" w:rsidRDefault="00DD2F70">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、报告期内交银施罗德稳健配置混合型证券投资基金在指定报刊上各项公告的原稿。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AB5778" w:rsidRDefault="00DD2F70">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F70" w:rsidRDefault="00DD2F70" w:rsidP="00876D65">
      <w:r>
        <w:separator/>
      </w:r>
    </w:p>
  </w:endnote>
  <w:endnote w:type="continuationSeparator" w:id="0">
    <w:p w:rsidR="00DD2F70" w:rsidRDefault="00DD2F70"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angSong">
    <w:altName w:val="黑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93A" w:rsidRDefault="00D9393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40C" w:rsidRPr="001D0DB0" w:rsidRDefault="004D340C" w:rsidP="004D340C">
    <w:pPr>
      <w:pStyle w:val="a8"/>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AA3969">
      <w:rPr>
        <w:noProof/>
        <w:kern w:val="0"/>
        <w:szCs w:val="21"/>
      </w:rPr>
      <w:t>17</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AA3969">
      <w:rPr>
        <w:noProof/>
        <w:kern w:val="0"/>
        <w:szCs w:val="21"/>
      </w:rPr>
      <w:t>24</w:t>
    </w:r>
    <w:r w:rsidR="00381EE8">
      <w:rPr>
        <w:kern w:val="0"/>
        <w:szCs w:val="21"/>
      </w:rPr>
      <w:fldChar w:fldCharType="end"/>
    </w:r>
    <w:r>
      <w:rPr>
        <w:rFonts w:hint="eastAsia"/>
        <w:kern w:val="0"/>
        <w:szCs w:val="21"/>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93A" w:rsidRDefault="00D9393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F70" w:rsidRDefault="00DD2F70" w:rsidP="00876D65">
      <w:r>
        <w:separator/>
      </w:r>
    </w:p>
  </w:footnote>
  <w:footnote w:type="continuationSeparator" w:id="0">
    <w:p w:rsidR="00DD2F70" w:rsidRDefault="00DD2F70" w:rsidP="00876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93A" w:rsidRDefault="00D9393A">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EF0" w:rsidRPr="00DC456F" w:rsidRDefault="00DC456F" w:rsidP="00090A26">
    <w:pPr>
      <w:pStyle w:val="ac"/>
      <w:pBdr>
        <w:bottom w:val="single" w:sz="6" w:space="0" w:color="auto"/>
      </w:pBdr>
      <w:jc w:val="right"/>
      <w:rPr>
        <w:sz w:val="24"/>
        <w:szCs w:val="24"/>
      </w:rPr>
    </w:pPr>
    <w:r w:rsidRPr="003E676C">
      <w:rPr>
        <w:sz w:val="24"/>
        <w:szCs w:val="24"/>
      </w:rPr>
      <w:t>交银施罗德稳健配置混合型证券投资基金</w:t>
    </w:r>
    <w:r w:rsidRPr="003E676C">
      <w:rPr>
        <w:sz w:val="24"/>
        <w:szCs w:val="24"/>
      </w:rPr>
      <w:t>2020</w:t>
    </w:r>
    <w:r w:rsidRPr="003E676C">
      <w:rPr>
        <w:sz w:val="24"/>
        <w:szCs w:val="24"/>
      </w:rPr>
      <w:t>年第</w:t>
    </w:r>
    <w:r w:rsidRPr="003E676C">
      <w:rPr>
        <w:sz w:val="24"/>
        <w:szCs w:val="24"/>
      </w:rPr>
      <w:t>2</w:t>
    </w:r>
    <w:r w:rsidRPr="003E676C">
      <w:rPr>
        <w:sz w:val="24"/>
        <w:szCs w:val="24"/>
      </w:rPr>
      <w:t>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93A" w:rsidRDefault="00D9393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A5C5A"/>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56"/>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6731"/>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969"/>
    <w:rsid w:val="00AA3A38"/>
    <w:rsid w:val="00AA4F94"/>
    <w:rsid w:val="00AA6513"/>
    <w:rsid w:val="00AB047E"/>
    <w:rsid w:val="00AB4DB6"/>
    <w:rsid w:val="00AB5778"/>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4FB5"/>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1AA1"/>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2F70"/>
    <w:rsid w:val="00DD7A00"/>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04FC3"/>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BC193"/>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0"/>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0"/>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0"/>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rsid w:val="004061AC"/>
    <w:rPr>
      <w:rFonts w:ascii="Times New Roman" w:eastAsia="宋体" w:hAnsi="Times New Roman" w:cs="Times New Roman"/>
      <w:b/>
      <w:bCs/>
      <w:kern w:val="44"/>
      <w:sz w:val="44"/>
      <w:szCs w:val="44"/>
    </w:rPr>
  </w:style>
  <w:style w:type="character" w:customStyle="1" w:styleId="20">
    <w:name w:val="标题 2 字符"/>
    <w:basedOn w:val="a1"/>
    <w:link w:val="2"/>
    <w:uiPriority w:val="99"/>
    <w:rsid w:val="004061AC"/>
    <w:rPr>
      <w:rFonts w:ascii="Arial" w:eastAsia="宋体" w:hAnsi="Arial" w:cs="Arial"/>
      <w:b/>
      <w:bCs/>
      <w:sz w:val="24"/>
      <w:szCs w:val="24"/>
    </w:rPr>
  </w:style>
  <w:style w:type="character" w:customStyle="1" w:styleId="30">
    <w:name w:val="标题 3 字符"/>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a5"/>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a5">
    <w:name w:val="正文文本缩进 字符"/>
    <w:basedOn w:val="a1"/>
    <w:link w:val="a4"/>
    <w:uiPriority w:val="99"/>
    <w:rsid w:val="004061AC"/>
    <w:rPr>
      <w:rFonts w:ascii="Arial Unicode MS" w:eastAsia="Arial Unicode MS" w:hAnsi="Arial Unicode MS" w:cs="Arial Unicode MS"/>
      <w:kern w:val="0"/>
      <w:sz w:val="24"/>
      <w:szCs w:val="24"/>
    </w:rPr>
  </w:style>
  <w:style w:type="paragraph" w:styleId="a6">
    <w:name w:val="Plain Text"/>
    <w:basedOn w:val="a"/>
    <w:link w:val="a7"/>
    <w:uiPriority w:val="99"/>
    <w:rsid w:val="004061AC"/>
    <w:rPr>
      <w:rFonts w:ascii="宋体" w:hAnsi="Courier New" w:cs="宋体"/>
    </w:rPr>
  </w:style>
  <w:style w:type="character" w:customStyle="1" w:styleId="a7">
    <w:name w:val="纯文本 字符"/>
    <w:basedOn w:val="a1"/>
    <w:link w:val="a6"/>
    <w:uiPriority w:val="99"/>
    <w:rsid w:val="004061AC"/>
    <w:rPr>
      <w:rFonts w:ascii="宋体" w:eastAsia="宋体" w:hAnsi="Courier New" w:cs="宋体"/>
      <w:szCs w:val="21"/>
    </w:rPr>
  </w:style>
  <w:style w:type="paragraph" w:styleId="21">
    <w:name w:val="Body Text Indent 2"/>
    <w:basedOn w:val="a"/>
    <w:link w:val="22"/>
    <w:uiPriority w:val="99"/>
    <w:rsid w:val="004061AC"/>
    <w:pPr>
      <w:spacing w:line="560" w:lineRule="exact"/>
      <w:ind w:firstLineChars="200" w:firstLine="480"/>
    </w:pPr>
    <w:rPr>
      <w:rFonts w:ascii="宋体" w:hAnsi="宋体" w:cs="宋体"/>
      <w:color w:val="FF0000"/>
      <w:sz w:val="24"/>
      <w:szCs w:val="24"/>
    </w:rPr>
  </w:style>
  <w:style w:type="character" w:customStyle="1" w:styleId="22">
    <w:name w:val="正文文本缩进 2 字符"/>
    <w:basedOn w:val="a1"/>
    <w:link w:val="21"/>
    <w:uiPriority w:val="99"/>
    <w:rsid w:val="004061AC"/>
    <w:rPr>
      <w:rFonts w:ascii="宋体" w:eastAsia="宋体" w:hAnsi="宋体" w:cs="宋体"/>
      <w:color w:val="FF0000"/>
      <w:sz w:val="24"/>
      <w:szCs w:val="24"/>
    </w:rPr>
  </w:style>
  <w:style w:type="paragraph" w:styleId="a8">
    <w:name w:val="footer"/>
    <w:basedOn w:val="a"/>
    <w:link w:val="a9"/>
    <w:rsid w:val="004061AC"/>
    <w:pPr>
      <w:tabs>
        <w:tab w:val="center" w:pos="4153"/>
        <w:tab w:val="right" w:pos="8306"/>
      </w:tabs>
      <w:snapToGrid w:val="0"/>
      <w:jc w:val="left"/>
    </w:pPr>
    <w:rPr>
      <w:sz w:val="18"/>
      <w:szCs w:val="18"/>
    </w:rPr>
  </w:style>
  <w:style w:type="character" w:customStyle="1" w:styleId="a9">
    <w:name w:val="页脚 字符"/>
    <w:basedOn w:val="a1"/>
    <w:link w:val="a8"/>
    <w:uiPriority w:val="99"/>
    <w:rsid w:val="004061AC"/>
    <w:rPr>
      <w:rFonts w:ascii="Times New Roman" w:eastAsia="宋体" w:hAnsi="Times New Roman" w:cs="Times New Roman"/>
      <w:sz w:val="18"/>
      <w:szCs w:val="18"/>
    </w:rPr>
  </w:style>
  <w:style w:type="character" w:styleId="aa">
    <w:name w:val="page number"/>
    <w:basedOn w:val="a1"/>
    <w:uiPriority w:val="99"/>
    <w:rsid w:val="004061AC"/>
  </w:style>
  <w:style w:type="character" w:styleId="ab">
    <w:name w:val="Hyperlink"/>
    <w:basedOn w:val="a1"/>
    <w:uiPriority w:val="99"/>
    <w:rsid w:val="004061AC"/>
    <w:rPr>
      <w:color w:val="0000FF"/>
      <w:u w:val="single"/>
    </w:rPr>
  </w:style>
  <w:style w:type="paragraph" w:styleId="31">
    <w:name w:val="Body Text Indent 3"/>
    <w:basedOn w:val="a"/>
    <w:link w:val="32"/>
    <w:uiPriority w:val="99"/>
    <w:rsid w:val="004061AC"/>
    <w:pPr>
      <w:spacing w:line="560" w:lineRule="exact"/>
      <w:ind w:firstLineChars="200" w:firstLine="420"/>
    </w:pPr>
    <w:rPr>
      <w:rFonts w:ascii="Arial" w:hAnsi="Arial" w:cs="Arial"/>
      <w:color w:val="FF0000"/>
    </w:rPr>
  </w:style>
  <w:style w:type="character" w:customStyle="1" w:styleId="32">
    <w:name w:val="正文文本缩进 3 字符"/>
    <w:basedOn w:val="a1"/>
    <w:link w:val="31"/>
    <w:uiPriority w:val="99"/>
    <w:rsid w:val="004061AC"/>
    <w:rPr>
      <w:rFonts w:ascii="Arial" w:eastAsia="宋体" w:hAnsi="Arial" w:cs="Arial"/>
      <w:color w:val="FF0000"/>
      <w:szCs w:val="21"/>
    </w:rPr>
  </w:style>
  <w:style w:type="paragraph" w:styleId="ac">
    <w:name w:val="header"/>
    <w:basedOn w:val="a"/>
    <w:link w:val="ad"/>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1"/>
    <w:link w:val="ac"/>
    <w:uiPriority w:val="99"/>
    <w:rsid w:val="004061AC"/>
    <w:rPr>
      <w:rFonts w:ascii="Times New Roman" w:eastAsia="宋体" w:hAnsi="Times New Roman" w:cs="Times New Roman"/>
      <w:sz w:val="18"/>
      <w:szCs w:val="18"/>
    </w:rPr>
  </w:style>
  <w:style w:type="character" w:styleId="ae">
    <w:name w:val="FollowedHyperlink"/>
    <w:basedOn w:val="a1"/>
    <w:uiPriority w:val="99"/>
    <w:rsid w:val="004061AC"/>
    <w:rPr>
      <w:color w:val="800080"/>
      <w:u w:val="single"/>
    </w:rPr>
  </w:style>
  <w:style w:type="paragraph" w:styleId="af">
    <w:name w:val="List"/>
    <w:basedOn w:val="af0"/>
    <w:uiPriority w:val="99"/>
    <w:rsid w:val="004061AC"/>
    <w:pPr>
      <w:spacing w:after="220" w:line="220" w:lineRule="atLeast"/>
      <w:ind w:left="1440" w:hanging="360"/>
    </w:pPr>
  </w:style>
  <w:style w:type="paragraph" w:styleId="af0">
    <w:name w:val="Body Text"/>
    <w:basedOn w:val="a"/>
    <w:link w:val="af1"/>
    <w:uiPriority w:val="99"/>
    <w:rsid w:val="004061AC"/>
    <w:pPr>
      <w:spacing w:after="120"/>
    </w:pPr>
  </w:style>
  <w:style w:type="character" w:customStyle="1" w:styleId="af1">
    <w:name w:val="正文文本 字符"/>
    <w:basedOn w:val="a1"/>
    <w:link w:val="af0"/>
    <w:uiPriority w:val="99"/>
    <w:rsid w:val="004061AC"/>
    <w:rPr>
      <w:rFonts w:ascii="Times New Roman" w:eastAsia="宋体" w:hAnsi="Times New Roman" w:cs="Times New Roman"/>
      <w:szCs w:val="21"/>
    </w:rPr>
  </w:style>
  <w:style w:type="paragraph" w:styleId="af2">
    <w:name w:val="Date"/>
    <w:basedOn w:val="a"/>
    <w:next w:val="a"/>
    <w:link w:val="af3"/>
    <w:rsid w:val="004061AC"/>
    <w:rPr>
      <w:sz w:val="24"/>
      <w:szCs w:val="24"/>
    </w:rPr>
  </w:style>
  <w:style w:type="character" w:customStyle="1" w:styleId="af3">
    <w:name w:val="日期 字符"/>
    <w:basedOn w:val="a1"/>
    <w:link w:val="af2"/>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1">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f4">
    <w:name w:val="Balloon Text"/>
    <w:basedOn w:val="a"/>
    <w:link w:val="af5"/>
    <w:uiPriority w:val="99"/>
    <w:semiHidden/>
    <w:rsid w:val="004061AC"/>
    <w:rPr>
      <w:sz w:val="18"/>
      <w:szCs w:val="18"/>
    </w:rPr>
  </w:style>
  <w:style w:type="character" w:customStyle="1" w:styleId="af5">
    <w:name w:val="批注框文本 字符"/>
    <w:basedOn w:val="a1"/>
    <w:link w:val="af4"/>
    <w:uiPriority w:val="99"/>
    <w:semiHidden/>
    <w:rsid w:val="004061AC"/>
    <w:rPr>
      <w:rFonts w:ascii="Times New Roman" w:eastAsia="宋体" w:hAnsi="Times New Roman" w:cs="Times New Roman"/>
      <w:sz w:val="18"/>
      <w:szCs w:val="18"/>
    </w:rPr>
  </w:style>
  <w:style w:type="character" w:styleId="af6">
    <w:name w:val="annotation reference"/>
    <w:basedOn w:val="a1"/>
    <w:uiPriority w:val="99"/>
    <w:semiHidden/>
    <w:rsid w:val="004061AC"/>
    <w:rPr>
      <w:sz w:val="21"/>
      <w:szCs w:val="21"/>
    </w:rPr>
  </w:style>
  <w:style w:type="paragraph" w:styleId="af7">
    <w:name w:val="annotation text"/>
    <w:basedOn w:val="a"/>
    <w:link w:val="af8"/>
    <w:uiPriority w:val="99"/>
    <w:semiHidden/>
    <w:rsid w:val="004061AC"/>
    <w:pPr>
      <w:jc w:val="left"/>
    </w:pPr>
  </w:style>
  <w:style w:type="character" w:customStyle="1" w:styleId="af8">
    <w:name w:val="批注文字 字符"/>
    <w:basedOn w:val="a1"/>
    <w:link w:val="af7"/>
    <w:uiPriority w:val="99"/>
    <w:semiHidden/>
    <w:rsid w:val="004061AC"/>
    <w:rPr>
      <w:rFonts w:ascii="Times New Roman" w:eastAsia="宋体" w:hAnsi="Times New Roman" w:cs="Times New Roman"/>
      <w:szCs w:val="21"/>
    </w:rPr>
  </w:style>
  <w:style w:type="paragraph" w:styleId="af9">
    <w:name w:val="annotation subject"/>
    <w:basedOn w:val="af7"/>
    <w:next w:val="af7"/>
    <w:link w:val="afa"/>
    <w:uiPriority w:val="99"/>
    <w:semiHidden/>
    <w:rsid w:val="004061AC"/>
    <w:rPr>
      <w:b/>
      <w:bCs/>
    </w:rPr>
  </w:style>
  <w:style w:type="character" w:customStyle="1" w:styleId="afa">
    <w:name w:val="批注主题 字符"/>
    <w:basedOn w:val="af8"/>
    <w:link w:val="af9"/>
    <w:uiPriority w:val="99"/>
    <w:semiHidden/>
    <w:rsid w:val="004061AC"/>
    <w:rPr>
      <w:rFonts w:ascii="Times New Roman" w:eastAsia="宋体" w:hAnsi="Times New Roman" w:cs="Times New Roman"/>
      <w:b/>
      <w:bCs/>
      <w:szCs w:val="21"/>
    </w:rPr>
  </w:style>
  <w:style w:type="paragraph" w:customStyle="1" w:styleId="Char">
    <w:name w:val="Char"/>
    <w:basedOn w:val="a"/>
    <w:uiPriority w:val="99"/>
    <w:rsid w:val="004061AC"/>
  </w:style>
  <w:style w:type="paragraph" w:styleId="afb">
    <w:name w:val="Document Map"/>
    <w:basedOn w:val="a"/>
    <w:link w:val="afc"/>
    <w:uiPriority w:val="99"/>
    <w:semiHidden/>
    <w:rsid w:val="004061AC"/>
    <w:pPr>
      <w:shd w:val="clear" w:color="auto" w:fill="000080"/>
    </w:pPr>
  </w:style>
  <w:style w:type="character" w:customStyle="1" w:styleId="afc">
    <w:name w:val="文档结构图 字符"/>
    <w:basedOn w:val="a1"/>
    <w:link w:val="afb"/>
    <w:uiPriority w:val="99"/>
    <w:semiHidden/>
    <w:rsid w:val="004061AC"/>
    <w:rPr>
      <w:rFonts w:ascii="Times New Roman" w:eastAsia="宋体" w:hAnsi="Times New Roman" w:cs="Times New Roman"/>
      <w:szCs w:val="21"/>
      <w:shd w:val="clear" w:color="auto" w:fill="000080"/>
    </w:rPr>
  </w:style>
  <w:style w:type="paragraph" w:customStyle="1" w:styleId="afd">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e">
    <w:name w:val="footnote text"/>
    <w:basedOn w:val="a"/>
    <w:link w:val="aff"/>
    <w:rsid w:val="004061AC"/>
    <w:pPr>
      <w:snapToGrid w:val="0"/>
      <w:jc w:val="left"/>
    </w:pPr>
    <w:rPr>
      <w:sz w:val="18"/>
      <w:szCs w:val="18"/>
    </w:rPr>
  </w:style>
  <w:style w:type="character" w:customStyle="1" w:styleId="aff">
    <w:name w:val="脚注文本 字符"/>
    <w:basedOn w:val="a1"/>
    <w:link w:val="afe"/>
    <w:rsid w:val="004061AC"/>
    <w:rPr>
      <w:rFonts w:ascii="Times New Roman" w:eastAsia="宋体" w:hAnsi="Times New Roman" w:cs="Times New Roman"/>
      <w:sz w:val="18"/>
      <w:szCs w:val="18"/>
    </w:rPr>
  </w:style>
  <w:style w:type="character" w:styleId="aff0">
    <w:name w:val="footnote reference"/>
    <w:basedOn w:val="a1"/>
    <w:rsid w:val="004061AC"/>
    <w:rPr>
      <w:vertAlign w:val="superscript"/>
    </w:rPr>
  </w:style>
  <w:style w:type="paragraph" w:styleId="aff1">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f2">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f3">
    <w:name w:val="Title"/>
    <w:basedOn w:val="a"/>
    <w:next w:val="a"/>
    <w:link w:val="aff4"/>
    <w:uiPriority w:val="99"/>
    <w:qFormat/>
    <w:rsid w:val="004061AC"/>
    <w:pPr>
      <w:spacing w:before="240" w:after="60"/>
      <w:jc w:val="center"/>
      <w:outlineLvl w:val="0"/>
    </w:pPr>
    <w:rPr>
      <w:rFonts w:ascii="Cambria" w:hAnsi="Cambria" w:cs="Cambria"/>
      <w:b/>
      <w:bCs/>
      <w:sz w:val="32"/>
      <w:szCs w:val="32"/>
    </w:rPr>
  </w:style>
  <w:style w:type="character" w:customStyle="1" w:styleId="aff4">
    <w:name w:val="标题 字符"/>
    <w:basedOn w:val="a1"/>
    <w:link w:val="aff3"/>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f5">
    <w:name w:val="No Spacing"/>
    <w:link w:val="aff6"/>
    <w:uiPriority w:val="1"/>
    <w:qFormat/>
    <w:rsid w:val="004061AC"/>
    <w:rPr>
      <w:rFonts w:ascii="Calibri" w:eastAsia="宋体" w:hAnsi="Calibri" w:cs="Calibri"/>
      <w:kern w:val="0"/>
      <w:sz w:val="22"/>
    </w:rPr>
  </w:style>
  <w:style w:type="character" w:customStyle="1" w:styleId="aff6">
    <w:name w:val="无间隔 字符"/>
    <w:basedOn w:val="a1"/>
    <w:link w:val="aff5"/>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f7">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f8">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ABE28-7A0F-45A6-82AF-5ECCC3BEE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TotalTime>
  <Pages>12</Pages>
  <Words>1107</Words>
  <Characters>6313</Characters>
  <Application>Microsoft Office Word</Application>
  <DocSecurity>0</DocSecurity>
  <Lines>52</Lines>
  <Paragraphs>14</Paragraphs>
  <ScaleCrop>false</ScaleCrop>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孙文婷</cp:lastModifiedBy>
  <cp:revision>601</cp:revision>
  <dcterms:created xsi:type="dcterms:W3CDTF">2012-10-16T06:07:00Z</dcterms:created>
  <dcterms:modified xsi:type="dcterms:W3CDTF">2020-07-16T04:08:00Z</dcterms:modified>
</cp:coreProperties>
</file>