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42BAC" w:rsidRDefault="00E902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282,003,812.22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9024D" w:rsidRPr="00414345" w:rsidTr="00E9024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9024D" w:rsidRPr="00414345" w:rsidTr="00E902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16,044,050.00</w:t>
            </w:r>
          </w:p>
        </w:tc>
      </w:tr>
      <w:tr w:rsidR="00E9024D" w:rsidRPr="00414345" w:rsidTr="00E902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39,785,864.10</w:t>
            </w:r>
          </w:p>
        </w:tc>
      </w:tr>
      <w:tr w:rsidR="00E9024D" w:rsidRPr="00414345" w:rsidTr="00E902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0.1287</w:t>
            </w:r>
          </w:p>
        </w:tc>
      </w:tr>
      <w:tr w:rsidR="00E9024D" w:rsidRPr="00414345" w:rsidTr="00E902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351,507,691.15</w:t>
            </w:r>
          </w:p>
        </w:tc>
      </w:tr>
      <w:tr w:rsidR="00E9024D" w:rsidRPr="00414345" w:rsidTr="00E9024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1.246</w:t>
            </w:r>
          </w:p>
        </w:tc>
      </w:tr>
    </w:tbl>
    <w:p w:rsidR="00442BAC" w:rsidRDefault="00E902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43A7C">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43A7C">
        <w:trPr>
          <w:jc w:val="center"/>
        </w:trPr>
        <w:tc>
          <w:tcPr>
            <w:tcW w:w="1701" w:type="dxa"/>
            <w:vAlign w:val="center"/>
          </w:tcPr>
          <w:p w:rsidR="00A43A7C" w:rsidRDefault="00A43A7C" w:rsidP="00A43A7C">
            <w:pPr>
              <w:jc w:val="left"/>
            </w:pPr>
            <w:r>
              <w:rPr>
                <w:color w:val="000000"/>
                <w:sz w:val="24"/>
                <w:szCs w:val="24"/>
              </w:rPr>
              <w:t>过去三个月</w:t>
            </w:r>
          </w:p>
        </w:tc>
        <w:tc>
          <w:tcPr>
            <w:tcW w:w="1045" w:type="dxa"/>
            <w:vAlign w:val="center"/>
          </w:tcPr>
          <w:p w:rsidR="00A43A7C" w:rsidRPr="00A43A7C" w:rsidRDefault="00A43A7C" w:rsidP="00A43A7C">
            <w:pPr>
              <w:widowControl/>
              <w:jc w:val="center"/>
              <w:rPr>
                <w:color w:val="000000"/>
                <w:sz w:val="24"/>
                <w:szCs w:val="24"/>
              </w:rPr>
            </w:pPr>
            <w:r w:rsidRPr="00A43A7C">
              <w:rPr>
                <w:rFonts w:hint="eastAsia"/>
                <w:color w:val="000000"/>
                <w:sz w:val="24"/>
                <w:szCs w:val="24"/>
              </w:rPr>
              <w:t>11.55%</w:t>
            </w:r>
          </w:p>
        </w:tc>
        <w:tc>
          <w:tcPr>
            <w:tcW w:w="134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0.87%</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7.54%</w:t>
            </w:r>
          </w:p>
        </w:tc>
        <w:tc>
          <w:tcPr>
            <w:tcW w:w="1492"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0.54%</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4.01%</w:t>
            </w:r>
          </w:p>
        </w:tc>
        <w:tc>
          <w:tcPr>
            <w:tcW w:w="898"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0.33%</w:t>
            </w:r>
          </w:p>
        </w:tc>
      </w:tr>
      <w:tr w:rsidR="00A43A7C">
        <w:trPr>
          <w:jc w:val="center"/>
        </w:trPr>
        <w:tc>
          <w:tcPr>
            <w:tcW w:w="1701" w:type="dxa"/>
            <w:vAlign w:val="center"/>
          </w:tcPr>
          <w:p w:rsidR="00A43A7C" w:rsidRDefault="00A43A7C" w:rsidP="00A43A7C">
            <w:pPr>
              <w:jc w:val="left"/>
              <w:rPr>
                <w:color w:val="000000"/>
                <w:sz w:val="24"/>
                <w:szCs w:val="24"/>
              </w:rPr>
            </w:pPr>
            <w:r>
              <w:rPr>
                <w:color w:val="000000"/>
                <w:sz w:val="24"/>
                <w:szCs w:val="24"/>
              </w:rPr>
              <w:t>过去</w:t>
            </w:r>
            <w:r>
              <w:rPr>
                <w:rFonts w:hint="eastAsia"/>
                <w:color w:val="000000"/>
                <w:sz w:val="24"/>
                <w:szCs w:val="24"/>
              </w:rPr>
              <w:t>六个月</w:t>
            </w:r>
          </w:p>
        </w:tc>
        <w:tc>
          <w:tcPr>
            <w:tcW w:w="1045"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10.85%</w:t>
            </w:r>
          </w:p>
        </w:tc>
        <w:tc>
          <w:tcPr>
            <w:tcW w:w="134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1.45%</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2.27%</w:t>
            </w:r>
          </w:p>
        </w:tc>
        <w:tc>
          <w:tcPr>
            <w:tcW w:w="1492"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0.90%</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8.58%</w:t>
            </w:r>
          </w:p>
        </w:tc>
        <w:tc>
          <w:tcPr>
            <w:tcW w:w="898"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0.55%</w:t>
            </w:r>
          </w:p>
        </w:tc>
      </w:tr>
      <w:tr w:rsidR="00A43A7C">
        <w:trPr>
          <w:jc w:val="center"/>
        </w:trPr>
        <w:tc>
          <w:tcPr>
            <w:tcW w:w="1701" w:type="dxa"/>
            <w:vAlign w:val="center"/>
          </w:tcPr>
          <w:p w:rsidR="00A43A7C" w:rsidRDefault="00A43A7C" w:rsidP="00A43A7C">
            <w:pPr>
              <w:jc w:val="left"/>
              <w:rPr>
                <w:color w:val="000000"/>
                <w:sz w:val="24"/>
                <w:szCs w:val="24"/>
              </w:rPr>
            </w:pPr>
            <w:r>
              <w:rPr>
                <w:color w:val="000000"/>
                <w:sz w:val="24"/>
                <w:szCs w:val="24"/>
              </w:rPr>
              <w:t>过去</w:t>
            </w:r>
            <w:r>
              <w:rPr>
                <w:rFonts w:hint="eastAsia"/>
                <w:color w:val="000000"/>
                <w:sz w:val="24"/>
                <w:szCs w:val="24"/>
              </w:rPr>
              <w:t>一年</w:t>
            </w:r>
          </w:p>
        </w:tc>
        <w:tc>
          <w:tcPr>
            <w:tcW w:w="1045"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28.32%</w:t>
            </w:r>
          </w:p>
        </w:tc>
        <w:tc>
          <w:tcPr>
            <w:tcW w:w="134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1.17%</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7.78%</w:t>
            </w:r>
          </w:p>
        </w:tc>
        <w:tc>
          <w:tcPr>
            <w:tcW w:w="1492"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0.72%</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20.54%</w:t>
            </w:r>
          </w:p>
        </w:tc>
        <w:tc>
          <w:tcPr>
            <w:tcW w:w="898"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0.45%</w:t>
            </w:r>
          </w:p>
        </w:tc>
      </w:tr>
      <w:tr w:rsidR="00A43A7C">
        <w:trPr>
          <w:jc w:val="center"/>
        </w:trPr>
        <w:tc>
          <w:tcPr>
            <w:tcW w:w="1701" w:type="dxa"/>
            <w:vAlign w:val="center"/>
          </w:tcPr>
          <w:p w:rsidR="00A43A7C" w:rsidRDefault="00A43A7C" w:rsidP="00A43A7C">
            <w:pPr>
              <w:jc w:val="left"/>
              <w:rPr>
                <w:color w:val="000000"/>
                <w:sz w:val="24"/>
                <w:szCs w:val="24"/>
              </w:rPr>
            </w:pPr>
            <w:r>
              <w:rPr>
                <w:color w:val="000000"/>
                <w:sz w:val="24"/>
                <w:szCs w:val="24"/>
              </w:rPr>
              <w:t>过去</w:t>
            </w:r>
            <w:r>
              <w:rPr>
                <w:rFonts w:hint="eastAsia"/>
                <w:color w:val="000000"/>
                <w:sz w:val="24"/>
                <w:szCs w:val="24"/>
              </w:rPr>
              <w:t>三年</w:t>
            </w:r>
          </w:p>
        </w:tc>
        <w:tc>
          <w:tcPr>
            <w:tcW w:w="1045"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22.64%</w:t>
            </w:r>
          </w:p>
        </w:tc>
        <w:tc>
          <w:tcPr>
            <w:tcW w:w="134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1.17%</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16.18%</w:t>
            </w:r>
          </w:p>
        </w:tc>
        <w:tc>
          <w:tcPr>
            <w:tcW w:w="1492"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0.75%</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6.46%</w:t>
            </w:r>
          </w:p>
        </w:tc>
        <w:tc>
          <w:tcPr>
            <w:tcW w:w="898"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0.42%</w:t>
            </w:r>
          </w:p>
        </w:tc>
      </w:tr>
      <w:tr w:rsidR="0096331F">
        <w:trPr>
          <w:jc w:val="center"/>
        </w:trPr>
        <w:tc>
          <w:tcPr>
            <w:tcW w:w="1701" w:type="dxa"/>
            <w:vAlign w:val="center"/>
          </w:tcPr>
          <w:p w:rsidR="0096331F" w:rsidRDefault="0096331F" w:rsidP="0096331F">
            <w:pPr>
              <w:jc w:val="left"/>
              <w:rPr>
                <w:color w:val="000000"/>
                <w:sz w:val="24"/>
                <w:szCs w:val="24"/>
              </w:rPr>
            </w:pPr>
            <w:r>
              <w:rPr>
                <w:color w:val="000000"/>
                <w:sz w:val="24"/>
                <w:szCs w:val="24"/>
              </w:rPr>
              <w:t>过去</w:t>
            </w:r>
            <w:r>
              <w:rPr>
                <w:rFonts w:hint="eastAsia"/>
                <w:color w:val="000000"/>
                <w:sz w:val="24"/>
                <w:szCs w:val="24"/>
              </w:rPr>
              <w:t>五年</w:t>
            </w:r>
          </w:p>
        </w:tc>
        <w:tc>
          <w:tcPr>
            <w:tcW w:w="1045" w:type="dxa"/>
            <w:vAlign w:val="center"/>
          </w:tcPr>
          <w:p w:rsidR="0096331F" w:rsidRPr="0096331F" w:rsidRDefault="0096331F" w:rsidP="0096331F">
            <w:pPr>
              <w:widowControl/>
              <w:jc w:val="center"/>
              <w:rPr>
                <w:color w:val="000000"/>
                <w:sz w:val="24"/>
                <w:szCs w:val="24"/>
              </w:rPr>
            </w:pPr>
            <w:r w:rsidRPr="0096331F">
              <w:rPr>
                <w:rFonts w:hint="eastAsia"/>
                <w:color w:val="000000"/>
                <w:sz w:val="24"/>
                <w:szCs w:val="24"/>
              </w:rPr>
              <w:t>28.32%</w:t>
            </w:r>
            <w:bookmarkStart w:id="0" w:name="_GoBack"/>
            <w:bookmarkEnd w:id="0"/>
          </w:p>
        </w:tc>
        <w:tc>
          <w:tcPr>
            <w:tcW w:w="1344" w:type="dxa"/>
            <w:vAlign w:val="center"/>
          </w:tcPr>
          <w:p w:rsidR="0096331F" w:rsidRPr="0096331F" w:rsidRDefault="0096331F" w:rsidP="0096331F">
            <w:pPr>
              <w:jc w:val="center"/>
              <w:rPr>
                <w:rFonts w:hint="eastAsia"/>
                <w:color w:val="000000"/>
                <w:sz w:val="24"/>
                <w:szCs w:val="24"/>
              </w:rPr>
            </w:pPr>
            <w:r w:rsidRPr="0096331F">
              <w:rPr>
                <w:rFonts w:hint="eastAsia"/>
                <w:color w:val="000000"/>
                <w:sz w:val="24"/>
                <w:szCs w:val="24"/>
              </w:rPr>
              <w:t>1.31%</w:t>
            </w:r>
          </w:p>
        </w:tc>
        <w:tc>
          <w:tcPr>
            <w:tcW w:w="1194" w:type="dxa"/>
            <w:vAlign w:val="center"/>
          </w:tcPr>
          <w:p w:rsidR="0096331F" w:rsidRPr="0096331F" w:rsidRDefault="0096331F" w:rsidP="0096331F">
            <w:pPr>
              <w:jc w:val="center"/>
              <w:rPr>
                <w:rFonts w:hint="eastAsia"/>
                <w:color w:val="000000"/>
                <w:sz w:val="24"/>
                <w:szCs w:val="24"/>
              </w:rPr>
            </w:pPr>
            <w:r w:rsidRPr="0096331F">
              <w:rPr>
                <w:rFonts w:hint="eastAsia"/>
                <w:color w:val="000000"/>
                <w:sz w:val="24"/>
                <w:szCs w:val="24"/>
              </w:rPr>
              <w:t>7.63%</w:t>
            </w:r>
          </w:p>
        </w:tc>
        <w:tc>
          <w:tcPr>
            <w:tcW w:w="1492" w:type="dxa"/>
            <w:vAlign w:val="center"/>
          </w:tcPr>
          <w:p w:rsidR="0096331F" w:rsidRPr="0096331F" w:rsidRDefault="0096331F" w:rsidP="0096331F">
            <w:pPr>
              <w:jc w:val="center"/>
              <w:rPr>
                <w:rFonts w:hint="eastAsia"/>
                <w:color w:val="000000"/>
                <w:sz w:val="24"/>
                <w:szCs w:val="24"/>
              </w:rPr>
            </w:pPr>
            <w:r w:rsidRPr="0096331F">
              <w:rPr>
                <w:rFonts w:hint="eastAsia"/>
                <w:color w:val="000000"/>
                <w:sz w:val="24"/>
                <w:szCs w:val="24"/>
              </w:rPr>
              <w:t>0.87%</w:t>
            </w:r>
          </w:p>
        </w:tc>
        <w:tc>
          <w:tcPr>
            <w:tcW w:w="1194" w:type="dxa"/>
            <w:vAlign w:val="center"/>
          </w:tcPr>
          <w:p w:rsidR="0096331F" w:rsidRPr="0096331F" w:rsidRDefault="0096331F" w:rsidP="0096331F">
            <w:pPr>
              <w:jc w:val="center"/>
              <w:rPr>
                <w:rFonts w:hint="eastAsia"/>
                <w:color w:val="000000"/>
                <w:sz w:val="24"/>
                <w:szCs w:val="24"/>
              </w:rPr>
            </w:pPr>
            <w:r w:rsidRPr="0096331F">
              <w:rPr>
                <w:rFonts w:hint="eastAsia"/>
                <w:color w:val="000000"/>
                <w:sz w:val="24"/>
                <w:szCs w:val="24"/>
              </w:rPr>
              <w:t>20.69%</w:t>
            </w:r>
          </w:p>
        </w:tc>
        <w:tc>
          <w:tcPr>
            <w:tcW w:w="898" w:type="dxa"/>
            <w:vAlign w:val="center"/>
          </w:tcPr>
          <w:p w:rsidR="0096331F" w:rsidRPr="0096331F" w:rsidRDefault="0096331F" w:rsidP="0096331F">
            <w:pPr>
              <w:jc w:val="center"/>
              <w:rPr>
                <w:rFonts w:hint="eastAsia"/>
                <w:color w:val="000000"/>
                <w:sz w:val="24"/>
                <w:szCs w:val="24"/>
              </w:rPr>
            </w:pPr>
            <w:r w:rsidRPr="0096331F">
              <w:rPr>
                <w:rFonts w:hint="eastAsia"/>
                <w:color w:val="000000"/>
                <w:sz w:val="24"/>
                <w:szCs w:val="24"/>
              </w:rPr>
              <w:t>0.44%</w:t>
            </w:r>
          </w:p>
        </w:tc>
      </w:tr>
      <w:tr w:rsidR="00A43A7C">
        <w:trPr>
          <w:jc w:val="center"/>
        </w:trPr>
        <w:tc>
          <w:tcPr>
            <w:tcW w:w="1701" w:type="dxa"/>
            <w:vAlign w:val="center"/>
          </w:tcPr>
          <w:p w:rsidR="00A43A7C" w:rsidRDefault="00A43A7C" w:rsidP="00A43A7C">
            <w:pPr>
              <w:jc w:val="left"/>
              <w:rPr>
                <w:color w:val="000000"/>
                <w:sz w:val="24"/>
                <w:szCs w:val="24"/>
              </w:rPr>
            </w:pPr>
            <w:r>
              <w:rPr>
                <w:rFonts w:hint="eastAsia"/>
                <w:color w:val="000000"/>
                <w:sz w:val="24"/>
                <w:szCs w:val="24"/>
              </w:rPr>
              <w:t>自</w:t>
            </w:r>
            <w:r>
              <w:rPr>
                <w:color w:val="000000"/>
                <w:sz w:val="24"/>
                <w:szCs w:val="24"/>
              </w:rPr>
              <w:t>基金合同</w:t>
            </w:r>
            <w:r>
              <w:rPr>
                <w:rFonts w:hint="eastAsia"/>
                <w:color w:val="000000"/>
                <w:sz w:val="24"/>
                <w:szCs w:val="24"/>
              </w:rPr>
              <w:t>生效</w:t>
            </w:r>
            <w:r>
              <w:rPr>
                <w:color w:val="000000"/>
                <w:sz w:val="24"/>
                <w:szCs w:val="24"/>
              </w:rPr>
              <w:t>起至今</w:t>
            </w:r>
          </w:p>
        </w:tc>
        <w:tc>
          <w:tcPr>
            <w:tcW w:w="1045"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24.60%</w:t>
            </w:r>
          </w:p>
        </w:tc>
        <w:tc>
          <w:tcPr>
            <w:tcW w:w="134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1.31%</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-2.71%</w:t>
            </w:r>
          </w:p>
        </w:tc>
        <w:tc>
          <w:tcPr>
            <w:tcW w:w="1492"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0.90%</w:t>
            </w:r>
          </w:p>
        </w:tc>
        <w:tc>
          <w:tcPr>
            <w:tcW w:w="1194"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27.31%</w:t>
            </w:r>
          </w:p>
        </w:tc>
        <w:tc>
          <w:tcPr>
            <w:tcW w:w="898" w:type="dxa"/>
            <w:vAlign w:val="center"/>
          </w:tcPr>
          <w:p w:rsidR="00A43A7C" w:rsidRPr="00A43A7C" w:rsidRDefault="00A43A7C" w:rsidP="00A43A7C">
            <w:pPr>
              <w:jc w:val="center"/>
              <w:rPr>
                <w:color w:val="000000"/>
                <w:sz w:val="24"/>
                <w:szCs w:val="24"/>
              </w:rPr>
            </w:pPr>
            <w:r w:rsidRPr="00A43A7C">
              <w:rPr>
                <w:rFonts w:hint="eastAsia"/>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42BAC">
        <w:trPr>
          <w:jc w:val="center"/>
        </w:trPr>
        <w:tc>
          <w:tcPr>
            <w:tcW w:w="846" w:type="dxa"/>
            <w:vAlign w:val="center"/>
          </w:tcPr>
          <w:p w:rsidR="00442BAC" w:rsidRDefault="00E9024D">
            <w:pPr>
              <w:jc w:val="center"/>
            </w:pPr>
            <w:r>
              <w:rPr>
                <w:color w:val="000000"/>
                <w:sz w:val="24"/>
                <w:szCs w:val="24"/>
              </w:rPr>
              <w:t>沈楠</w:t>
            </w:r>
          </w:p>
        </w:tc>
        <w:tc>
          <w:tcPr>
            <w:tcW w:w="845" w:type="dxa"/>
            <w:vAlign w:val="center"/>
          </w:tcPr>
          <w:p w:rsidR="00442BAC" w:rsidRDefault="00E9024D">
            <w:pPr>
              <w:jc w:val="center"/>
            </w:pPr>
            <w:r>
              <w:rPr>
                <w:color w:val="000000"/>
                <w:sz w:val="24"/>
                <w:szCs w:val="24"/>
              </w:rPr>
              <w:t>交银主题优选混合、交银国企改革灵活配置混合、交银瑞思混合的基金经理</w:t>
            </w:r>
          </w:p>
        </w:tc>
        <w:tc>
          <w:tcPr>
            <w:tcW w:w="1549" w:type="dxa"/>
            <w:vAlign w:val="center"/>
          </w:tcPr>
          <w:p w:rsidR="00442BAC" w:rsidRDefault="00E9024D">
            <w:pPr>
              <w:jc w:val="center"/>
            </w:pPr>
            <w:r>
              <w:rPr>
                <w:color w:val="000000"/>
                <w:sz w:val="24"/>
                <w:szCs w:val="24"/>
              </w:rPr>
              <w:t>2015-06-10</w:t>
            </w:r>
          </w:p>
        </w:tc>
        <w:tc>
          <w:tcPr>
            <w:tcW w:w="1548" w:type="dxa"/>
            <w:vAlign w:val="center"/>
          </w:tcPr>
          <w:p w:rsidR="00442BAC" w:rsidRDefault="00E9024D">
            <w:pPr>
              <w:jc w:val="center"/>
            </w:pPr>
            <w:r>
              <w:rPr>
                <w:color w:val="000000"/>
                <w:sz w:val="24"/>
                <w:szCs w:val="24"/>
              </w:rPr>
              <w:t>-</w:t>
            </w:r>
          </w:p>
        </w:tc>
        <w:tc>
          <w:tcPr>
            <w:tcW w:w="1407" w:type="dxa"/>
            <w:vAlign w:val="center"/>
          </w:tcPr>
          <w:p w:rsidR="00442BAC" w:rsidRDefault="00E9024D">
            <w:pPr>
              <w:jc w:val="center"/>
            </w:pPr>
            <w:r>
              <w:rPr>
                <w:color w:val="000000"/>
                <w:sz w:val="24"/>
                <w:szCs w:val="24"/>
              </w:rPr>
              <w:t>11</w:t>
            </w:r>
            <w:r>
              <w:rPr>
                <w:color w:val="000000"/>
                <w:sz w:val="24"/>
                <w:szCs w:val="24"/>
              </w:rPr>
              <w:t>年</w:t>
            </w:r>
          </w:p>
        </w:tc>
        <w:tc>
          <w:tcPr>
            <w:tcW w:w="2673" w:type="dxa"/>
            <w:vAlign w:val="center"/>
          </w:tcPr>
          <w:p w:rsidR="00442BAC" w:rsidRDefault="00E9024D">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42BAC" w:rsidRDefault="00E902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42BAC" w:rsidRDefault="00E902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42BAC" w:rsidRDefault="00E902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42BAC" w:rsidRDefault="00E9024D">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受全球新冠疫情扩散和反复的影响，经济在供给和需求层面均受到了一定冲击。全球大幅货币宽松和财政手段支持措施的出台缓解了经济下滑预期，我们认为政策在未来一段时间将维持偏宽松格局。在流动性偏松的大环境下，市场有望继续呈现较强的结构性行情。</w:t>
      </w:r>
    </w:p>
    <w:p w:rsidR="00442BAC" w:rsidRDefault="00E9024D">
      <w:pPr>
        <w:spacing w:before="29" w:line="288" w:lineRule="auto"/>
        <w:ind w:firstLineChars="200" w:firstLine="480"/>
        <w:rPr>
          <w:color w:val="000000"/>
          <w:sz w:val="24"/>
          <w:szCs w:val="24"/>
        </w:rPr>
      </w:pPr>
      <w:r>
        <w:rPr>
          <w:color w:val="000000"/>
          <w:sz w:val="24"/>
          <w:szCs w:val="24"/>
        </w:rPr>
        <w:t>国企改革的进程仍在进一步推进，今年以来上海等部分地区围绕国资国企的部分综合试点仍在推进，部分上市企业通过资产置入、地方国资入股的形式重获增长动力和发展潜力。我们预计在内外需受到大幅冲击的背景下，国内的结构性改革尤其是国资国企改革迫切需要进一步深化和推进，因此我们仍看好该领域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报告期内本基金重点配置了地产金融、食品医药、传媒、汽车家电等消费领域，以及部分高端制造和</w:t>
      </w:r>
      <w:r w:rsidRPr="00414345">
        <w:rPr>
          <w:color w:val="000000"/>
          <w:sz w:val="24"/>
          <w:szCs w:val="24"/>
        </w:rPr>
        <w:t>TMT</w:t>
      </w:r>
      <w:r w:rsidRPr="00414345">
        <w:rPr>
          <w:color w:val="000000"/>
          <w:sz w:val="24"/>
          <w:szCs w:val="24"/>
        </w:rPr>
        <w:t>相关的技术领先类国企。我们认为如果新冠疫情在全球得到有效控制，同时通胀压力减缓，那么可以对市场继续保持乐观，基本面</w:t>
      </w:r>
      <w:r w:rsidRPr="00414345">
        <w:rPr>
          <w:color w:val="000000"/>
          <w:sz w:val="24"/>
          <w:szCs w:val="24"/>
        </w:rPr>
        <w:t>“</w:t>
      </w:r>
      <w:r w:rsidRPr="00414345">
        <w:rPr>
          <w:color w:val="000000"/>
          <w:sz w:val="24"/>
          <w:szCs w:val="24"/>
        </w:rPr>
        <w:t>深坑</w:t>
      </w:r>
      <w:r w:rsidRPr="00414345">
        <w:rPr>
          <w:color w:val="000000"/>
          <w:sz w:val="24"/>
          <w:szCs w:val="24"/>
        </w:rPr>
        <w:t>”</w:t>
      </w:r>
      <w:r w:rsidRPr="00414345">
        <w:rPr>
          <w:color w:val="000000"/>
          <w:sz w:val="24"/>
          <w:szCs w:val="24"/>
        </w:rPr>
        <w:t>后投资机会有望扩散。本产品通过加强学习中央及地方国资部门的文件精神，把握最新改革方向，努力在混合所有制改革、管理层及核心员工激励、产业整合等几大维度进一步布局，力求分享国资国企改革带来的市场化红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311,037,239.27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311,037,239.27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44,646,455.90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190,516.39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355,874,211.56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10,776,800.00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2,872,000.00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159,360,837.40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20,558,667.32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6,618,492.30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11,627,327.12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5,486,175.00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14,806,295.71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42,362,710.60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24,138,824.52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402,083.70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3,074,870.00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8,952,155.60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311,037,239.27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42BAC">
        <w:trPr>
          <w:jc w:val="center"/>
        </w:trPr>
        <w:tc>
          <w:tcPr>
            <w:tcW w:w="855" w:type="dxa"/>
            <w:vAlign w:val="center"/>
          </w:tcPr>
          <w:p w:rsidR="00442BAC" w:rsidRDefault="00E9024D">
            <w:pPr>
              <w:jc w:val="center"/>
            </w:pPr>
            <w:r>
              <w:rPr>
                <w:color w:val="000000"/>
                <w:sz w:val="24"/>
                <w:szCs w:val="24"/>
              </w:rPr>
              <w:t>1</w:t>
            </w:r>
          </w:p>
        </w:tc>
        <w:tc>
          <w:tcPr>
            <w:tcW w:w="1334" w:type="dxa"/>
            <w:vAlign w:val="center"/>
          </w:tcPr>
          <w:p w:rsidR="00442BAC" w:rsidRDefault="00E9024D">
            <w:pPr>
              <w:jc w:val="center"/>
            </w:pPr>
            <w:r>
              <w:rPr>
                <w:color w:val="000000"/>
                <w:sz w:val="24"/>
                <w:szCs w:val="24"/>
              </w:rPr>
              <w:t>600030</w:t>
            </w:r>
          </w:p>
        </w:tc>
        <w:tc>
          <w:tcPr>
            <w:tcW w:w="1777" w:type="dxa"/>
            <w:vAlign w:val="center"/>
          </w:tcPr>
          <w:p w:rsidR="00442BAC" w:rsidRDefault="00E9024D">
            <w:pPr>
              <w:jc w:val="center"/>
            </w:pPr>
            <w:r>
              <w:rPr>
                <w:color w:val="000000"/>
                <w:sz w:val="24"/>
                <w:szCs w:val="24"/>
              </w:rPr>
              <w:t>中信证券</w:t>
            </w:r>
          </w:p>
        </w:tc>
        <w:tc>
          <w:tcPr>
            <w:tcW w:w="1334" w:type="dxa"/>
            <w:vAlign w:val="center"/>
          </w:tcPr>
          <w:p w:rsidR="00442BAC" w:rsidRDefault="00E9024D">
            <w:pPr>
              <w:jc w:val="right"/>
            </w:pPr>
            <w:r>
              <w:rPr>
                <w:color w:val="000000"/>
                <w:sz w:val="24"/>
                <w:szCs w:val="24"/>
              </w:rPr>
              <w:t>757,700</w:t>
            </w:r>
          </w:p>
        </w:tc>
        <w:tc>
          <w:tcPr>
            <w:tcW w:w="1924" w:type="dxa"/>
            <w:vAlign w:val="center"/>
          </w:tcPr>
          <w:p w:rsidR="00442BAC" w:rsidRDefault="00E9024D">
            <w:pPr>
              <w:jc w:val="right"/>
            </w:pPr>
            <w:r>
              <w:rPr>
                <w:color w:val="000000"/>
                <w:sz w:val="24"/>
                <w:szCs w:val="24"/>
              </w:rPr>
              <w:t>18,268,147.00</w:t>
            </w:r>
          </w:p>
        </w:tc>
        <w:tc>
          <w:tcPr>
            <w:tcW w:w="1644" w:type="dxa"/>
            <w:vAlign w:val="center"/>
          </w:tcPr>
          <w:p w:rsidR="00442BAC" w:rsidRDefault="00E9024D">
            <w:pPr>
              <w:jc w:val="right"/>
            </w:pPr>
            <w:r>
              <w:rPr>
                <w:color w:val="000000"/>
                <w:sz w:val="24"/>
                <w:szCs w:val="24"/>
              </w:rPr>
              <w:t>5.20</w:t>
            </w:r>
          </w:p>
        </w:tc>
      </w:tr>
      <w:tr w:rsidR="00442BAC">
        <w:trPr>
          <w:jc w:val="center"/>
        </w:trPr>
        <w:tc>
          <w:tcPr>
            <w:tcW w:w="855" w:type="dxa"/>
            <w:vAlign w:val="center"/>
          </w:tcPr>
          <w:p w:rsidR="00442BAC" w:rsidRDefault="00E9024D">
            <w:pPr>
              <w:jc w:val="center"/>
            </w:pPr>
            <w:r>
              <w:rPr>
                <w:color w:val="000000"/>
                <w:sz w:val="24"/>
                <w:szCs w:val="24"/>
              </w:rPr>
              <w:t>2</w:t>
            </w:r>
          </w:p>
        </w:tc>
        <w:tc>
          <w:tcPr>
            <w:tcW w:w="1334" w:type="dxa"/>
            <w:vAlign w:val="center"/>
          </w:tcPr>
          <w:p w:rsidR="00442BAC" w:rsidRDefault="00E9024D">
            <w:pPr>
              <w:jc w:val="center"/>
            </w:pPr>
            <w:r>
              <w:rPr>
                <w:color w:val="000000"/>
                <w:sz w:val="24"/>
                <w:szCs w:val="24"/>
              </w:rPr>
              <w:t>600048</w:t>
            </w:r>
          </w:p>
        </w:tc>
        <w:tc>
          <w:tcPr>
            <w:tcW w:w="1777" w:type="dxa"/>
            <w:vAlign w:val="center"/>
          </w:tcPr>
          <w:p w:rsidR="00442BAC" w:rsidRDefault="00E9024D">
            <w:pPr>
              <w:jc w:val="center"/>
            </w:pPr>
            <w:r>
              <w:rPr>
                <w:color w:val="000000"/>
                <w:sz w:val="24"/>
                <w:szCs w:val="24"/>
              </w:rPr>
              <w:t>保利地产</w:t>
            </w:r>
          </w:p>
        </w:tc>
        <w:tc>
          <w:tcPr>
            <w:tcW w:w="1334" w:type="dxa"/>
            <w:vAlign w:val="center"/>
          </w:tcPr>
          <w:p w:rsidR="00442BAC" w:rsidRDefault="00E9024D">
            <w:pPr>
              <w:jc w:val="right"/>
            </w:pPr>
            <w:r>
              <w:rPr>
                <w:color w:val="000000"/>
                <w:sz w:val="24"/>
                <w:szCs w:val="24"/>
              </w:rPr>
              <w:t>1,004,534</w:t>
            </w:r>
          </w:p>
        </w:tc>
        <w:tc>
          <w:tcPr>
            <w:tcW w:w="1924" w:type="dxa"/>
            <w:vAlign w:val="center"/>
          </w:tcPr>
          <w:p w:rsidR="00442BAC" w:rsidRDefault="00E9024D">
            <w:pPr>
              <w:jc w:val="right"/>
            </w:pPr>
            <w:r>
              <w:rPr>
                <w:color w:val="000000"/>
                <w:sz w:val="24"/>
                <w:szCs w:val="24"/>
              </w:rPr>
              <w:t>14,847,012.52</w:t>
            </w:r>
          </w:p>
        </w:tc>
        <w:tc>
          <w:tcPr>
            <w:tcW w:w="1644" w:type="dxa"/>
            <w:vAlign w:val="center"/>
          </w:tcPr>
          <w:p w:rsidR="00442BAC" w:rsidRDefault="00E9024D">
            <w:pPr>
              <w:jc w:val="right"/>
            </w:pPr>
            <w:r>
              <w:rPr>
                <w:color w:val="000000"/>
                <w:sz w:val="24"/>
                <w:szCs w:val="24"/>
              </w:rPr>
              <w:t>4.22</w:t>
            </w:r>
          </w:p>
        </w:tc>
      </w:tr>
      <w:tr w:rsidR="00442BAC">
        <w:trPr>
          <w:jc w:val="center"/>
        </w:trPr>
        <w:tc>
          <w:tcPr>
            <w:tcW w:w="855" w:type="dxa"/>
            <w:vAlign w:val="center"/>
          </w:tcPr>
          <w:p w:rsidR="00442BAC" w:rsidRDefault="00E9024D">
            <w:pPr>
              <w:jc w:val="center"/>
            </w:pPr>
            <w:r>
              <w:rPr>
                <w:color w:val="000000"/>
                <w:sz w:val="24"/>
                <w:szCs w:val="24"/>
              </w:rPr>
              <w:t>3</w:t>
            </w:r>
          </w:p>
        </w:tc>
        <w:tc>
          <w:tcPr>
            <w:tcW w:w="1334" w:type="dxa"/>
            <w:vAlign w:val="center"/>
          </w:tcPr>
          <w:p w:rsidR="00442BAC" w:rsidRDefault="00E9024D">
            <w:pPr>
              <w:jc w:val="center"/>
            </w:pPr>
            <w:r>
              <w:rPr>
                <w:color w:val="000000"/>
                <w:sz w:val="24"/>
                <w:szCs w:val="24"/>
              </w:rPr>
              <w:t>300034</w:t>
            </w:r>
          </w:p>
        </w:tc>
        <w:tc>
          <w:tcPr>
            <w:tcW w:w="1777" w:type="dxa"/>
            <w:vAlign w:val="center"/>
          </w:tcPr>
          <w:p w:rsidR="00442BAC" w:rsidRDefault="00E9024D">
            <w:pPr>
              <w:jc w:val="center"/>
            </w:pPr>
            <w:r>
              <w:rPr>
                <w:color w:val="000000"/>
                <w:sz w:val="24"/>
                <w:szCs w:val="24"/>
              </w:rPr>
              <w:t>钢研高纳</w:t>
            </w:r>
          </w:p>
        </w:tc>
        <w:tc>
          <w:tcPr>
            <w:tcW w:w="1334" w:type="dxa"/>
            <w:vAlign w:val="center"/>
          </w:tcPr>
          <w:p w:rsidR="00442BAC" w:rsidRDefault="00E9024D">
            <w:pPr>
              <w:jc w:val="right"/>
            </w:pPr>
            <w:r>
              <w:rPr>
                <w:color w:val="000000"/>
                <w:sz w:val="24"/>
                <w:szCs w:val="24"/>
              </w:rPr>
              <w:t>688,400</w:t>
            </w:r>
          </w:p>
        </w:tc>
        <w:tc>
          <w:tcPr>
            <w:tcW w:w="1924" w:type="dxa"/>
            <w:vAlign w:val="center"/>
          </w:tcPr>
          <w:p w:rsidR="00442BAC" w:rsidRDefault="00E9024D">
            <w:pPr>
              <w:jc w:val="right"/>
            </w:pPr>
            <w:r>
              <w:rPr>
                <w:color w:val="000000"/>
                <w:sz w:val="24"/>
                <w:szCs w:val="24"/>
              </w:rPr>
              <w:t>12,914,384.00</w:t>
            </w:r>
          </w:p>
        </w:tc>
        <w:tc>
          <w:tcPr>
            <w:tcW w:w="1644" w:type="dxa"/>
            <w:vAlign w:val="center"/>
          </w:tcPr>
          <w:p w:rsidR="00442BAC" w:rsidRDefault="00E9024D">
            <w:pPr>
              <w:jc w:val="right"/>
            </w:pPr>
            <w:r>
              <w:rPr>
                <w:color w:val="000000"/>
                <w:sz w:val="24"/>
                <w:szCs w:val="24"/>
              </w:rPr>
              <w:t>3.67</w:t>
            </w:r>
          </w:p>
        </w:tc>
      </w:tr>
      <w:tr w:rsidR="00442BAC">
        <w:trPr>
          <w:jc w:val="center"/>
        </w:trPr>
        <w:tc>
          <w:tcPr>
            <w:tcW w:w="855" w:type="dxa"/>
            <w:vAlign w:val="center"/>
          </w:tcPr>
          <w:p w:rsidR="00442BAC" w:rsidRDefault="00E9024D">
            <w:pPr>
              <w:jc w:val="center"/>
            </w:pPr>
            <w:r>
              <w:rPr>
                <w:color w:val="000000"/>
                <w:sz w:val="24"/>
                <w:szCs w:val="24"/>
              </w:rPr>
              <w:t>4</w:t>
            </w:r>
          </w:p>
        </w:tc>
        <w:tc>
          <w:tcPr>
            <w:tcW w:w="1334" w:type="dxa"/>
            <w:vAlign w:val="center"/>
          </w:tcPr>
          <w:p w:rsidR="00442BAC" w:rsidRDefault="00E9024D">
            <w:pPr>
              <w:jc w:val="center"/>
            </w:pPr>
            <w:r>
              <w:rPr>
                <w:color w:val="000000"/>
                <w:sz w:val="24"/>
                <w:szCs w:val="24"/>
              </w:rPr>
              <w:t>600967</w:t>
            </w:r>
          </w:p>
        </w:tc>
        <w:tc>
          <w:tcPr>
            <w:tcW w:w="1777" w:type="dxa"/>
            <w:vAlign w:val="center"/>
          </w:tcPr>
          <w:p w:rsidR="00442BAC" w:rsidRDefault="00E9024D">
            <w:pPr>
              <w:jc w:val="center"/>
            </w:pPr>
            <w:r>
              <w:rPr>
                <w:color w:val="000000"/>
                <w:sz w:val="24"/>
                <w:szCs w:val="24"/>
              </w:rPr>
              <w:t>内蒙一机</w:t>
            </w:r>
          </w:p>
        </w:tc>
        <w:tc>
          <w:tcPr>
            <w:tcW w:w="1334" w:type="dxa"/>
            <w:vAlign w:val="center"/>
          </w:tcPr>
          <w:p w:rsidR="00442BAC" w:rsidRDefault="00E9024D">
            <w:pPr>
              <w:jc w:val="right"/>
            </w:pPr>
            <w:r>
              <w:rPr>
                <w:color w:val="000000"/>
                <w:sz w:val="24"/>
                <w:szCs w:val="24"/>
              </w:rPr>
              <w:t>1,150,000</w:t>
            </w:r>
          </w:p>
        </w:tc>
        <w:tc>
          <w:tcPr>
            <w:tcW w:w="1924" w:type="dxa"/>
            <w:vAlign w:val="center"/>
          </w:tcPr>
          <w:p w:rsidR="00442BAC" w:rsidRDefault="00E9024D">
            <w:pPr>
              <w:jc w:val="right"/>
            </w:pPr>
            <w:r>
              <w:rPr>
                <w:color w:val="000000"/>
                <w:sz w:val="24"/>
                <w:szCs w:val="24"/>
              </w:rPr>
              <w:t>11,948,500.00</w:t>
            </w:r>
          </w:p>
        </w:tc>
        <w:tc>
          <w:tcPr>
            <w:tcW w:w="1644" w:type="dxa"/>
            <w:vAlign w:val="center"/>
          </w:tcPr>
          <w:p w:rsidR="00442BAC" w:rsidRDefault="00E9024D">
            <w:pPr>
              <w:jc w:val="right"/>
            </w:pPr>
            <w:r>
              <w:rPr>
                <w:color w:val="000000"/>
                <w:sz w:val="24"/>
                <w:szCs w:val="24"/>
              </w:rPr>
              <w:t>3.40</w:t>
            </w:r>
          </w:p>
        </w:tc>
      </w:tr>
      <w:tr w:rsidR="00442BAC">
        <w:trPr>
          <w:jc w:val="center"/>
        </w:trPr>
        <w:tc>
          <w:tcPr>
            <w:tcW w:w="855" w:type="dxa"/>
            <w:vAlign w:val="center"/>
          </w:tcPr>
          <w:p w:rsidR="00442BAC" w:rsidRDefault="00E9024D">
            <w:pPr>
              <w:jc w:val="center"/>
            </w:pPr>
            <w:r>
              <w:rPr>
                <w:color w:val="000000"/>
                <w:sz w:val="24"/>
                <w:szCs w:val="24"/>
              </w:rPr>
              <w:t>5</w:t>
            </w:r>
          </w:p>
        </w:tc>
        <w:tc>
          <w:tcPr>
            <w:tcW w:w="1334" w:type="dxa"/>
            <w:vAlign w:val="center"/>
          </w:tcPr>
          <w:p w:rsidR="00442BAC" w:rsidRDefault="00E9024D">
            <w:pPr>
              <w:jc w:val="center"/>
            </w:pPr>
            <w:r>
              <w:rPr>
                <w:color w:val="000000"/>
                <w:sz w:val="24"/>
                <w:szCs w:val="24"/>
              </w:rPr>
              <w:t>600529</w:t>
            </w:r>
          </w:p>
        </w:tc>
        <w:tc>
          <w:tcPr>
            <w:tcW w:w="1777" w:type="dxa"/>
            <w:vAlign w:val="center"/>
          </w:tcPr>
          <w:p w:rsidR="00442BAC" w:rsidRDefault="00E9024D">
            <w:pPr>
              <w:jc w:val="center"/>
            </w:pPr>
            <w:r>
              <w:rPr>
                <w:color w:val="000000"/>
                <w:sz w:val="24"/>
                <w:szCs w:val="24"/>
              </w:rPr>
              <w:t>山东药玻</w:t>
            </w:r>
          </w:p>
        </w:tc>
        <w:tc>
          <w:tcPr>
            <w:tcW w:w="1334" w:type="dxa"/>
            <w:vAlign w:val="center"/>
          </w:tcPr>
          <w:p w:rsidR="00442BAC" w:rsidRDefault="00E9024D">
            <w:pPr>
              <w:jc w:val="right"/>
            </w:pPr>
            <w:r>
              <w:rPr>
                <w:color w:val="000000"/>
                <w:sz w:val="24"/>
                <w:szCs w:val="24"/>
              </w:rPr>
              <w:t>200,000</w:t>
            </w:r>
          </w:p>
        </w:tc>
        <w:tc>
          <w:tcPr>
            <w:tcW w:w="1924" w:type="dxa"/>
            <w:vAlign w:val="center"/>
          </w:tcPr>
          <w:p w:rsidR="00442BAC" w:rsidRDefault="00E9024D">
            <w:pPr>
              <w:jc w:val="right"/>
            </w:pPr>
            <w:r>
              <w:rPr>
                <w:color w:val="000000"/>
                <w:sz w:val="24"/>
                <w:szCs w:val="24"/>
              </w:rPr>
              <w:t>11,600,000.00</w:t>
            </w:r>
          </w:p>
        </w:tc>
        <w:tc>
          <w:tcPr>
            <w:tcW w:w="1644" w:type="dxa"/>
            <w:vAlign w:val="center"/>
          </w:tcPr>
          <w:p w:rsidR="00442BAC" w:rsidRDefault="00E9024D">
            <w:pPr>
              <w:jc w:val="right"/>
            </w:pPr>
            <w:r>
              <w:rPr>
                <w:color w:val="000000"/>
                <w:sz w:val="24"/>
                <w:szCs w:val="24"/>
              </w:rPr>
              <w:t>3.30</w:t>
            </w:r>
          </w:p>
        </w:tc>
      </w:tr>
      <w:tr w:rsidR="00442BAC">
        <w:trPr>
          <w:jc w:val="center"/>
        </w:trPr>
        <w:tc>
          <w:tcPr>
            <w:tcW w:w="855" w:type="dxa"/>
            <w:vAlign w:val="center"/>
          </w:tcPr>
          <w:p w:rsidR="00442BAC" w:rsidRDefault="00E9024D">
            <w:pPr>
              <w:jc w:val="center"/>
            </w:pPr>
            <w:r>
              <w:rPr>
                <w:color w:val="000000"/>
                <w:sz w:val="24"/>
                <w:szCs w:val="24"/>
              </w:rPr>
              <w:t>6</w:t>
            </w:r>
          </w:p>
        </w:tc>
        <w:tc>
          <w:tcPr>
            <w:tcW w:w="1334" w:type="dxa"/>
            <w:vAlign w:val="center"/>
          </w:tcPr>
          <w:p w:rsidR="00442BAC" w:rsidRDefault="00E9024D">
            <w:pPr>
              <w:jc w:val="center"/>
            </w:pPr>
            <w:r>
              <w:rPr>
                <w:color w:val="000000"/>
                <w:sz w:val="24"/>
                <w:szCs w:val="24"/>
              </w:rPr>
              <w:t>601166</w:t>
            </w:r>
          </w:p>
        </w:tc>
        <w:tc>
          <w:tcPr>
            <w:tcW w:w="1777" w:type="dxa"/>
            <w:vAlign w:val="center"/>
          </w:tcPr>
          <w:p w:rsidR="00442BAC" w:rsidRDefault="00E9024D">
            <w:pPr>
              <w:jc w:val="center"/>
            </w:pPr>
            <w:r>
              <w:rPr>
                <w:color w:val="000000"/>
                <w:sz w:val="24"/>
                <w:szCs w:val="24"/>
              </w:rPr>
              <w:t>兴业银行</w:t>
            </w:r>
          </w:p>
        </w:tc>
        <w:tc>
          <w:tcPr>
            <w:tcW w:w="1334" w:type="dxa"/>
            <w:vAlign w:val="center"/>
          </w:tcPr>
          <w:p w:rsidR="00442BAC" w:rsidRDefault="00E9024D">
            <w:pPr>
              <w:jc w:val="right"/>
            </w:pPr>
            <w:r>
              <w:rPr>
                <w:color w:val="000000"/>
                <w:sz w:val="24"/>
                <w:szCs w:val="24"/>
              </w:rPr>
              <w:t>653,200</w:t>
            </w:r>
          </w:p>
        </w:tc>
        <w:tc>
          <w:tcPr>
            <w:tcW w:w="1924" w:type="dxa"/>
            <w:vAlign w:val="center"/>
          </w:tcPr>
          <w:p w:rsidR="00442BAC" w:rsidRDefault="00E9024D">
            <w:pPr>
              <w:jc w:val="right"/>
            </w:pPr>
            <w:r>
              <w:rPr>
                <w:color w:val="000000"/>
                <w:sz w:val="24"/>
                <w:szCs w:val="24"/>
              </w:rPr>
              <w:t>10,307,496.00</w:t>
            </w:r>
          </w:p>
        </w:tc>
        <w:tc>
          <w:tcPr>
            <w:tcW w:w="1644" w:type="dxa"/>
            <w:vAlign w:val="center"/>
          </w:tcPr>
          <w:p w:rsidR="00442BAC" w:rsidRDefault="00E9024D">
            <w:pPr>
              <w:jc w:val="right"/>
            </w:pPr>
            <w:r>
              <w:rPr>
                <w:color w:val="000000"/>
                <w:sz w:val="24"/>
                <w:szCs w:val="24"/>
              </w:rPr>
              <w:t>2.93</w:t>
            </w:r>
          </w:p>
        </w:tc>
      </w:tr>
      <w:tr w:rsidR="00442BAC">
        <w:trPr>
          <w:jc w:val="center"/>
        </w:trPr>
        <w:tc>
          <w:tcPr>
            <w:tcW w:w="855" w:type="dxa"/>
            <w:vAlign w:val="center"/>
          </w:tcPr>
          <w:p w:rsidR="00442BAC" w:rsidRDefault="00E9024D">
            <w:pPr>
              <w:jc w:val="center"/>
            </w:pPr>
            <w:r>
              <w:rPr>
                <w:color w:val="000000"/>
                <w:sz w:val="24"/>
                <w:szCs w:val="24"/>
              </w:rPr>
              <w:t>7</w:t>
            </w:r>
          </w:p>
        </w:tc>
        <w:tc>
          <w:tcPr>
            <w:tcW w:w="1334" w:type="dxa"/>
            <w:vAlign w:val="center"/>
          </w:tcPr>
          <w:p w:rsidR="00442BAC" w:rsidRDefault="00E9024D">
            <w:pPr>
              <w:jc w:val="center"/>
            </w:pPr>
            <w:r>
              <w:rPr>
                <w:color w:val="000000"/>
                <w:sz w:val="24"/>
                <w:szCs w:val="24"/>
              </w:rPr>
              <w:t>600131</w:t>
            </w:r>
          </w:p>
        </w:tc>
        <w:tc>
          <w:tcPr>
            <w:tcW w:w="1777" w:type="dxa"/>
            <w:vAlign w:val="center"/>
          </w:tcPr>
          <w:p w:rsidR="00442BAC" w:rsidRDefault="00E9024D">
            <w:pPr>
              <w:jc w:val="center"/>
            </w:pPr>
            <w:r>
              <w:rPr>
                <w:color w:val="000000"/>
                <w:sz w:val="24"/>
                <w:szCs w:val="24"/>
              </w:rPr>
              <w:t>国网信通</w:t>
            </w:r>
          </w:p>
        </w:tc>
        <w:tc>
          <w:tcPr>
            <w:tcW w:w="1334" w:type="dxa"/>
            <w:vAlign w:val="center"/>
          </w:tcPr>
          <w:p w:rsidR="00442BAC" w:rsidRDefault="00E9024D">
            <w:pPr>
              <w:jc w:val="right"/>
            </w:pPr>
            <w:r>
              <w:rPr>
                <w:color w:val="000000"/>
                <w:sz w:val="24"/>
                <w:szCs w:val="24"/>
              </w:rPr>
              <w:t>540,000</w:t>
            </w:r>
          </w:p>
        </w:tc>
        <w:tc>
          <w:tcPr>
            <w:tcW w:w="1924" w:type="dxa"/>
            <w:vAlign w:val="center"/>
          </w:tcPr>
          <w:p w:rsidR="00442BAC" w:rsidRDefault="00E9024D">
            <w:pPr>
              <w:jc w:val="right"/>
            </w:pPr>
            <w:r>
              <w:rPr>
                <w:color w:val="000000"/>
                <w:sz w:val="24"/>
                <w:szCs w:val="24"/>
              </w:rPr>
              <w:t>10,243,800.00</w:t>
            </w:r>
          </w:p>
        </w:tc>
        <w:tc>
          <w:tcPr>
            <w:tcW w:w="1644" w:type="dxa"/>
            <w:vAlign w:val="center"/>
          </w:tcPr>
          <w:p w:rsidR="00442BAC" w:rsidRDefault="00E9024D">
            <w:pPr>
              <w:jc w:val="right"/>
            </w:pPr>
            <w:r>
              <w:rPr>
                <w:color w:val="000000"/>
                <w:sz w:val="24"/>
                <w:szCs w:val="24"/>
              </w:rPr>
              <w:t>2.91</w:t>
            </w:r>
          </w:p>
        </w:tc>
      </w:tr>
      <w:tr w:rsidR="00442BAC">
        <w:trPr>
          <w:jc w:val="center"/>
        </w:trPr>
        <w:tc>
          <w:tcPr>
            <w:tcW w:w="855" w:type="dxa"/>
            <w:vAlign w:val="center"/>
          </w:tcPr>
          <w:p w:rsidR="00442BAC" w:rsidRDefault="00E9024D">
            <w:pPr>
              <w:jc w:val="center"/>
            </w:pPr>
            <w:r>
              <w:rPr>
                <w:color w:val="000000"/>
                <w:sz w:val="24"/>
                <w:szCs w:val="24"/>
              </w:rPr>
              <w:t>8</w:t>
            </w:r>
          </w:p>
        </w:tc>
        <w:tc>
          <w:tcPr>
            <w:tcW w:w="1334" w:type="dxa"/>
            <w:vAlign w:val="center"/>
          </w:tcPr>
          <w:p w:rsidR="00442BAC" w:rsidRDefault="00E9024D">
            <w:pPr>
              <w:jc w:val="center"/>
            </w:pPr>
            <w:r>
              <w:rPr>
                <w:color w:val="000000"/>
                <w:sz w:val="24"/>
                <w:szCs w:val="24"/>
              </w:rPr>
              <w:t>000768</w:t>
            </w:r>
          </w:p>
        </w:tc>
        <w:tc>
          <w:tcPr>
            <w:tcW w:w="1777" w:type="dxa"/>
            <w:vAlign w:val="center"/>
          </w:tcPr>
          <w:p w:rsidR="00442BAC" w:rsidRDefault="00E9024D">
            <w:pPr>
              <w:jc w:val="center"/>
            </w:pPr>
            <w:r>
              <w:rPr>
                <w:color w:val="000000"/>
                <w:sz w:val="24"/>
                <w:szCs w:val="24"/>
              </w:rPr>
              <w:t>中航飞机</w:t>
            </w:r>
          </w:p>
        </w:tc>
        <w:tc>
          <w:tcPr>
            <w:tcW w:w="1334" w:type="dxa"/>
            <w:vAlign w:val="center"/>
          </w:tcPr>
          <w:p w:rsidR="00442BAC" w:rsidRDefault="00E9024D">
            <w:pPr>
              <w:jc w:val="right"/>
            </w:pPr>
            <w:r>
              <w:rPr>
                <w:color w:val="000000"/>
                <w:sz w:val="24"/>
                <w:szCs w:val="24"/>
              </w:rPr>
              <w:t>528,500</w:t>
            </w:r>
          </w:p>
        </w:tc>
        <w:tc>
          <w:tcPr>
            <w:tcW w:w="1924" w:type="dxa"/>
            <w:vAlign w:val="center"/>
          </w:tcPr>
          <w:p w:rsidR="00442BAC" w:rsidRDefault="00E9024D">
            <w:pPr>
              <w:jc w:val="right"/>
            </w:pPr>
            <w:r>
              <w:rPr>
                <w:color w:val="000000"/>
                <w:sz w:val="24"/>
                <w:szCs w:val="24"/>
              </w:rPr>
              <w:t>9,375,590.00</w:t>
            </w:r>
          </w:p>
        </w:tc>
        <w:tc>
          <w:tcPr>
            <w:tcW w:w="1644" w:type="dxa"/>
            <w:vAlign w:val="center"/>
          </w:tcPr>
          <w:p w:rsidR="00442BAC" w:rsidRDefault="00E9024D">
            <w:pPr>
              <w:jc w:val="right"/>
            </w:pPr>
            <w:r>
              <w:rPr>
                <w:color w:val="000000"/>
                <w:sz w:val="24"/>
                <w:szCs w:val="24"/>
              </w:rPr>
              <w:t>2.67</w:t>
            </w:r>
          </w:p>
        </w:tc>
      </w:tr>
      <w:tr w:rsidR="00442BAC">
        <w:trPr>
          <w:jc w:val="center"/>
        </w:trPr>
        <w:tc>
          <w:tcPr>
            <w:tcW w:w="855" w:type="dxa"/>
            <w:vAlign w:val="center"/>
          </w:tcPr>
          <w:p w:rsidR="00442BAC" w:rsidRDefault="00E9024D">
            <w:pPr>
              <w:jc w:val="center"/>
            </w:pPr>
            <w:r>
              <w:rPr>
                <w:color w:val="000000"/>
                <w:sz w:val="24"/>
                <w:szCs w:val="24"/>
              </w:rPr>
              <w:t>9</w:t>
            </w:r>
          </w:p>
        </w:tc>
        <w:tc>
          <w:tcPr>
            <w:tcW w:w="1334" w:type="dxa"/>
            <w:vAlign w:val="center"/>
          </w:tcPr>
          <w:p w:rsidR="00442BAC" w:rsidRDefault="00E9024D">
            <w:pPr>
              <w:jc w:val="center"/>
            </w:pPr>
            <w:r>
              <w:rPr>
                <w:color w:val="000000"/>
                <w:sz w:val="24"/>
                <w:szCs w:val="24"/>
              </w:rPr>
              <w:t>300413</w:t>
            </w:r>
          </w:p>
        </w:tc>
        <w:tc>
          <w:tcPr>
            <w:tcW w:w="1777" w:type="dxa"/>
            <w:vAlign w:val="center"/>
          </w:tcPr>
          <w:p w:rsidR="00442BAC" w:rsidRDefault="00E9024D">
            <w:pPr>
              <w:jc w:val="center"/>
            </w:pPr>
            <w:r>
              <w:rPr>
                <w:color w:val="000000"/>
                <w:sz w:val="24"/>
                <w:szCs w:val="24"/>
              </w:rPr>
              <w:t>芒果超媒</w:t>
            </w:r>
          </w:p>
        </w:tc>
        <w:tc>
          <w:tcPr>
            <w:tcW w:w="1334" w:type="dxa"/>
            <w:vAlign w:val="center"/>
          </w:tcPr>
          <w:p w:rsidR="00442BAC" w:rsidRDefault="00E9024D">
            <w:pPr>
              <w:jc w:val="right"/>
            </w:pPr>
            <w:r>
              <w:rPr>
                <w:color w:val="000000"/>
                <w:sz w:val="24"/>
                <w:szCs w:val="24"/>
              </w:rPr>
              <w:t>137,303</w:t>
            </w:r>
          </w:p>
        </w:tc>
        <w:tc>
          <w:tcPr>
            <w:tcW w:w="1924" w:type="dxa"/>
            <w:vAlign w:val="center"/>
          </w:tcPr>
          <w:p w:rsidR="00442BAC" w:rsidRDefault="00E9024D">
            <w:pPr>
              <w:jc w:val="right"/>
            </w:pPr>
            <w:r>
              <w:rPr>
                <w:color w:val="000000"/>
                <w:sz w:val="24"/>
                <w:szCs w:val="24"/>
              </w:rPr>
              <w:t>8,952,155.60</w:t>
            </w:r>
          </w:p>
        </w:tc>
        <w:tc>
          <w:tcPr>
            <w:tcW w:w="1644" w:type="dxa"/>
            <w:vAlign w:val="center"/>
          </w:tcPr>
          <w:p w:rsidR="00442BAC" w:rsidRDefault="00E9024D">
            <w:pPr>
              <w:jc w:val="right"/>
            </w:pPr>
            <w:r>
              <w:rPr>
                <w:color w:val="000000"/>
                <w:sz w:val="24"/>
                <w:szCs w:val="24"/>
              </w:rPr>
              <w:t>2.55</w:t>
            </w:r>
          </w:p>
        </w:tc>
      </w:tr>
      <w:tr w:rsidR="00442BAC">
        <w:trPr>
          <w:jc w:val="center"/>
        </w:trPr>
        <w:tc>
          <w:tcPr>
            <w:tcW w:w="855" w:type="dxa"/>
            <w:vAlign w:val="center"/>
          </w:tcPr>
          <w:p w:rsidR="00442BAC" w:rsidRDefault="00E9024D">
            <w:pPr>
              <w:jc w:val="center"/>
            </w:pPr>
            <w:r>
              <w:rPr>
                <w:color w:val="000000"/>
                <w:sz w:val="24"/>
                <w:szCs w:val="24"/>
              </w:rPr>
              <w:t>10</w:t>
            </w:r>
          </w:p>
        </w:tc>
        <w:tc>
          <w:tcPr>
            <w:tcW w:w="1334" w:type="dxa"/>
            <w:vAlign w:val="center"/>
          </w:tcPr>
          <w:p w:rsidR="00442BAC" w:rsidRDefault="00E9024D">
            <w:pPr>
              <w:jc w:val="center"/>
            </w:pPr>
            <w:r>
              <w:rPr>
                <w:color w:val="000000"/>
                <w:sz w:val="24"/>
                <w:szCs w:val="24"/>
              </w:rPr>
              <w:t>600216</w:t>
            </w:r>
          </w:p>
        </w:tc>
        <w:tc>
          <w:tcPr>
            <w:tcW w:w="1777" w:type="dxa"/>
            <w:vAlign w:val="center"/>
          </w:tcPr>
          <w:p w:rsidR="00442BAC" w:rsidRDefault="00E9024D">
            <w:pPr>
              <w:jc w:val="center"/>
            </w:pPr>
            <w:r>
              <w:rPr>
                <w:color w:val="000000"/>
                <w:sz w:val="24"/>
                <w:szCs w:val="24"/>
              </w:rPr>
              <w:t>浙江医药</w:t>
            </w:r>
          </w:p>
        </w:tc>
        <w:tc>
          <w:tcPr>
            <w:tcW w:w="1334" w:type="dxa"/>
            <w:vAlign w:val="center"/>
          </w:tcPr>
          <w:p w:rsidR="00442BAC" w:rsidRDefault="00E9024D">
            <w:pPr>
              <w:jc w:val="right"/>
            </w:pPr>
            <w:r>
              <w:rPr>
                <w:color w:val="000000"/>
                <w:sz w:val="24"/>
                <w:szCs w:val="24"/>
              </w:rPr>
              <w:t>458,000</w:t>
            </w:r>
          </w:p>
        </w:tc>
        <w:tc>
          <w:tcPr>
            <w:tcW w:w="1924" w:type="dxa"/>
            <w:vAlign w:val="center"/>
          </w:tcPr>
          <w:p w:rsidR="00442BAC" w:rsidRDefault="00E9024D">
            <w:pPr>
              <w:jc w:val="right"/>
            </w:pPr>
            <w:r>
              <w:rPr>
                <w:color w:val="000000"/>
                <w:sz w:val="24"/>
                <w:szCs w:val="24"/>
              </w:rPr>
              <w:t>8,821,080.00</w:t>
            </w:r>
          </w:p>
        </w:tc>
        <w:tc>
          <w:tcPr>
            <w:tcW w:w="1644" w:type="dxa"/>
            <w:vAlign w:val="center"/>
          </w:tcPr>
          <w:p w:rsidR="00442BAC" w:rsidRDefault="00E9024D">
            <w:pPr>
              <w:jc w:val="right"/>
            </w:pPr>
            <w:r>
              <w:rPr>
                <w:color w:val="000000"/>
                <w:sz w:val="24"/>
                <w:szCs w:val="24"/>
              </w:rPr>
              <w:t>2.51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E9024D" w:rsidRPr="00414345" w:rsidTr="00AB4DB6">
        <w:trPr>
          <w:trHeight w:val="105"/>
          <w:jc w:val="center"/>
        </w:trPr>
        <w:tc>
          <w:tcPr>
            <w:tcW w:w="1422" w:type="dxa"/>
            <w:vAlign w:val="center"/>
          </w:tcPr>
          <w:p w:rsidR="00E9024D" w:rsidRPr="00414345" w:rsidRDefault="00E9024D"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E9024D" w:rsidRPr="00414345" w:rsidRDefault="00E9024D"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E9024D" w:rsidRPr="00414345" w:rsidRDefault="00E9024D"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E9024D" w:rsidRPr="00414345" w:rsidRDefault="00E9024D"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E9024D" w:rsidRPr="00414345" w:rsidRDefault="00E9024D"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E9024D" w:rsidRPr="00414345" w:rsidRDefault="00E9024D"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-915,980.00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115,441.67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9,173.62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65,901.10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190,516.39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323,944,171.94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1,869,185.35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43,809,545.07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282,003,812.22</w:t>
            </w:r>
          </w:p>
        </w:tc>
      </w:tr>
    </w:tbl>
    <w:p w:rsidR="00442BAC" w:rsidRDefault="00E902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42BAC" w:rsidRDefault="00E9024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442BAC" w:rsidRDefault="00E9024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442BAC" w:rsidRDefault="00E9024D">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442BAC" w:rsidRDefault="00E9024D">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442BAC" w:rsidRDefault="00E9024D">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42BAC" w:rsidRDefault="00E9024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6331F">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6331F">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交银施罗德国企改革灵活配置混合型证券投资基金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5341"/>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BAC"/>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31F"/>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3A7C"/>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9024D"/>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8E10-67C3-4B54-B5D2-2BF926D0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11</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604</cp:revision>
  <dcterms:created xsi:type="dcterms:W3CDTF">2012-10-16T06:07:00Z</dcterms:created>
  <dcterms:modified xsi:type="dcterms:W3CDTF">2020-07-14T07:04:00Z</dcterms:modified>
</cp:coreProperties>
</file>