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交银施罗德现金宝货币市场基金</w:t>
      </w:r>
    </w:p>
    <w:p w:rsidR="00B60E27" w:rsidRPr="001E1B20" w:rsidRDefault="00B60E27" w:rsidP="00281564">
      <w:pPr>
        <w:spacing w:before="29" w:line="288" w:lineRule="auto"/>
        <w:jc w:val="center"/>
        <w:rPr>
          <w:b/>
          <w:sz w:val="36"/>
          <w:szCs w:val="36"/>
        </w:rPr>
      </w:pPr>
      <w:r w:rsidRPr="001E1B20">
        <w:rPr>
          <w:b/>
          <w:sz w:val="36"/>
          <w:szCs w:val="36"/>
        </w:rPr>
        <w:t>2020</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2020</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二〇二〇年七月二十一日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D15E6B" w:rsidRDefault="000C0D72">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D15E6B" w:rsidRDefault="000C0D72">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D15E6B" w:rsidRDefault="000C0D72">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15E6B" w:rsidRDefault="000C0D72">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D15E6B" w:rsidRDefault="000C0D72">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2020</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交银现金宝货币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000710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2014</w:t>
            </w:r>
            <w:r w:rsidRPr="000E4C40">
              <w:rPr>
                <w:color w:val="000000"/>
                <w:kern w:val="0"/>
                <w:sz w:val="24"/>
              </w:rPr>
              <w:t>年</w:t>
            </w:r>
            <w:r w:rsidRPr="000E4C40">
              <w:rPr>
                <w:color w:val="000000"/>
                <w:kern w:val="0"/>
                <w:sz w:val="24"/>
              </w:rPr>
              <w:t>9</w:t>
            </w:r>
            <w:r w:rsidRPr="000E4C40">
              <w:rPr>
                <w:color w:val="000000"/>
                <w:kern w:val="0"/>
                <w:sz w:val="24"/>
              </w:rPr>
              <w:t>月</w:t>
            </w:r>
            <w:r w:rsidRPr="000E4C40">
              <w:rPr>
                <w:color w:val="000000"/>
                <w:kern w:val="0"/>
                <w:sz w:val="24"/>
              </w:rPr>
              <w:t>12</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24,156,352,704.10</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000710</w:t>
            </w:r>
          </w:p>
        </w:tc>
        <w:tc>
          <w:tcPr>
            <w:tcW w:w="2923" w:type="dxa"/>
            <w:vAlign w:val="center"/>
          </w:tcPr>
          <w:p w:rsidR="00A805BC" w:rsidRPr="000E4C40" w:rsidRDefault="00A805BC" w:rsidP="00281564">
            <w:pPr>
              <w:spacing w:before="29" w:line="288" w:lineRule="auto"/>
              <w:jc w:val="left"/>
              <w:rPr>
                <w:sz w:val="24"/>
              </w:rPr>
            </w:pPr>
            <w:r w:rsidRPr="000E4C40">
              <w:rPr>
                <w:sz w:val="24"/>
              </w:rPr>
              <w:t>002918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23,907,657,612.84</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248,695,091.26</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-2020</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102,158,515.22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1,316,675.47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102,158,515.22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1,316,675.47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23,907,657,612.84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248,695,091.26</w:t>
            </w:r>
          </w:p>
        </w:tc>
      </w:tr>
    </w:tbl>
    <w:p w:rsidR="00D15E6B" w:rsidRDefault="000C0D7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E</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交银现金宝货币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lastRenderedPageBreak/>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D15E6B">
        <w:trPr>
          <w:jc w:val="center"/>
        </w:trPr>
        <w:tc>
          <w:tcPr>
            <w:tcW w:w="1266" w:type="dxa"/>
            <w:vAlign w:val="center"/>
          </w:tcPr>
          <w:p w:rsidR="00D15E6B" w:rsidRDefault="000C0D72">
            <w:pPr>
              <w:jc w:val="left"/>
            </w:pPr>
            <w:r>
              <w:rPr>
                <w:color w:val="000000"/>
              </w:rPr>
              <w:t>过去三个月</w:t>
            </w:r>
          </w:p>
        </w:tc>
        <w:tc>
          <w:tcPr>
            <w:tcW w:w="1267" w:type="dxa"/>
            <w:vAlign w:val="center"/>
          </w:tcPr>
          <w:p w:rsidR="00D15E6B" w:rsidRDefault="000C0D72">
            <w:pPr>
              <w:jc w:val="center"/>
            </w:pPr>
            <w:r>
              <w:rPr>
                <w:color w:val="000000"/>
              </w:rPr>
              <w:t>0.4677%</w:t>
            </w:r>
          </w:p>
        </w:tc>
        <w:tc>
          <w:tcPr>
            <w:tcW w:w="1267" w:type="dxa"/>
            <w:vAlign w:val="center"/>
          </w:tcPr>
          <w:p w:rsidR="00D15E6B" w:rsidRDefault="000C0D72">
            <w:pPr>
              <w:jc w:val="center"/>
            </w:pPr>
            <w:r>
              <w:rPr>
                <w:color w:val="000000"/>
              </w:rPr>
              <w:t>0.0012%</w:t>
            </w:r>
          </w:p>
        </w:tc>
        <w:tc>
          <w:tcPr>
            <w:tcW w:w="1267" w:type="dxa"/>
            <w:vAlign w:val="center"/>
          </w:tcPr>
          <w:p w:rsidR="00D15E6B" w:rsidRDefault="000C0D72">
            <w:pPr>
              <w:jc w:val="center"/>
            </w:pPr>
            <w:r>
              <w:rPr>
                <w:color w:val="000000"/>
              </w:rPr>
              <w:t>0.0873%</w:t>
            </w:r>
          </w:p>
        </w:tc>
        <w:tc>
          <w:tcPr>
            <w:tcW w:w="1267" w:type="dxa"/>
            <w:vAlign w:val="center"/>
          </w:tcPr>
          <w:p w:rsidR="00D15E6B" w:rsidRDefault="000C0D72">
            <w:pPr>
              <w:jc w:val="center"/>
            </w:pPr>
            <w:r>
              <w:rPr>
                <w:color w:val="000000"/>
              </w:rPr>
              <w:t>0.0000%</w:t>
            </w:r>
          </w:p>
        </w:tc>
        <w:tc>
          <w:tcPr>
            <w:tcW w:w="1267" w:type="dxa"/>
            <w:vAlign w:val="center"/>
          </w:tcPr>
          <w:p w:rsidR="00D15E6B" w:rsidRDefault="000C0D72">
            <w:pPr>
              <w:jc w:val="center"/>
            </w:pPr>
            <w:r>
              <w:rPr>
                <w:color w:val="000000"/>
              </w:rPr>
              <w:t>0.3804%</w:t>
            </w:r>
          </w:p>
        </w:tc>
        <w:tc>
          <w:tcPr>
            <w:tcW w:w="1267" w:type="dxa"/>
            <w:vAlign w:val="center"/>
          </w:tcPr>
          <w:p w:rsidR="00D15E6B" w:rsidRDefault="000C0D72">
            <w:pPr>
              <w:jc w:val="center"/>
            </w:pPr>
            <w:r>
              <w:rPr>
                <w:color w:val="000000"/>
              </w:rPr>
              <w:t>0.0012%</w:t>
            </w:r>
          </w:p>
        </w:tc>
      </w:tr>
      <w:tr w:rsidR="00D15E6B">
        <w:trPr>
          <w:jc w:val="center"/>
        </w:trPr>
        <w:tc>
          <w:tcPr>
            <w:tcW w:w="1266" w:type="dxa"/>
            <w:vAlign w:val="center"/>
          </w:tcPr>
          <w:p w:rsidR="00D15E6B" w:rsidRDefault="000C0D72">
            <w:pPr>
              <w:jc w:val="left"/>
            </w:pPr>
            <w:r>
              <w:rPr>
                <w:color w:val="000000"/>
              </w:rPr>
              <w:t>过去六个月</w:t>
            </w:r>
          </w:p>
        </w:tc>
        <w:tc>
          <w:tcPr>
            <w:tcW w:w="1267" w:type="dxa"/>
            <w:vAlign w:val="center"/>
          </w:tcPr>
          <w:p w:rsidR="00D15E6B" w:rsidRDefault="000C0D72">
            <w:pPr>
              <w:jc w:val="center"/>
            </w:pPr>
            <w:r>
              <w:rPr>
                <w:color w:val="000000"/>
              </w:rPr>
              <w:t>1.0832%</w:t>
            </w:r>
          </w:p>
        </w:tc>
        <w:tc>
          <w:tcPr>
            <w:tcW w:w="1267" w:type="dxa"/>
            <w:vAlign w:val="center"/>
          </w:tcPr>
          <w:p w:rsidR="00D15E6B" w:rsidRDefault="000C0D72">
            <w:pPr>
              <w:jc w:val="center"/>
            </w:pPr>
            <w:r>
              <w:rPr>
                <w:color w:val="000000"/>
              </w:rPr>
              <w:t>0.0015%</w:t>
            </w:r>
          </w:p>
        </w:tc>
        <w:tc>
          <w:tcPr>
            <w:tcW w:w="1267" w:type="dxa"/>
            <w:vAlign w:val="center"/>
          </w:tcPr>
          <w:p w:rsidR="00D15E6B" w:rsidRDefault="000C0D72">
            <w:pPr>
              <w:jc w:val="center"/>
            </w:pPr>
            <w:r>
              <w:rPr>
                <w:color w:val="000000"/>
              </w:rPr>
              <w:t>0.1745%</w:t>
            </w:r>
          </w:p>
        </w:tc>
        <w:tc>
          <w:tcPr>
            <w:tcW w:w="1267" w:type="dxa"/>
            <w:vAlign w:val="center"/>
          </w:tcPr>
          <w:p w:rsidR="00D15E6B" w:rsidRDefault="000C0D72">
            <w:pPr>
              <w:jc w:val="center"/>
            </w:pPr>
            <w:r>
              <w:rPr>
                <w:color w:val="000000"/>
              </w:rPr>
              <w:t>0.0000%</w:t>
            </w:r>
          </w:p>
        </w:tc>
        <w:tc>
          <w:tcPr>
            <w:tcW w:w="1267" w:type="dxa"/>
            <w:vAlign w:val="center"/>
          </w:tcPr>
          <w:p w:rsidR="00D15E6B" w:rsidRDefault="000C0D72">
            <w:pPr>
              <w:jc w:val="center"/>
            </w:pPr>
            <w:r>
              <w:rPr>
                <w:color w:val="000000"/>
              </w:rPr>
              <w:t>0.9087%</w:t>
            </w:r>
          </w:p>
        </w:tc>
        <w:tc>
          <w:tcPr>
            <w:tcW w:w="1267" w:type="dxa"/>
            <w:vAlign w:val="center"/>
          </w:tcPr>
          <w:p w:rsidR="00D15E6B" w:rsidRDefault="000C0D72">
            <w:pPr>
              <w:jc w:val="center"/>
            </w:pPr>
            <w:r>
              <w:rPr>
                <w:color w:val="000000"/>
              </w:rPr>
              <w:t>0.0015%</w:t>
            </w:r>
          </w:p>
        </w:tc>
      </w:tr>
      <w:tr w:rsidR="00D15E6B">
        <w:trPr>
          <w:jc w:val="center"/>
        </w:trPr>
        <w:tc>
          <w:tcPr>
            <w:tcW w:w="1266" w:type="dxa"/>
            <w:vAlign w:val="center"/>
          </w:tcPr>
          <w:p w:rsidR="00D15E6B" w:rsidRDefault="000C0D72">
            <w:pPr>
              <w:jc w:val="left"/>
            </w:pPr>
            <w:r>
              <w:rPr>
                <w:color w:val="000000"/>
              </w:rPr>
              <w:t>过去一年</w:t>
            </w:r>
          </w:p>
        </w:tc>
        <w:tc>
          <w:tcPr>
            <w:tcW w:w="1267" w:type="dxa"/>
            <w:vAlign w:val="center"/>
          </w:tcPr>
          <w:p w:rsidR="00D15E6B" w:rsidRDefault="000C0D72">
            <w:pPr>
              <w:jc w:val="center"/>
            </w:pPr>
            <w:r>
              <w:rPr>
                <w:color w:val="000000"/>
              </w:rPr>
              <w:t>2.3142%</w:t>
            </w:r>
          </w:p>
        </w:tc>
        <w:tc>
          <w:tcPr>
            <w:tcW w:w="1267" w:type="dxa"/>
            <w:vAlign w:val="center"/>
          </w:tcPr>
          <w:p w:rsidR="00D15E6B" w:rsidRDefault="000C0D72">
            <w:pPr>
              <w:jc w:val="center"/>
            </w:pPr>
            <w:r>
              <w:rPr>
                <w:color w:val="000000"/>
              </w:rPr>
              <w:t>0.0014%</w:t>
            </w:r>
          </w:p>
        </w:tc>
        <w:tc>
          <w:tcPr>
            <w:tcW w:w="1267" w:type="dxa"/>
            <w:vAlign w:val="center"/>
          </w:tcPr>
          <w:p w:rsidR="00D15E6B" w:rsidRDefault="000C0D72">
            <w:pPr>
              <w:jc w:val="center"/>
            </w:pPr>
            <w:r>
              <w:rPr>
                <w:color w:val="000000"/>
              </w:rPr>
              <w:t>0.3510%</w:t>
            </w:r>
          </w:p>
        </w:tc>
        <w:tc>
          <w:tcPr>
            <w:tcW w:w="1267" w:type="dxa"/>
            <w:vAlign w:val="center"/>
          </w:tcPr>
          <w:p w:rsidR="00D15E6B" w:rsidRDefault="000C0D72">
            <w:pPr>
              <w:jc w:val="center"/>
            </w:pPr>
            <w:r>
              <w:rPr>
                <w:color w:val="000000"/>
              </w:rPr>
              <w:t>0.0000%</w:t>
            </w:r>
          </w:p>
        </w:tc>
        <w:tc>
          <w:tcPr>
            <w:tcW w:w="1267" w:type="dxa"/>
            <w:vAlign w:val="center"/>
          </w:tcPr>
          <w:p w:rsidR="00D15E6B" w:rsidRDefault="000C0D72">
            <w:pPr>
              <w:jc w:val="center"/>
            </w:pPr>
            <w:r>
              <w:rPr>
                <w:color w:val="000000"/>
              </w:rPr>
              <w:t>1.9632%</w:t>
            </w:r>
          </w:p>
        </w:tc>
        <w:tc>
          <w:tcPr>
            <w:tcW w:w="1267" w:type="dxa"/>
            <w:vAlign w:val="center"/>
          </w:tcPr>
          <w:p w:rsidR="00D15E6B" w:rsidRDefault="000C0D72">
            <w:pPr>
              <w:jc w:val="center"/>
            </w:pPr>
            <w:r>
              <w:rPr>
                <w:color w:val="000000"/>
              </w:rPr>
              <w:t>0.0014%</w:t>
            </w:r>
          </w:p>
        </w:tc>
      </w:tr>
      <w:tr w:rsidR="00D15E6B">
        <w:trPr>
          <w:jc w:val="center"/>
        </w:trPr>
        <w:tc>
          <w:tcPr>
            <w:tcW w:w="1266" w:type="dxa"/>
            <w:vAlign w:val="center"/>
          </w:tcPr>
          <w:p w:rsidR="00D15E6B" w:rsidRDefault="000C0D72">
            <w:pPr>
              <w:jc w:val="left"/>
            </w:pPr>
            <w:r>
              <w:rPr>
                <w:color w:val="000000"/>
              </w:rPr>
              <w:t>过去三年</w:t>
            </w:r>
          </w:p>
        </w:tc>
        <w:tc>
          <w:tcPr>
            <w:tcW w:w="1267" w:type="dxa"/>
            <w:vAlign w:val="center"/>
          </w:tcPr>
          <w:p w:rsidR="00D15E6B" w:rsidRDefault="000C0D72">
            <w:pPr>
              <w:jc w:val="center"/>
            </w:pPr>
            <w:r>
              <w:rPr>
                <w:color w:val="000000"/>
              </w:rPr>
              <w:t>8.9402%</w:t>
            </w:r>
          </w:p>
        </w:tc>
        <w:tc>
          <w:tcPr>
            <w:tcW w:w="1267" w:type="dxa"/>
            <w:vAlign w:val="center"/>
          </w:tcPr>
          <w:p w:rsidR="00D15E6B" w:rsidRDefault="000C0D72">
            <w:pPr>
              <w:jc w:val="center"/>
            </w:pPr>
            <w:r>
              <w:rPr>
                <w:color w:val="000000"/>
              </w:rPr>
              <w:t>0.0023%</w:t>
            </w:r>
          </w:p>
        </w:tc>
        <w:tc>
          <w:tcPr>
            <w:tcW w:w="1267" w:type="dxa"/>
            <w:vAlign w:val="center"/>
          </w:tcPr>
          <w:p w:rsidR="00D15E6B" w:rsidRDefault="000C0D72">
            <w:pPr>
              <w:jc w:val="center"/>
            </w:pPr>
            <w:r>
              <w:rPr>
                <w:color w:val="000000"/>
              </w:rPr>
              <w:t>1.0510%</w:t>
            </w:r>
          </w:p>
        </w:tc>
        <w:tc>
          <w:tcPr>
            <w:tcW w:w="1267" w:type="dxa"/>
            <w:vAlign w:val="center"/>
          </w:tcPr>
          <w:p w:rsidR="00D15E6B" w:rsidRDefault="000C0D72">
            <w:pPr>
              <w:jc w:val="center"/>
            </w:pPr>
            <w:r>
              <w:rPr>
                <w:color w:val="000000"/>
              </w:rPr>
              <w:t>0.0000%</w:t>
            </w:r>
          </w:p>
        </w:tc>
        <w:tc>
          <w:tcPr>
            <w:tcW w:w="1267" w:type="dxa"/>
            <w:vAlign w:val="center"/>
          </w:tcPr>
          <w:p w:rsidR="00D15E6B" w:rsidRDefault="000C0D72">
            <w:pPr>
              <w:jc w:val="center"/>
            </w:pPr>
            <w:r>
              <w:rPr>
                <w:color w:val="000000"/>
              </w:rPr>
              <w:t>7.8892%</w:t>
            </w:r>
          </w:p>
        </w:tc>
        <w:tc>
          <w:tcPr>
            <w:tcW w:w="1267" w:type="dxa"/>
            <w:vAlign w:val="center"/>
          </w:tcPr>
          <w:p w:rsidR="00D15E6B" w:rsidRDefault="000C0D72">
            <w:pPr>
              <w:jc w:val="center"/>
            </w:pPr>
            <w:r>
              <w:rPr>
                <w:color w:val="000000"/>
              </w:rPr>
              <w:t>0.0023%</w:t>
            </w:r>
          </w:p>
        </w:tc>
      </w:tr>
      <w:tr w:rsidR="00D15E6B">
        <w:trPr>
          <w:jc w:val="center"/>
        </w:trPr>
        <w:tc>
          <w:tcPr>
            <w:tcW w:w="1266" w:type="dxa"/>
            <w:vAlign w:val="center"/>
          </w:tcPr>
          <w:p w:rsidR="00D15E6B" w:rsidRDefault="000C0D72">
            <w:pPr>
              <w:jc w:val="left"/>
            </w:pPr>
            <w:r>
              <w:rPr>
                <w:color w:val="000000"/>
              </w:rPr>
              <w:t>过去五年</w:t>
            </w:r>
          </w:p>
        </w:tc>
        <w:tc>
          <w:tcPr>
            <w:tcW w:w="1267" w:type="dxa"/>
            <w:vAlign w:val="center"/>
          </w:tcPr>
          <w:p w:rsidR="00D15E6B" w:rsidRDefault="000C0D72">
            <w:pPr>
              <w:jc w:val="center"/>
            </w:pPr>
            <w:r>
              <w:rPr>
                <w:color w:val="000000"/>
              </w:rPr>
              <w:t>14.7278%</w:t>
            </w:r>
          </w:p>
        </w:tc>
        <w:tc>
          <w:tcPr>
            <w:tcW w:w="1267" w:type="dxa"/>
            <w:vAlign w:val="center"/>
          </w:tcPr>
          <w:p w:rsidR="00D15E6B" w:rsidRDefault="000C0D72">
            <w:pPr>
              <w:jc w:val="center"/>
            </w:pPr>
            <w:r>
              <w:rPr>
                <w:color w:val="000000"/>
              </w:rPr>
              <w:t>0.0026%</w:t>
            </w:r>
          </w:p>
        </w:tc>
        <w:tc>
          <w:tcPr>
            <w:tcW w:w="1267" w:type="dxa"/>
            <w:vAlign w:val="center"/>
          </w:tcPr>
          <w:p w:rsidR="00D15E6B" w:rsidRDefault="000C0D72">
            <w:pPr>
              <w:jc w:val="center"/>
            </w:pPr>
            <w:r>
              <w:rPr>
                <w:color w:val="000000"/>
              </w:rPr>
              <w:t>1.7519%</w:t>
            </w:r>
          </w:p>
        </w:tc>
        <w:tc>
          <w:tcPr>
            <w:tcW w:w="1267" w:type="dxa"/>
            <w:vAlign w:val="center"/>
          </w:tcPr>
          <w:p w:rsidR="00D15E6B" w:rsidRDefault="000C0D72">
            <w:pPr>
              <w:jc w:val="center"/>
            </w:pPr>
            <w:r>
              <w:rPr>
                <w:color w:val="000000"/>
              </w:rPr>
              <w:t>0.0000%</w:t>
            </w:r>
          </w:p>
        </w:tc>
        <w:tc>
          <w:tcPr>
            <w:tcW w:w="1267" w:type="dxa"/>
            <w:vAlign w:val="center"/>
          </w:tcPr>
          <w:p w:rsidR="00D15E6B" w:rsidRDefault="000C0D72">
            <w:pPr>
              <w:jc w:val="center"/>
            </w:pPr>
            <w:r>
              <w:rPr>
                <w:color w:val="000000"/>
              </w:rPr>
              <w:t>12.9759%</w:t>
            </w:r>
          </w:p>
        </w:tc>
        <w:tc>
          <w:tcPr>
            <w:tcW w:w="1267" w:type="dxa"/>
            <w:vAlign w:val="center"/>
          </w:tcPr>
          <w:p w:rsidR="00D15E6B" w:rsidRDefault="000C0D72">
            <w:pPr>
              <w:jc w:val="center"/>
            </w:pPr>
            <w:r>
              <w:rPr>
                <w:color w:val="000000"/>
              </w:rPr>
              <w:t>0.0026%</w:t>
            </w:r>
          </w:p>
        </w:tc>
      </w:tr>
      <w:tr w:rsidR="00D15E6B">
        <w:trPr>
          <w:jc w:val="center"/>
        </w:trPr>
        <w:tc>
          <w:tcPr>
            <w:tcW w:w="1266" w:type="dxa"/>
            <w:vAlign w:val="center"/>
          </w:tcPr>
          <w:p w:rsidR="00D15E6B" w:rsidRDefault="000C0D72">
            <w:pPr>
              <w:jc w:val="left"/>
            </w:pPr>
            <w:r>
              <w:rPr>
                <w:color w:val="000000"/>
              </w:rPr>
              <w:t>自基金合同生效至今</w:t>
            </w:r>
          </w:p>
        </w:tc>
        <w:tc>
          <w:tcPr>
            <w:tcW w:w="1267" w:type="dxa"/>
            <w:vAlign w:val="center"/>
          </w:tcPr>
          <w:p w:rsidR="00D15E6B" w:rsidRDefault="000C0D72">
            <w:pPr>
              <w:jc w:val="center"/>
            </w:pPr>
            <w:r>
              <w:rPr>
                <w:color w:val="000000"/>
              </w:rPr>
              <w:t>18.3972%</w:t>
            </w:r>
          </w:p>
        </w:tc>
        <w:tc>
          <w:tcPr>
            <w:tcW w:w="1267" w:type="dxa"/>
            <w:vAlign w:val="center"/>
          </w:tcPr>
          <w:p w:rsidR="00D15E6B" w:rsidRDefault="000C0D72">
            <w:pPr>
              <w:jc w:val="center"/>
            </w:pPr>
            <w:r>
              <w:rPr>
                <w:color w:val="000000"/>
              </w:rPr>
              <w:t>0.0042%</w:t>
            </w:r>
          </w:p>
        </w:tc>
        <w:tc>
          <w:tcPr>
            <w:tcW w:w="1267" w:type="dxa"/>
            <w:vAlign w:val="center"/>
          </w:tcPr>
          <w:p w:rsidR="00D15E6B" w:rsidRDefault="000C0D72">
            <w:pPr>
              <w:jc w:val="center"/>
            </w:pPr>
            <w:r>
              <w:rPr>
                <w:color w:val="000000"/>
              </w:rPr>
              <w:t>2.0319%</w:t>
            </w:r>
          </w:p>
        </w:tc>
        <w:tc>
          <w:tcPr>
            <w:tcW w:w="1267" w:type="dxa"/>
            <w:vAlign w:val="center"/>
          </w:tcPr>
          <w:p w:rsidR="00D15E6B" w:rsidRDefault="000C0D72">
            <w:pPr>
              <w:jc w:val="center"/>
            </w:pPr>
            <w:r>
              <w:rPr>
                <w:color w:val="000000"/>
              </w:rPr>
              <w:t>0.0000%</w:t>
            </w:r>
          </w:p>
        </w:tc>
        <w:tc>
          <w:tcPr>
            <w:tcW w:w="1267" w:type="dxa"/>
            <w:vAlign w:val="center"/>
          </w:tcPr>
          <w:p w:rsidR="00D15E6B" w:rsidRDefault="000C0D72">
            <w:pPr>
              <w:jc w:val="center"/>
            </w:pPr>
            <w:r>
              <w:rPr>
                <w:color w:val="000000"/>
              </w:rPr>
              <w:t>16.3653%</w:t>
            </w:r>
          </w:p>
        </w:tc>
        <w:tc>
          <w:tcPr>
            <w:tcW w:w="1267" w:type="dxa"/>
            <w:vAlign w:val="center"/>
          </w:tcPr>
          <w:p w:rsidR="00D15E6B" w:rsidRDefault="000C0D72">
            <w:pPr>
              <w:jc w:val="center"/>
            </w:pPr>
            <w:r>
              <w:rPr>
                <w:color w:val="000000"/>
              </w:rPr>
              <w:t>0.0042%</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交银现金宝货币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D15E6B">
        <w:trPr>
          <w:jc w:val="center"/>
        </w:trPr>
        <w:tc>
          <w:tcPr>
            <w:tcW w:w="1266" w:type="dxa"/>
            <w:vAlign w:val="center"/>
          </w:tcPr>
          <w:p w:rsidR="00D15E6B" w:rsidRDefault="000C0D72">
            <w:pPr>
              <w:jc w:val="left"/>
            </w:pPr>
            <w:r>
              <w:rPr>
                <w:color w:val="000000"/>
              </w:rPr>
              <w:t>过去三个月</w:t>
            </w:r>
          </w:p>
        </w:tc>
        <w:tc>
          <w:tcPr>
            <w:tcW w:w="1267" w:type="dxa"/>
            <w:vAlign w:val="center"/>
          </w:tcPr>
          <w:p w:rsidR="00D15E6B" w:rsidRDefault="000C0D72">
            <w:pPr>
              <w:jc w:val="center"/>
            </w:pPr>
            <w:r>
              <w:rPr>
                <w:color w:val="000000"/>
              </w:rPr>
              <w:t>0.5275%</w:t>
            </w:r>
          </w:p>
        </w:tc>
        <w:tc>
          <w:tcPr>
            <w:tcW w:w="1267" w:type="dxa"/>
            <w:vAlign w:val="center"/>
          </w:tcPr>
          <w:p w:rsidR="00D15E6B" w:rsidRDefault="000C0D72">
            <w:pPr>
              <w:jc w:val="center"/>
            </w:pPr>
            <w:r>
              <w:rPr>
                <w:color w:val="000000"/>
              </w:rPr>
              <w:t>0.0012%</w:t>
            </w:r>
          </w:p>
        </w:tc>
        <w:tc>
          <w:tcPr>
            <w:tcW w:w="1267" w:type="dxa"/>
            <w:vAlign w:val="center"/>
          </w:tcPr>
          <w:p w:rsidR="00D15E6B" w:rsidRDefault="000C0D72">
            <w:pPr>
              <w:jc w:val="center"/>
            </w:pPr>
            <w:r>
              <w:rPr>
                <w:color w:val="000000"/>
              </w:rPr>
              <w:t>0.0873%</w:t>
            </w:r>
          </w:p>
        </w:tc>
        <w:tc>
          <w:tcPr>
            <w:tcW w:w="1267" w:type="dxa"/>
            <w:vAlign w:val="center"/>
          </w:tcPr>
          <w:p w:rsidR="00D15E6B" w:rsidRDefault="000C0D72">
            <w:pPr>
              <w:jc w:val="center"/>
            </w:pPr>
            <w:r>
              <w:rPr>
                <w:color w:val="000000"/>
              </w:rPr>
              <w:t>0.0000%</w:t>
            </w:r>
          </w:p>
        </w:tc>
        <w:tc>
          <w:tcPr>
            <w:tcW w:w="1267" w:type="dxa"/>
            <w:vAlign w:val="center"/>
          </w:tcPr>
          <w:p w:rsidR="00D15E6B" w:rsidRDefault="000C0D72">
            <w:pPr>
              <w:jc w:val="center"/>
            </w:pPr>
            <w:r>
              <w:rPr>
                <w:color w:val="000000"/>
              </w:rPr>
              <w:t>0.4402%</w:t>
            </w:r>
          </w:p>
        </w:tc>
        <w:tc>
          <w:tcPr>
            <w:tcW w:w="1267" w:type="dxa"/>
            <w:vAlign w:val="center"/>
          </w:tcPr>
          <w:p w:rsidR="00D15E6B" w:rsidRDefault="000C0D72">
            <w:pPr>
              <w:jc w:val="center"/>
            </w:pPr>
            <w:r>
              <w:rPr>
                <w:color w:val="000000"/>
              </w:rPr>
              <w:t>0.0012%</w:t>
            </w:r>
          </w:p>
        </w:tc>
      </w:tr>
      <w:tr w:rsidR="00D15E6B">
        <w:trPr>
          <w:jc w:val="center"/>
        </w:trPr>
        <w:tc>
          <w:tcPr>
            <w:tcW w:w="1266" w:type="dxa"/>
            <w:vAlign w:val="center"/>
          </w:tcPr>
          <w:p w:rsidR="00D15E6B" w:rsidRDefault="000C0D72">
            <w:pPr>
              <w:jc w:val="left"/>
            </w:pPr>
            <w:r>
              <w:rPr>
                <w:color w:val="000000"/>
              </w:rPr>
              <w:t>过去六个月</w:t>
            </w:r>
          </w:p>
        </w:tc>
        <w:tc>
          <w:tcPr>
            <w:tcW w:w="1267" w:type="dxa"/>
            <w:vAlign w:val="center"/>
          </w:tcPr>
          <w:p w:rsidR="00D15E6B" w:rsidRDefault="000C0D72">
            <w:pPr>
              <w:jc w:val="center"/>
            </w:pPr>
            <w:r>
              <w:rPr>
                <w:color w:val="000000"/>
              </w:rPr>
              <w:t>1.2036%</w:t>
            </w:r>
          </w:p>
        </w:tc>
        <w:tc>
          <w:tcPr>
            <w:tcW w:w="1267" w:type="dxa"/>
            <w:vAlign w:val="center"/>
          </w:tcPr>
          <w:p w:rsidR="00D15E6B" w:rsidRDefault="000C0D72">
            <w:pPr>
              <w:jc w:val="center"/>
            </w:pPr>
            <w:r>
              <w:rPr>
                <w:color w:val="000000"/>
              </w:rPr>
              <w:t>0.0015%</w:t>
            </w:r>
          </w:p>
        </w:tc>
        <w:tc>
          <w:tcPr>
            <w:tcW w:w="1267" w:type="dxa"/>
            <w:vAlign w:val="center"/>
          </w:tcPr>
          <w:p w:rsidR="00D15E6B" w:rsidRDefault="000C0D72">
            <w:pPr>
              <w:jc w:val="center"/>
            </w:pPr>
            <w:r>
              <w:rPr>
                <w:color w:val="000000"/>
              </w:rPr>
              <w:t>0.1745%</w:t>
            </w:r>
          </w:p>
        </w:tc>
        <w:tc>
          <w:tcPr>
            <w:tcW w:w="1267" w:type="dxa"/>
            <w:vAlign w:val="center"/>
          </w:tcPr>
          <w:p w:rsidR="00D15E6B" w:rsidRDefault="000C0D72">
            <w:pPr>
              <w:jc w:val="center"/>
            </w:pPr>
            <w:r>
              <w:rPr>
                <w:color w:val="000000"/>
              </w:rPr>
              <w:t>0.0000%</w:t>
            </w:r>
          </w:p>
        </w:tc>
        <w:tc>
          <w:tcPr>
            <w:tcW w:w="1267" w:type="dxa"/>
            <w:vAlign w:val="center"/>
          </w:tcPr>
          <w:p w:rsidR="00D15E6B" w:rsidRDefault="000C0D72">
            <w:pPr>
              <w:jc w:val="center"/>
            </w:pPr>
            <w:r>
              <w:rPr>
                <w:color w:val="000000"/>
              </w:rPr>
              <w:t>1.0291%</w:t>
            </w:r>
          </w:p>
        </w:tc>
        <w:tc>
          <w:tcPr>
            <w:tcW w:w="1267" w:type="dxa"/>
            <w:vAlign w:val="center"/>
          </w:tcPr>
          <w:p w:rsidR="00D15E6B" w:rsidRDefault="000C0D72">
            <w:pPr>
              <w:jc w:val="center"/>
            </w:pPr>
            <w:r>
              <w:rPr>
                <w:color w:val="000000"/>
              </w:rPr>
              <w:t>0.0015%</w:t>
            </w:r>
          </w:p>
        </w:tc>
      </w:tr>
      <w:tr w:rsidR="00D15E6B">
        <w:trPr>
          <w:jc w:val="center"/>
        </w:trPr>
        <w:tc>
          <w:tcPr>
            <w:tcW w:w="1266" w:type="dxa"/>
            <w:vAlign w:val="center"/>
          </w:tcPr>
          <w:p w:rsidR="00D15E6B" w:rsidRDefault="000C0D72">
            <w:pPr>
              <w:jc w:val="left"/>
            </w:pPr>
            <w:r>
              <w:rPr>
                <w:color w:val="000000"/>
              </w:rPr>
              <w:t>过去一年</w:t>
            </w:r>
          </w:p>
        </w:tc>
        <w:tc>
          <w:tcPr>
            <w:tcW w:w="1267" w:type="dxa"/>
            <w:vAlign w:val="center"/>
          </w:tcPr>
          <w:p w:rsidR="00D15E6B" w:rsidRDefault="000C0D72">
            <w:pPr>
              <w:jc w:val="center"/>
            </w:pPr>
            <w:r>
              <w:rPr>
                <w:color w:val="000000"/>
              </w:rPr>
              <w:t>2.5596%</w:t>
            </w:r>
          </w:p>
        </w:tc>
        <w:tc>
          <w:tcPr>
            <w:tcW w:w="1267" w:type="dxa"/>
            <w:vAlign w:val="center"/>
          </w:tcPr>
          <w:p w:rsidR="00D15E6B" w:rsidRDefault="000C0D72">
            <w:pPr>
              <w:jc w:val="center"/>
            </w:pPr>
            <w:r>
              <w:rPr>
                <w:color w:val="000000"/>
              </w:rPr>
              <w:t>0.0014%</w:t>
            </w:r>
          </w:p>
        </w:tc>
        <w:tc>
          <w:tcPr>
            <w:tcW w:w="1267" w:type="dxa"/>
            <w:vAlign w:val="center"/>
          </w:tcPr>
          <w:p w:rsidR="00D15E6B" w:rsidRDefault="000C0D72">
            <w:pPr>
              <w:jc w:val="center"/>
            </w:pPr>
            <w:r>
              <w:rPr>
                <w:color w:val="000000"/>
              </w:rPr>
              <w:t>0.3510%</w:t>
            </w:r>
          </w:p>
        </w:tc>
        <w:tc>
          <w:tcPr>
            <w:tcW w:w="1267" w:type="dxa"/>
            <w:vAlign w:val="center"/>
          </w:tcPr>
          <w:p w:rsidR="00D15E6B" w:rsidRDefault="000C0D72">
            <w:pPr>
              <w:jc w:val="center"/>
            </w:pPr>
            <w:r>
              <w:rPr>
                <w:color w:val="000000"/>
              </w:rPr>
              <w:t>0.0000%</w:t>
            </w:r>
          </w:p>
        </w:tc>
        <w:tc>
          <w:tcPr>
            <w:tcW w:w="1267" w:type="dxa"/>
            <w:vAlign w:val="center"/>
          </w:tcPr>
          <w:p w:rsidR="00D15E6B" w:rsidRDefault="000C0D72">
            <w:pPr>
              <w:jc w:val="center"/>
            </w:pPr>
            <w:r>
              <w:rPr>
                <w:color w:val="000000"/>
              </w:rPr>
              <w:t>2.2086%</w:t>
            </w:r>
          </w:p>
        </w:tc>
        <w:tc>
          <w:tcPr>
            <w:tcW w:w="1267" w:type="dxa"/>
            <w:vAlign w:val="center"/>
          </w:tcPr>
          <w:p w:rsidR="00D15E6B" w:rsidRDefault="000C0D72">
            <w:pPr>
              <w:jc w:val="center"/>
            </w:pPr>
            <w:r>
              <w:rPr>
                <w:color w:val="000000"/>
              </w:rPr>
              <w:t>0.0014%</w:t>
            </w:r>
          </w:p>
        </w:tc>
      </w:tr>
      <w:tr w:rsidR="00D15E6B">
        <w:trPr>
          <w:jc w:val="center"/>
        </w:trPr>
        <w:tc>
          <w:tcPr>
            <w:tcW w:w="1266" w:type="dxa"/>
            <w:vAlign w:val="center"/>
          </w:tcPr>
          <w:p w:rsidR="00D15E6B" w:rsidRDefault="000C0D72">
            <w:pPr>
              <w:jc w:val="left"/>
            </w:pPr>
            <w:r>
              <w:rPr>
                <w:color w:val="000000"/>
              </w:rPr>
              <w:t>过去三年</w:t>
            </w:r>
          </w:p>
        </w:tc>
        <w:tc>
          <w:tcPr>
            <w:tcW w:w="1267" w:type="dxa"/>
            <w:vAlign w:val="center"/>
          </w:tcPr>
          <w:p w:rsidR="00D15E6B" w:rsidRDefault="000C0D72">
            <w:pPr>
              <w:jc w:val="center"/>
            </w:pPr>
            <w:r>
              <w:rPr>
                <w:color w:val="000000"/>
              </w:rPr>
              <w:t>9.7112%</w:t>
            </w:r>
          </w:p>
        </w:tc>
        <w:tc>
          <w:tcPr>
            <w:tcW w:w="1267" w:type="dxa"/>
            <w:vAlign w:val="center"/>
          </w:tcPr>
          <w:p w:rsidR="00D15E6B" w:rsidRDefault="000C0D72">
            <w:pPr>
              <w:jc w:val="center"/>
            </w:pPr>
            <w:r>
              <w:rPr>
                <w:color w:val="000000"/>
              </w:rPr>
              <w:t>0.0023%</w:t>
            </w:r>
          </w:p>
        </w:tc>
        <w:tc>
          <w:tcPr>
            <w:tcW w:w="1267" w:type="dxa"/>
            <w:vAlign w:val="center"/>
          </w:tcPr>
          <w:p w:rsidR="00D15E6B" w:rsidRDefault="000C0D72">
            <w:pPr>
              <w:jc w:val="center"/>
            </w:pPr>
            <w:r>
              <w:rPr>
                <w:color w:val="000000"/>
              </w:rPr>
              <w:t>1.0510%</w:t>
            </w:r>
          </w:p>
        </w:tc>
        <w:tc>
          <w:tcPr>
            <w:tcW w:w="1267" w:type="dxa"/>
            <w:vAlign w:val="center"/>
          </w:tcPr>
          <w:p w:rsidR="00D15E6B" w:rsidRDefault="000C0D72">
            <w:pPr>
              <w:jc w:val="center"/>
            </w:pPr>
            <w:r>
              <w:rPr>
                <w:color w:val="000000"/>
              </w:rPr>
              <w:t>0.0000%</w:t>
            </w:r>
          </w:p>
        </w:tc>
        <w:tc>
          <w:tcPr>
            <w:tcW w:w="1267" w:type="dxa"/>
            <w:vAlign w:val="center"/>
          </w:tcPr>
          <w:p w:rsidR="00D15E6B" w:rsidRDefault="000C0D72">
            <w:pPr>
              <w:jc w:val="center"/>
            </w:pPr>
            <w:r>
              <w:rPr>
                <w:color w:val="000000"/>
              </w:rPr>
              <w:t>8.6602%</w:t>
            </w:r>
          </w:p>
        </w:tc>
        <w:tc>
          <w:tcPr>
            <w:tcW w:w="1267" w:type="dxa"/>
            <w:vAlign w:val="center"/>
          </w:tcPr>
          <w:p w:rsidR="00D15E6B" w:rsidRDefault="000C0D72">
            <w:pPr>
              <w:jc w:val="center"/>
            </w:pPr>
            <w:r>
              <w:rPr>
                <w:color w:val="000000"/>
              </w:rPr>
              <w:t>0.0023%</w:t>
            </w:r>
          </w:p>
        </w:tc>
      </w:tr>
      <w:tr w:rsidR="00D15E6B">
        <w:trPr>
          <w:jc w:val="center"/>
        </w:trPr>
        <w:tc>
          <w:tcPr>
            <w:tcW w:w="1266" w:type="dxa"/>
            <w:vAlign w:val="center"/>
          </w:tcPr>
          <w:p w:rsidR="00D15E6B" w:rsidRDefault="000C0D72">
            <w:pPr>
              <w:jc w:val="left"/>
            </w:pPr>
            <w:r>
              <w:rPr>
                <w:color w:val="000000"/>
              </w:rPr>
              <w:t>自基金合同生效至今</w:t>
            </w:r>
          </w:p>
        </w:tc>
        <w:tc>
          <w:tcPr>
            <w:tcW w:w="1267" w:type="dxa"/>
            <w:vAlign w:val="center"/>
          </w:tcPr>
          <w:p w:rsidR="00D15E6B" w:rsidRDefault="000C0D72">
            <w:pPr>
              <w:jc w:val="center"/>
            </w:pPr>
            <w:r>
              <w:rPr>
                <w:color w:val="000000"/>
              </w:rPr>
              <w:t>12.2474%</w:t>
            </w:r>
          </w:p>
        </w:tc>
        <w:tc>
          <w:tcPr>
            <w:tcW w:w="1267" w:type="dxa"/>
            <w:vAlign w:val="center"/>
          </w:tcPr>
          <w:p w:rsidR="00D15E6B" w:rsidRDefault="000C0D72">
            <w:pPr>
              <w:jc w:val="center"/>
            </w:pPr>
            <w:r>
              <w:rPr>
                <w:color w:val="000000"/>
              </w:rPr>
              <w:t>0.0022%</w:t>
            </w:r>
          </w:p>
        </w:tc>
        <w:tc>
          <w:tcPr>
            <w:tcW w:w="1267" w:type="dxa"/>
            <w:vAlign w:val="center"/>
          </w:tcPr>
          <w:p w:rsidR="00D15E6B" w:rsidRDefault="000C0D72">
            <w:pPr>
              <w:jc w:val="center"/>
            </w:pPr>
            <w:r>
              <w:rPr>
                <w:color w:val="000000"/>
              </w:rPr>
              <w:t>1.3300%</w:t>
            </w:r>
          </w:p>
        </w:tc>
        <w:tc>
          <w:tcPr>
            <w:tcW w:w="1267" w:type="dxa"/>
            <w:vAlign w:val="center"/>
          </w:tcPr>
          <w:p w:rsidR="00D15E6B" w:rsidRDefault="000C0D72">
            <w:pPr>
              <w:jc w:val="center"/>
            </w:pPr>
            <w:r>
              <w:rPr>
                <w:color w:val="000000"/>
              </w:rPr>
              <w:t>0.0000%</w:t>
            </w:r>
          </w:p>
        </w:tc>
        <w:tc>
          <w:tcPr>
            <w:tcW w:w="1267" w:type="dxa"/>
            <w:vAlign w:val="center"/>
          </w:tcPr>
          <w:p w:rsidR="00D15E6B" w:rsidRDefault="000C0D72">
            <w:pPr>
              <w:jc w:val="center"/>
            </w:pPr>
            <w:r>
              <w:rPr>
                <w:color w:val="000000"/>
              </w:rPr>
              <w:t>10.9174%</w:t>
            </w:r>
          </w:p>
        </w:tc>
        <w:tc>
          <w:tcPr>
            <w:tcW w:w="1267" w:type="dxa"/>
            <w:vAlign w:val="center"/>
          </w:tcPr>
          <w:p w:rsidR="00D15E6B" w:rsidRDefault="000C0D72">
            <w:pPr>
              <w:jc w:val="center"/>
            </w:pPr>
            <w:r>
              <w:rPr>
                <w:color w:val="000000"/>
              </w:rPr>
              <w:t>0.0022%</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交银施罗德现金宝货币市场基金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2014</w:t>
      </w:r>
      <w:r w:rsidR="00D87D00" w:rsidRPr="000E4C40">
        <w:rPr>
          <w:color w:val="000000"/>
          <w:kern w:val="0"/>
          <w:sz w:val="24"/>
        </w:rPr>
        <w:t>年</w:t>
      </w:r>
      <w:r w:rsidR="00D87D00" w:rsidRPr="000E4C40">
        <w:rPr>
          <w:color w:val="000000"/>
          <w:kern w:val="0"/>
          <w:sz w:val="24"/>
        </w:rPr>
        <w:t>9</w:t>
      </w:r>
      <w:r w:rsidR="00D87D00" w:rsidRPr="000E4C40">
        <w:rPr>
          <w:color w:val="000000"/>
          <w:kern w:val="0"/>
          <w:sz w:val="24"/>
        </w:rPr>
        <w:t>月</w:t>
      </w:r>
      <w:r w:rsidR="00D87D00" w:rsidRPr="000E4C40">
        <w:rPr>
          <w:color w:val="000000"/>
          <w:kern w:val="0"/>
          <w:sz w:val="24"/>
        </w:rPr>
        <w:t>12</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2020</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交银现金宝货币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12</w:t>
      </w:r>
      <w:r w:rsidRPr="000E4C40">
        <w:rPr>
          <w:color w:val="000000"/>
          <w:sz w:val="24"/>
        </w:rPr>
        <w:t>日至</w:t>
      </w:r>
      <w:r w:rsidRPr="000E4C40">
        <w:rPr>
          <w:color w:val="000000"/>
          <w:sz w:val="24"/>
        </w:rPr>
        <w:t>2020</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交银现金宝货币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注：本基金自</w:t>
      </w:r>
      <w:r w:rsidRPr="000E4C40">
        <w:rPr>
          <w:color w:val="000000"/>
          <w:sz w:val="24"/>
        </w:rPr>
        <w:t>2016</w:t>
      </w:r>
      <w:r w:rsidRPr="000E4C40">
        <w:rPr>
          <w:color w:val="000000"/>
          <w:sz w:val="24"/>
        </w:rPr>
        <w:t>年</w:t>
      </w:r>
      <w:r w:rsidRPr="000E4C40">
        <w:rPr>
          <w:color w:val="000000"/>
          <w:sz w:val="24"/>
        </w:rPr>
        <w:t>8</w:t>
      </w:r>
      <w:r w:rsidRPr="000E4C40">
        <w:rPr>
          <w:color w:val="000000"/>
          <w:sz w:val="24"/>
        </w:rPr>
        <w:t>月</w:t>
      </w:r>
      <w:r w:rsidRPr="000E4C40">
        <w:rPr>
          <w:color w:val="000000"/>
          <w:sz w:val="24"/>
        </w:rPr>
        <w:t>15</w:t>
      </w:r>
      <w:r w:rsidRPr="000E4C40">
        <w:rPr>
          <w:color w:val="000000"/>
          <w:sz w:val="24"/>
        </w:rPr>
        <w:t>日起，开始销售</w:t>
      </w:r>
      <w:r w:rsidRPr="000E4C40">
        <w:rPr>
          <w:color w:val="000000"/>
          <w:sz w:val="24"/>
        </w:rPr>
        <w:t>E</w:t>
      </w:r>
      <w:r w:rsidRPr="000E4C40">
        <w:rPr>
          <w:color w:val="000000"/>
          <w:sz w:val="24"/>
        </w:rPr>
        <w:t>类份额，投资者提交的申购申请于</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日被确认并将有效份额登记在册。图示日期为</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日至</w:t>
      </w:r>
      <w:r w:rsidRPr="000E4C40">
        <w:rPr>
          <w:color w:val="000000"/>
          <w:sz w:val="24"/>
        </w:rPr>
        <w:t>2020</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D15E6B">
        <w:trPr>
          <w:jc w:val="center"/>
        </w:trPr>
        <w:tc>
          <w:tcPr>
            <w:tcW w:w="945" w:type="dxa"/>
            <w:vAlign w:val="center"/>
          </w:tcPr>
          <w:p w:rsidR="00D15E6B" w:rsidRDefault="000C0D72">
            <w:pPr>
              <w:jc w:val="center"/>
            </w:pPr>
            <w:r>
              <w:rPr>
                <w:color w:val="000000"/>
                <w:sz w:val="24"/>
              </w:rPr>
              <w:t>季参平</w:t>
            </w:r>
          </w:p>
        </w:tc>
        <w:tc>
          <w:tcPr>
            <w:tcW w:w="1589" w:type="dxa"/>
            <w:vAlign w:val="center"/>
          </w:tcPr>
          <w:p w:rsidR="00D15E6B" w:rsidRDefault="000C0D72">
            <w:pPr>
              <w:jc w:val="center"/>
            </w:pPr>
            <w:r>
              <w:rPr>
                <w:color w:val="000000"/>
                <w:sz w:val="24"/>
              </w:rPr>
              <w:t>交银货币、交银裕通纯债债券、交银现金宝货币、交银天鑫宝货币的基金经理</w:t>
            </w:r>
          </w:p>
        </w:tc>
        <w:tc>
          <w:tcPr>
            <w:tcW w:w="1478" w:type="dxa"/>
            <w:vAlign w:val="center"/>
          </w:tcPr>
          <w:p w:rsidR="00D15E6B" w:rsidRDefault="000C0D72">
            <w:pPr>
              <w:jc w:val="center"/>
            </w:pPr>
            <w:r>
              <w:rPr>
                <w:color w:val="000000"/>
                <w:sz w:val="24"/>
              </w:rPr>
              <w:t>2019-07-26</w:t>
            </w:r>
          </w:p>
        </w:tc>
        <w:tc>
          <w:tcPr>
            <w:tcW w:w="1478" w:type="dxa"/>
            <w:vAlign w:val="center"/>
          </w:tcPr>
          <w:p w:rsidR="00D15E6B" w:rsidRDefault="000C0D72">
            <w:pPr>
              <w:jc w:val="center"/>
            </w:pPr>
            <w:r>
              <w:rPr>
                <w:color w:val="000000"/>
                <w:sz w:val="24"/>
              </w:rPr>
              <w:t>-</w:t>
            </w:r>
          </w:p>
        </w:tc>
        <w:tc>
          <w:tcPr>
            <w:tcW w:w="986" w:type="dxa"/>
            <w:vAlign w:val="center"/>
          </w:tcPr>
          <w:p w:rsidR="00D15E6B" w:rsidRDefault="000C0D72">
            <w:pPr>
              <w:jc w:val="center"/>
            </w:pPr>
            <w:r>
              <w:rPr>
                <w:color w:val="000000"/>
                <w:sz w:val="24"/>
              </w:rPr>
              <w:t>8</w:t>
            </w:r>
            <w:r>
              <w:rPr>
                <w:color w:val="000000"/>
                <w:sz w:val="24"/>
              </w:rPr>
              <w:t>年</w:t>
            </w:r>
          </w:p>
        </w:tc>
        <w:tc>
          <w:tcPr>
            <w:tcW w:w="2392" w:type="dxa"/>
            <w:vAlign w:val="center"/>
          </w:tcPr>
          <w:p w:rsidR="00D15E6B" w:rsidRDefault="000C0D72">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D15E6B" w:rsidRDefault="000C0D7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15E6B" w:rsidRDefault="000C0D7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D15E6B" w:rsidRDefault="000C0D7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D15E6B" w:rsidRDefault="000C0D72">
      <w:pPr>
        <w:spacing w:before="29" w:line="288" w:lineRule="auto"/>
        <w:ind w:firstLineChars="200" w:firstLine="480"/>
        <w:rPr>
          <w:color w:val="000000"/>
          <w:sz w:val="24"/>
        </w:rPr>
      </w:pPr>
      <w:r>
        <w:rPr>
          <w:color w:val="000000"/>
          <w:sz w:val="24"/>
        </w:rPr>
        <w:t>本报告期内，货币市场在总量适度的货币政策基调下边际收紧，货币市场利率呈上行态势。具体来看，四月央行决定对中小银行实施定向降准，同时调降超额准备金利率从</w:t>
      </w:r>
      <w:r>
        <w:rPr>
          <w:color w:val="000000"/>
          <w:sz w:val="24"/>
        </w:rPr>
        <w:t>0.72%</w:t>
      </w:r>
      <w:r>
        <w:rPr>
          <w:color w:val="000000"/>
          <w:sz w:val="24"/>
        </w:rPr>
        <w:t>至</w:t>
      </w:r>
      <w:r>
        <w:rPr>
          <w:color w:val="000000"/>
          <w:sz w:val="24"/>
        </w:rPr>
        <w:t>0.35%</w:t>
      </w:r>
      <w:r>
        <w:rPr>
          <w:color w:val="000000"/>
          <w:sz w:val="24"/>
        </w:rPr>
        <w:t>，月内资金利率下行明显，隔夜利率一度低至</w:t>
      </w:r>
      <w:r>
        <w:rPr>
          <w:color w:val="000000"/>
          <w:sz w:val="24"/>
        </w:rPr>
        <w:t>0.80%</w:t>
      </w:r>
      <w:r>
        <w:rPr>
          <w:color w:val="000000"/>
          <w:sz w:val="24"/>
        </w:rPr>
        <w:t>的水平，创</w:t>
      </w:r>
      <w:r>
        <w:rPr>
          <w:color w:val="000000"/>
          <w:sz w:val="24"/>
        </w:rPr>
        <w:t>2014</w:t>
      </w:r>
      <w:r>
        <w:rPr>
          <w:color w:val="000000"/>
          <w:sz w:val="24"/>
        </w:rPr>
        <w:t>年以来新低。五月初延续了四月较为宽松的资金利率情况，随后央行缩量续作</w:t>
      </w:r>
      <w:r>
        <w:rPr>
          <w:color w:val="000000"/>
          <w:sz w:val="24"/>
        </w:rPr>
        <w:t>MLF</w:t>
      </w:r>
      <w:r>
        <w:rPr>
          <w:color w:val="000000"/>
          <w:sz w:val="24"/>
        </w:rPr>
        <w:t>并未调降利率，开启了货币市场利率上行的进程。五月最后一周资金利率大幅上行，央行重启逆回购操作，但受利率债发行量较大、企业所得税汇算清缴等因素的影响，隔夜和七天利率均回到</w:t>
      </w:r>
      <w:r>
        <w:rPr>
          <w:color w:val="000000"/>
          <w:sz w:val="24"/>
        </w:rPr>
        <w:t>2%</w:t>
      </w:r>
      <w:r>
        <w:rPr>
          <w:color w:val="000000"/>
          <w:sz w:val="24"/>
        </w:rPr>
        <w:t>以上。六月货币市场利率中枢</w:t>
      </w:r>
      <w:r>
        <w:rPr>
          <w:color w:val="000000"/>
          <w:sz w:val="24"/>
        </w:rPr>
        <w:t>继续抬升，央行从总量目标逐步转向结构性目标：打击资金套利和空转行为，使得资金面再次趋紧，</w:t>
      </w:r>
      <w:r>
        <w:rPr>
          <w:color w:val="000000"/>
          <w:sz w:val="24"/>
        </w:rPr>
        <w:t>DR007</w:t>
      </w:r>
      <w:r>
        <w:rPr>
          <w:color w:val="000000"/>
          <w:sz w:val="24"/>
        </w:rPr>
        <w:t>上行至</w:t>
      </w:r>
      <w:r>
        <w:rPr>
          <w:color w:val="000000"/>
          <w:sz w:val="24"/>
        </w:rPr>
        <w:t>1.9%</w:t>
      </w:r>
      <w:r>
        <w:rPr>
          <w:color w:val="000000"/>
          <w:sz w:val="24"/>
        </w:rPr>
        <w:t>上方。六月共有两笔</w:t>
      </w:r>
      <w:r>
        <w:rPr>
          <w:color w:val="000000"/>
          <w:sz w:val="24"/>
        </w:rPr>
        <w:t>MLF</w:t>
      </w:r>
      <w:r>
        <w:rPr>
          <w:color w:val="000000"/>
          <w:sz w:val="24"/>
        </w:rPr>
        <w:t>到期合计</w:t>
      </w:r>
      <w:r>
        <w:rPr>
          <w:color w:val="000000"/>
          <w:sz w:val="24"/>
        </w:rPr>
        <w:t>7400</w:t>
      </w:r>
      <w:r>
        <w:rPr>
          <w:color w:val="000000"/>
          <w:sz w:val="24"/>
        </w:rPr>
        <w:t>亿，央行于月中一次性续作</w:t>
      </w:r>
      <w:r>
        <w:rPr>
          <w:color w:val="000000"/>
          <w:sz w:val="24"/>
        </w:rPr>
        <w:t>2000</w:t>
      </w:r>
      <w:r>
        <w:rPr>
          <w:color w:val="000000"/>
          <w:sz w:val="24"/>
        </w:rPr>
        <w:t>亿元，延续量缩价平的节奏，而</w:t>
      </w:r>
      <w:r>
        <w:rPr>
          <w:color w:val="000000"/>
          <w:sz w:val="24"/>
        </w:rPr>
        <w:t>DR007</w:t>
      </w:r>
      <w:r>
        <w:rPr>
          <w:color w:val="000000"/>
          <w:sz w:val="24"/>
        </w:rPr>
        <w:t>也持续逼近七天逆回购利率水平</w:t>
      </w:r>
      <w:r>
        <w:rPr>
          <w:color w:val="000000"/>
          <w:sz w:val="24"/>
        </w:rPr>
        <w:t>2.2%</w:t>
      </w:r>
      <w:r>
        <w:rPr>
          <w:color w:val="000000"/>
          <w:sz w:val="24"/>
        </w:rPr>
        <w:t>，</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日收盘报价</w:t>
      </w:r>
      <w:r>
        <w:rPr>
          <w:color w:val="000000"/>
          <w:sz w:val="24"/>
        </w:rPr>
        <w:t>2.30%</w:t>
      </w:r>
      <w:r>
        <w:rPr>
          <w:color w:val="000000"/>
          <w:sz w:val="24"/>
        </w:rPr>
        <w:t>。存单存款市场受资金面持续收紧和商业银行存单到期量较大，收益率上行幅度明显，国有股份制银行在</w:t>
      </w:r>
      <w:r>
        <w:rPr>
          <w:color w:val="000000"/>
          <w:sz w:val="24"/>
        </w:rPr>
        <w:t>1.40%-2.15%</w:t>
      </w:r>
      <w:r>
        <w:rPr>
          <w:color w:val="000000"/>
          <w:sz w:val="24"/>
        </w:rPr>
        <w:t>之间募集三月期存单。报告期内，三个月上海银行间拆借利率上行约</w:t>
      </w:r>
      <w:r>
        <w:rPr>
          <w:color w:val="000000"/>
          <w:sz w:val="24"/>
        </w:rPr>
        <w:t>19bps</w:t>
      </w:r>
      <w:r>
        <w:rPr>
          <w:color w:val="000000"/>
          <w:sz w:val="24"/>
        </w:rPr>
        <w:t>到</w:t>
      </w:r>
      <w:r>
        <w:rPr>
          <w:color w:val="000000"/>
          <w:sz w:val="24"/>
        </w:rPr>
        <w:t>2.126%</w:t>
      </w:r>
      <w:r>
        <w:rPr>
          <w:color w:val="000000"/>
          <w:sz w:val="24"/>
        </w:rPr>
        <w:t>。</w:t>
      </w:r>
    </w:p>
    <w:p w:rsidR="00D15E6B" w:rsidRDefault="000C0D72">
      <w:pPr>
        <w:spacing w:before="29" w:line="288" w:lineRule="auto"/>
        <w:ind w:firstLineChars="200" w:firstLine="480"/>
        <w:rPr>
          <w:color w:val="000000"/>
          <w:sz w:val="24"/>
        </w:rPr>
      </w:pPr>
      <w:r>
        <w:rPr>
          <w:color w:val="000000"/>
          <w:sz w:val="24"/>
        </w:rPr>
        <w:t>基金操作方面</w:t>
      </w:r>
      <w:r>
        <w:rPr>
          <w:color w:val="000000"/>
          <w:sz w:val="24"/>
        </w:rPr>
        <w:t>，我们维持低杠杆、短久期的操作思路，多投资于估值波动较小的银行存款与回购等，组合整体流动性良好。六月末我们视组合流动性和市场情况，增配了高评级的同业存单、同业存款等，提高组合收益水平。</w:t>
      </w:r>
    </w:p>
    <w:p w:rsidR="00D15E6B" w:rsidRDefault="000C0D72">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三季度，我们将密切关注全球疫情发展和国内疫情反复对中国经济的影响，观察央行总量适度下货币政策的边际变化和财政政策发力的情况，并警惕下半年中美贸易摩擦可能出现的反复。我们认为，在全球疫情没有完全得到控制，且疫情对经济的拖累没有彻底出清前，货币市场不存在大幅收紧的条件。</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“3.1</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 xml:space="preserve">“3.2.1 </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11,610,914,896.92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44.17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11,580,914,896.92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44.05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0.11</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4,772,333,038.49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18.15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9,801,044,446.31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37.28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103,866,476.35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0.40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26,288,158,858.07</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10.51</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2,117,214,661.39</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8.76</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113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88</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21.93</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8.76</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12.87</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13.09</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4.52</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55.98</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center"/>
              <w:rPr>
                <w:color w:val="000000"/>
                <w:sz w:val="24"/>
              </w:rPr>
            </w:pPr>
            <w:r>
              <w:rPr>
                <w:rFonts w:hint="eastAsia"/>
                <w:color w:val="000000"/>
                <w:sz w:val="24"/>
              </w:rPr>
              <w:t>6</w:t>
            </w:r>
          </w:p>
        </w:tc>
        <w:tc>
          <w:tcPr>
            <w:tcW w:w="3240"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108.39</w:t>
            </w:r>
          </w:p>
        </w:tc>
        <w:tc>
          <w:tcPr>
            <w:tcW w:w="2352"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8.76</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摊余成本</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329,812,741.13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1.37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942,666,846.96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942,666,846.96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2,811,654,002.50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11.64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131,360,510.91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0.54</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7,365,420,795.42</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30.49</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11,580,914,896.92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47.94</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a"/>
        <w:tblW w:w="9302" w:type="dxa"/>
        <w:jc w:val="center"/>
        <w:tblCellMar>
          <w:top w:w="57" w:type="dxa"/>
          <w:bottom w:w="57" w:type="dxa"/>
        </w:tblCellMar>
        <w:tblLook w:val="04A0" w:firstRow="1" w:lastRow="0" w:firstColumn="1" w:lastColumn="0" w:noHBand="0" w:noVBand="1"/>
      </w:tblPr>
      <w:tblGrid>
        <w:gridCol w:w="958"/>
        <w:gridCol w:w="1366"/>
        <w:gridCol w:w="1901"/>
        <w:gridCol w:w="1565"/>
        <w:gridCol w:w="1716"/>
        <w:gridCol w:w="1796"/>
      </w:tblGrid>
      <w:tr w:rsidR="00FC3236" w:rsidRPr="000E4C40" w:rsidTr="00FC3236">
        <w:trPr>
          <w:jc w:val="center"/>
        </w:trPr>
        <w:tc>
          <w:tcPr>
            <w:tcW w:w="118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39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35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745" w:type="dxa"/>
            <w:vAlign w:val="center"/>
          </w:tcPr>
          <w:p w:rsidR="00343648" w:rsidRPr="000E4C40" w:rsidRDefault="00343648" w:rsidP="00FC323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w="1435"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w="218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D15E6B">
        <w:trPr>
          <w:jc w:val="center"/>
        </w:trPr>
        <w:tc>
          <w:tcPr>
            <w:tcW w:w="0" w:type="auto"/>
            <w:vAlign w:val="center"/>
          </w:tcPr>
          <w:p w:rsidR="00D15E6B" w:rsidRDefault="000C0D72">
            <w:pPr>
              <w:jc w:val="center"/>
            </w:pPr>
            <w:r>
              <w:rPr>
                <w:color w:val="000000"/>
                <w:sz w:val="24"/>
              </w:rPr>
              <w:t>1</w:t>
            </w:r>
          </w:p>
        </w:tc>
        <w:tc>
          <w:tcPr>
            <w:tcW w:w="0" w:type="auto"/>
            <w:vAlign w:val="center"/>
          </w:tcPr>
          <w:p w:rsidR="00D15E6B" w:rsidRDefault="000C0D72">
            <w:pPr>
              <w:jc w:val="center"/>
            </w:pPr>
            <w:r>
              <w:rPr>
                <w:color w:val="000000"/>
                <w:sz w:val="24"/>
              </w:rPr>
              <w:t>112021207</w:t>
            </w:r>
          </w:p>
        </w:tc>
        <w:tc>
          <w:tcPr>
            <w:tcW w:w="0" w:type="auto"/>
            <w:vAlign w:val="center"/>
          </w:tcPr>
          <w:p w:rsidR="00D15E6B" w:rsidRDefault="000C0D72">
            <w:pPr>
              <w:jc w:val="center"/>
            </w:pPr>
            <w:r>
              <w:rPr>
                <w:color w:val="000000"/>
                <w:sz w:val="24"/>
              </w:rPr>
              <w:t>20</w:t>
            </w:r>
            <w:r>
              <w:rPr>
                <w:color w:val="000000"/>
                <w:sz w:val="24"/>
              </w:rPr>
              <w:t>渤海银行</w:t>
            </w:r>
            <w:r>
              <w:rPr>
                <w:color w:val="000000"/>
                <w:sz w:val="24"/>
              </w:rPr>
              <w:t>CD207</w:t>
            </w:r>
          </w:p>
        </w:tc>
        <w:tc>
          <w:tcPr>
            <w:tcW w:w="0" w:type="auto"/>
            <w:vAlign w:val="center"/>
          </w:tcPr>
          <w:p w:rsidR="00D15E6B" w:rsidRDefault="000C0D72">
            <w:pPr>
              <w:jc w:val="right"/>
            </w:pPr>
            <w:r>
              <w:rPr>
                <w:color w:val="000000"/>
                <w:sz w:val="24"/>
              </w:rPr>
              <w:t>5,000,000</w:t>
            </w:r>
          </w:p>
        </w:tc>
        <w:tc>
          <w:tcPr>
            <w:tcW w:w="0" w:type="auto"/>
            <w:vAlign w:val="center"/>
          </w:tcPr>
          <w:p w:rsidR="00D15E6B" w:rsidRDefault="000C0D72">
            <w:pPr>
              <w:jc w:val="right"/>
            </w:pPr>
            <w:r>
              <w:rPr>
                <w:color w:val="000000"/>
                <w:sz w:val="24"/>
              </w:rPr>
              <w:t>496,756,350.70</w:t>
            </w:r>
          </w:p>
        </w:tc>
        <w:tc>
          <w:tcPr>
            <w:tcW w:w="0" w:type="auto"/>
            <w:vAlign w:val="center"/>
          </w:tcPr>
          <w:p w:rsidR="00D15E6B" w:rsidRDefault="000C0D72">
            <w:pPr>
              <w:jc w:val="right"/>
            </w:pPr>
            <w:r>
              <w:rPr>
                <w:color w:val="000000"/>
                <w:sz w:val="24"/>
              </w:rPr>
              <w:t>2.06</w:t>
            </w:r>
          </w:p>
        </w:tc>
      </w:tr>
      <w:tr w:rsidR="00D15E6B">
        <w:trPr>
          <w:jc w:val="center"/>
        </w:trPr>
        <w:tc>
          <w:tcPr>
            <w:tcW w:w="0" w:type="auto"/>
            <w:vAlign w:val="center"/>
          </w:tcPr>
          <w:p w:rsidR="00D15E6B" w:rsidRDefault="000C0D72">
            <w:pPr>
              <w:jc w:val="center"/>
            </w:pPr>
            <w:r>
              <w:rPr>
                <w:color w:val="000000"/>
                <w:sz w:val="24"/>
              </w:rPr>
              <w:t>2</w:t>
            </w:r>
          </w:p>
        </w:tc>
        <w:tc>
          <w:tcPr>
            <w:tcW w:w="0" w:type="auto"/>
            <w:vAlign w:val="center"/>
          </w:tcPr>
          <w:p w:rsidR="00D15E6B" w:rsidRDefault="000C0D72">
            <w:pPr>
              <w:jc w:val="center"/>
            </w:pPr>
            <w:r>
              <w:rPr>
                <w:color w:val="000000"/>
                <w:sz w:val="24"/>
              </w:rPr>
              <w:t>072000136</w:t>
            </w:r>
          </w:p>
        </w:tc>
        <w:tc>
          <w:tcPr>
            <w:tcW w:w="0" w:type="auto"/>
            <w:vAlign w:val="center"/>
          </w:tcPr>
          <w:p w:rsidR="00D15E6B" w:rsidRDefault="000C0D72">
            <w:pPr>
              <w:jc w:val="center"/>
            </w:pPr>
            <w:r>
              <w:rPr>
                <w:color w:val="000000"/>
                <w:sz w:val="24"/>
              </w:rPr>
              <w:t>20</w:t>
            </w:r>
            <w:r>
              <w:rPr>
                <w:color w:val="000000"/>
                <w:sz w:val="24"/>
              </w:rPr>
              <w:t>中信证券</w:t>
            </w:r>
            <w:r>
              <w:rPr>
                <w:color w:val="000000"/>
                <w:sz w:val="24"/>
              </w:rPr>
              <w:t>CP011</w:t>
            </w:r>
          </w:p>
        </w:tc>
        <w:tc>
          <w:tcPr>
            <w:tcW w:w="0" w:type="auto"/>
            <w:vAlign w:val="center"/>
          </w:tcPr>
          <w:p w:rsidR="00D15E6B" w:rsidRDefault="000C0D72">
            <w:pPr>
              <w:jc w:val="right"/>
            </w:pPr>
            <w:r>
              <w:rPr>
                <w:color w:val="000000"/>
                <w:sz w:val="24"/>
              </w:rPr>
              <w:t>4,000,000</w:t>
            </w:r>
          </w:p>
        </w:tc>
        <w:tc>
          <w:tcPr>
            <w:tcW w:w="0" w:type="auto"/>
            <w:vAlign w:val="center"/>
          </w:tcPr>
          <w:p w:rsidR="00D15E6B" w:rsidRDefault="000C0D72">
            <w:pPr>
              <w:jc w:val="right"/>
            </w:pPr>
            <w:r>
              <w:rPr>
                <w:color w:val="000000"/>
                <w:sz w:val="24"/>
              </w:rPr>
              <w:t>400,002,904.22</w:t>
            </w:r>
          </w:p>
        </w:tc>
        <w:tc>
          <w:tcPr>
            <w:tcW w:w="0" w:type="auto"/>
            <w:vAlign w:val="center"/>
          </w:tcPr>
          <w:p w:rsidR="00D15E6B" w:rsidRDefault="000C0D72">
            <w:pPr>
              <w:jc w:val="right"/>
            </w:pPr>
            <w:r>
              <w:rPr>
                <w:color w:val="000000"/>
                <w:sz w:val="24"/>
              </w:rPr>
              <w:t>1.66</w:t>
            </w:r>
          </w:p>
        </w:tc>
      </w:tr>
      <w:tr w:rsidR="00D15E6B">
        <w:trPr>
          <w:jc w:val="center"/>
        </w:trPr>
        <w:tc>
          <w:tcPr>
            <w:tcW w:w="0" w:type="auto"/>
            <w:vAlign w:val="center"/>
          </w:tcPr>
          <w:p w:rsidR="00D15E6B" w:rsidRDefault="000C0D72">
            <w:pPr>
              <w:jc w:val="center"/>
            </w:pPr>
            <w:r>
              <w:rPr>
                <w:color w:val="000000"/>
                <w:sz w:val="24"/>
              </w:rPr>
              <w:t>3</w:t>
            </w:r>
          </w:p>
        </w:tc>
        <w:tc>
          <w:tcPr>
            <w:tcW w:w="0" w:type="auto"/>
            <w:vAlign w:val="center"/>
          </w:tcPr>
          <w:p w:rsidR="00D15E6B" w:rsidRDefault="000C0D72">
            <w:pPr>
              <w:jc w:val="center"/>
            </w:pPr>
            <w:r>
              <w:rPr>
                <w:color w:val="000000"/>
                <w:sz w:val="24"/>
              </w:rPr>
              <w:t>190211</w:t>
            </w:r>
          </w:p>
        </w:tc>
        <w:tc>
          <w:tcPr>
            <w:tcW w:w="0" w:type="auto"/>
            <w:vAlign w:val="center"/>
          </w:tcPr>
          <w:p w:rsidR="00D15E6B" w:rsidRDefault="000C0D72">
            <w:pPr>
              <w:jc w:val="center"/>
            </w:pPr>
            <w:r>
              <w:rPr>
                <w:color w:val="000000"/>
                <w:sz w:val="24"/>
              </w:rPr>
              <w:t>19</w:t>
            </w:r>
            <w:r>
              <w:rPr>
                <w:color w:val="000000"/>
                <w:sz w:val="24"/>
              </w:rPr>
              <w:t>国开</w:t>
            </w:r>
            <w:r>
              <w:rPr>
                <w:color w:val="000000"/>
                <w:sz w:val="24"/>
              </w:rPr>
              <w:t>11</w:t>
            </w:r>
          </w:p>
        </w:tc>
        <w:tc>
          <w:tcPr>
            <w:tcW w:w="0" w:type="auto"/>
            <w:vAlign w:val="center"/>
          </w:tcPr>
          <w:p w:rsidR="00D15E6B" w:rsidRDefault="000C0D72">
            <w:pPr>
              <w:jc w:val="right"/>
            </w:pPr>
            <w:r>
              <w:rPr>
                <w:color w:val="000000"/>
                <w:sz w:val="24"/>
              </w:rPr>
              <w:t>3,700,000</w:t>
            </w:r>
          </w:p>
        </w:tc>
        <w:tc>
          <w:tcPr>
            <w:tcW w:w="0" w:type="auto"/>
            <w:vAlign w:val="center"/>
          </w:tcPr>
          <w:p w:rsidR="00D15E6B" w:rsidRDefault="000C0D72">
            <w:pPr>
              <w:jc w:val="right"/>
            </w:pPr>
            <w:r>
              <w:rPr>
                <w:color w:val="000000"/>
                <w:sz w:val="24"/>
              </w:rPr>
              <w:t>370,847,898.93</w:t>
            </w:r>
          </w:p>
        </w:tc>
        <w:tc>
          <w:tcPr>
            <w:tcW w:w="0" w:type="auto"/>
            <w:vAlign w:val="center"/>
          </w:tcPr>
          <w:p w:rsidR="00D15E6B" w:rsidRDefault="000C0D72">
            <w:pPr>
              <w:jc w:val="right"/>
            </w:pPr>
            <w:r>
              <w:rPr>
                <w:color w:val="000000"/>
                <w:sz w:val="24"/>
              </w:rPr>
              <w:t>1.54</w:t>
            </w:r>
          </w:p>
        </w:tc>
      </w:tr>
      <w:tr w:rsidR="00D15E6B">
        <w:trPr>
          <w:jc w:val="center"/>
        </w:trPr>
        <w:tc>
          <w:tcPr>
            <w:tcW w:w="0" w:type="auto"/>
            <w:vAlign w:val="center"/>
          </w:tcPr>
          <w:p w:rsidR="00D15E6B" w:rsidRDefault="000C0D72">
            <w:pPr>
              <w:jc w:val="center"/>
            </w:pPr>
            <w:r>
              <w:rPr>
                <w:color w:val="000000"/>
                <w:sz w:val="24"/>
              </w:rPr>
              <w:t>4</w:t>
            </w:r>
          </w:p>
        </w:tc>
        <w:tc>
          <w:tcPr>
            <w:tcW w:w="0" w:type="auto"/>
            <w:vAlign w:val="center"/>
          </w:tcPr>
          <w:p w:rsidR="00D15E6B" w:rsidRDefault="000C0D72">
            <w:pPr>
              <w:jc w:val="center"/>
            </w:pPr>
            <w:r>
              <w:rPr>
                <w:color w:val="000000"/>
                <w:sz w:val="24"/>
              </w:rPr>
              <w:t>072000130</w:t>
            </w:r>
          </w:p>
        </w:tc>
        <w:tc>
          <w:tcPr>
            <w:tcW w:w="0" w:type="auto"/>
            <w:vAlign w:val="center"/>
          </w:tcPr>
          <w:p w:rsidR="00D15E6B" w:rsidRDefault="000C0D72">
            <w:pPr>
              <w:jc w:val="center"/>
            </w:pPr>
            <w:r>
              <w:rPr>
                <w:color w:val="000000"/>
                <w:sz w:val="24"/>
              </w:rPr>
              <w:t>20</w:t>
            </w:r>
            <w:r>
              <w:rPr>
                <w:color w:val="000000"/>
                <w:sz w:val="24"/>
              </w:rPr>
              <w:t>招商</w:t>
            </w:r>
            <w:r>
              <w:rPr>
                <w:color w:val="000000"/>
                <w:sz w:val="24"/>
              </w:rPr>
              <w:t>CP010BC</w:t>
            </w:r>
          </w:p>
        </w:tc>
        <w:tc>
          <w:tcPr>
            <w:tcW w:w="0" w:type="auto"/>
            <w:vAlign w:val="center"/>
          </w:tcPr>
          <w:p w:rsidR="00D15E6B" w:rsidRDefault="000C0D72">
            <w:pPr>
              <w:jc w:val="right"/>
            </w:pPr>
            <w:r>
              <w:rPr>
                <w:color w:val="000000"/>
                <w:sz w:val="24"/>
              </w:rPr>
              <w:t>3,000,000</w:t>
            </w:r>
          </w:p>
        </w:tc>
        <w:tc>
          <w:tcPr>
            <w:tcW w:w="0" w:type="auto"/>
            <w:vAlign w:val="center"/>
          </w:tcPr>
          <w:p w:rsidR="00D15E6B" w:rsidRDefault="000C0D72">
            <w:pPr>
              <w:jc w:val="right"/>
            </w:pPr>
            <w:r>
              <w:rPr>
                <w:color w:val="000000"/>
                <w:sz w:val="24"/>
              </w:rPr>
              <w:t>300,000,081.86</w:t>
            </w:r>
          </w:p>
        </w:tc>
        <w:tc>
          <w:tcPr>
            <w:tcW w:w="0" w:type="auto"/>
            <w:vAlign w:val="center"/>
          </w:tcPr>
          <w:p w:rsidR="00D15E6B" w:rsidRDefault="000C0D72">
            <w:pPr>
              <w:jc w:val="right"/>
            </w:pPr>
            <w:r>
              <w:rPr>
                <w:color w:val="000000"/>
                <w:sz w:val="24"/>
              </w:rPr>
              <w:t>1.24</w:t>
            </w:r>
          </w:p>
        </w:tc>
      </w:tr>
      <w:tr w:rsidR="00D15E6B">
        <w:trPr>
          <w:jc w:val="center"/>
        </w:trPr>
        <w:tc>
          <w:tcPr>
            <w:tcW w:w="0" w:type="auto"/>
            <w:vAlign w:val="center"/>
          </w:tcPr>
          <w:p w:rsidR="00D15E6B" w:rsidRDefault="000C0D72">
            <w:pPr>
              <w:jc w:val="center"/>
            </w:pPr>
            <w:r>
              <w:rPr>
                <w:color w:val="000000"/>
                <w:sz w:val="24"/>
              </w:rPr>
              <w:t>5</w:t>
            </w:r>
          </w:p>
        </w:tc>
        <w:tc>
          <w:tcPr>
            <w:tcW w:w="0" w:type="auto"/>
            <w:vAlign w:val="center"/>
          </w:tcPr>
          <w:p w:rsidR="00D15E6B" w:rsidRDefault="000C0D72">
            <w:pPr>
              <w:jc w:val="center"/>
            </w:pPr>
            <w:r>
              <w:rPr>
                <w:color w:val="000000"/>
                <w:sz w:val="24"/>
              </w:rPr>
              <w:t>112021171</w:t>
            </w:r>
          </w:p>
        </w:tc>
        <w:tc>
          <w:tcPr>
            <w:tcW w:w="0" w:type="auto"/>
            <w:vAlign w:val="center"/>
          </w:tcPr>
          <w:p w:rsidR="00D15E6B" w:rsidRDefault="000C0D72">
            <w:pPr>
              <w:jc w:val="center"/>
            </w:pPr>
            <w:r>
              <w:rPr>
                <w:color w:val="000000"/>
                <w:sz w:val="24"/>
              </w:rPr>
              <w:t>20</w:t>
            </w:r>
            <w:r>
              <w:rPr>
                <w:color w:val="000000"/>
                <w:sz w:val="24"/>
              </w:rPr>
              <w:t>渤海银行</w:t>
            </w:r>
            <w:r>
              <w:rPr>
                <w:color w:val="000000"/>
                <w:sz w:val="24"/>
              </w:rPr>
              <w:t>CD171</w:t>
            </w:r>
          </w:p>
        </w:tc>
        <w:tc>
          <w:tcPr>
            <w:tcW w:w="0" w:type="auto"/>
            <w:vAlign w:val="center"/>
          </w:tcPr>
          <w:p w:rsidR="00D15E6B" w:rsidRDefault="000C0D72">
            <w:pPr>
              <w:jc w:val="right"/>
            </w:pPr>
            <w:r>
              <w:rPr>
                <w:color w:val="000000"/>
                <w:sz w:val="24"/>
              </w:rPr>
              <w:t>3,000,000</w:t>
            </w:r>
          </w:p>
        </w:tc>
        <w:tc>
          <w:tcPr>
            <w:tcW w:w="0" w:type="auto"/>
            <w:vAlign w:val="center"/>
          </w:tcPr>
          <w:p w:rsidR="00D15E6B" w:rsidRDefault="000C0D72">
            <w:pPr>
              <w:jc w:val="right"/>
            </w:pPr>
            <w:r>
              <w:rPr>
                <w:color w:val="000000"/>
                <w:sz w:val="24"/>
              </w:rPr>
              <w:t>298,432,339.64</w:t>
            </w:r>
          </w:p>
        </w:tc>
        <w:tc>
          <w:tcPr>
            <w:tcW w:w="0" w:type="auto"/>
            <w:vAlign w:val="center"/>
          </w:tcPr>
          <w:p w:rsidR="00D15E6B" w:rsidRDefault="000C0D72">
            <w:pPr>
              <w:jc w:val="right"/>
            </w:pPr>
            <w:r>
              <w:rPr>
                <w:color w:val="000000"/>
                <w:sz w:val="24"/>
              </w:rPr>
              <w:t>1.24</w:t>
            </w:r>
          </w:p>
        </w:tc>
      </w:tr>
      <w:tr w:rsidR="00D15E6B">
        <w:trPr>
          <w:jc w:val="center"/>
        </w:trPr>
        <w:tc>
          <w:tcPr>
            <w:tcW w:w="0" w:type="auto"/>
            <w:vAlign w:val="center"/>
          </w:tcPr>
          <w:p w:rsidR="00D15E6B" w:rsidRDefault="000C0D72">
            <w:pPr>
              <w:jc w:val="center"/>
            </w:pPr>
            <w:r>
              <w:rPr>
                <w:color w:val="000000"/>
                <w:sz w:val="24"/>
              </w:rPr>
              <w:t>6</w:t>
            </w:r>
          </w:p>
        </w:tc>
        <w:tc>
          <w:tcPr>
            <w:tcW w:w="0" w:type="auto"/>
            <w:vAlign w:val="center"/>
          </w:tcPr>
          <w:p w:rsidR="00D15E6B" w:rsidRDefault="000C0D72">
            <w:pPr>
              <w:jc w:val="center"/>
            </w:pPr>
            <w:r>
              <w:rPr>
                <w:color w:val="000000"/>
                <w:sz w:val="24"/>
              </w:rPr>
              <w:t>112095587</w:t>
            </w:r>
          </w:p>
        </w:tc>
        <w:tc>
          <w:tcPr>
            <w:tcW w:w="0" w:type="auto"/>
            <w:vAlign w:val="center"/>
          </w:tcPr>
          <w:p w:rsidR="00D15E6B" w:rsidRDefault="000C0D72">
            <w:pPr>
              <w:jc w:val="center"/>
            </w:pPr>
            <w:r>
              <w:rPr>
                <w:color w:val="000000"/>
                <w:sz w:val="24"/>
              </w:rPr>
              <w:t>20</w:t>
            </w:r>
            <w:r>
              <w:rPr>
                <w:color w:val="000000"/>
                <w:sz w:val="24"/>
              </w:rPr>
              <w:t>长沙银行</w:t>
            </w:r>
            <w:r>
              <w:rPr>
                <w:color w:val="000000"/>
                <w:sz w:val="24"/>
              </w:rPr>
              <w:t>CD042</w:t>
            </w:r>
          </w:p>
        </w:tc>
        <w:tc>
          <w:tcPr>
            <w:tcW w:w="0" w:type="auto"/>
            <w:vAlign w:val="center"/>
          </w:tcPr>
          <w:p w:rsidR="00D15E6B" w:rsidRDefault="000C0D72">
            <w:pPr>
              <w:jc w:val="right"/>
            </w:pPr>
            <w:r>
              <w:rPr>
                <w:color w:val="000000"/>
                <w:sz w:val="24"/>
              </w:rPr>
              <w:t>3,000,000</w:t>
            </w:r>
          </w:p>
        </w:tc>
        <w:tc>
          <w:tcPr>
            <w:tcW w:w="0" w:type="auto"/>
            <w:vAlign w:val="center"/>
          </w:tcPr>
          <w:p w:rsidR="00D15E6B" w:rsidRDefault="000C0D72">
            <w:pPr>
              <w:jc w:val="right"/>
            </w:pPr>
            <w:r>
              <w:rPr>
                <w:color w:val="000000"/>
                <w:sz w:val="24"/>
              </w:rPr>
              <w:t>296,747,571.10</w:t>
            </w:r>
          </w:p>
        </w:tc>
        <w:tc>
          <w:tcPr>
            <w:tcW w:w="0" w:type="auto"/>
            <w:vAlign w:val="center"/>
          </w:tcPr>
          <w:p w:rsidR="00D15E6B" w:rsidRDefault="000C0D72">
            <w:pPr>
              <w:jc w:val="right"/>
            </w:pPr>
            <w:r>
              <w:rPr>
                <w:color w:val="000000"/>
                <w:sz w:val="24"/>
              </w:rPr>
              <w:t>1.23</w:t>
            </w:r>
          </w:p>
        </w:tc>
      </w:tr>
      <w:tr w:rsidR="00D15E6B">
        <w:trPr>
          <w:jc w:val="center"/>
        </w:trPr>
        <w:tc>
          <w:tcPr>
            <w:tcW w:w="0" w:type="auto"/>
            <w:vAlign w:val="center"/>
          </w:tcPr>
          <w:p w:rsidR="00D15E6B" w:rsidRDefault="000C0D72">
            <w:pPr>
              <w:jc w:val="center"/>
            </w:pPr>
            <w:r>
              <w:rPr>
                <w:color w:val="000000"/>
                <w:sz w:val="24"/>
              </w:rPr>
              <w:t>7</w:t>
            </w:r>
          </w:p>
        </w:tc>
        <w:tc>
          <w:tcPr>
            <w:tcW w:w="0" w:type="auto"/>
            <w:vAlign w:val="center"/>
          </w:tcPr>
          <w:p w:rsidR="00D15E6B" w:rsidRDefault="000C0D72">
            <w:pPr>
              <w:jc w:val="center"/>
            </w:pPr>
            <w:r>
              <w:rPr>
                <w:color w:val="000000"/>
                <w:sz w:val="24"/>
              </w:rPr>
              <w:t>072000128</w:t>
            </w:r>
          </w:p>
        </w:tc>
        <w:tc>
          <w:tcPr>
            <w:tcW w:w="0" w:type="auto"/>
            <w:vAlign w:val="center"/>
          </w:tcPr>
          <w:p w:rsidR="00D15E6B" w:rsidRDefault="000C0D72">
            <w:pPr>
              <w:jc w:val="center"/>
            </w:pPr>
            <w:r>
              <w:rPr>
                <w:color w:val="000000"/>
                <w:sz w:val="24"/>
              </w:rPr>
              <w:t>20</w:t>
            </w:r>
            <w:r>
              <w:rPr>
                <w:color w:val="000000"/>
                <w:sz w:val="24"/>
              </w:rPr>
              <w:t>财通证券</w:t>
            </w:r>
            <w:r>
              <w:rPr>
                <w:color w:val="000000"/>
                <w:sz w:val="24"/>
              </w:rPr>
              <w:t>CP005</w:t>
            </w:r>
          </w:p>
        </w:tc>
        <w:tc>
          <w:tcPr>
            <w:tcW w:w="0" w:type="auto"/>
            <w:vAlign w:val="center"/>
          </w:tcPr>
          <w:p w:rsidR="00D15E6B" w:rsidRDefault="000C0D72">
            <w:pPr>
              <w:jc w:val="right"/>
            </w:pPr>
            <w:r>
              <w:rPr>
                <w:color w:val="000000"/>
                <w:sz w:val="24"/>
              </w:rPr>
              <w:t>2,500,000</w:t>
            </w:r>
          </w:p>
        </w:tc>
        <w:tc>
          <w:tcPr>
            <w:tcW w:w="0" w:type="auto"/>
            <w:vAlign w:val="center"/>
          </w:tcPr>
          <w:p w:rsidR="00D15E6B" w:rsidRDefault="000C0D72">
            <w:pPr>
              <w:jc w:val="right"/>
            </w:pPr>
            <w:r>
              <w:rPr>
                <w:color w:val="000000"/>
                <w:sz w:val="24"/>
              </w:rPr>
              <w:t>250,000,083.25</w:t>
            </w:r>
          </w:p>
        </w:tc>
        <w:tc>
          <w:tcPr>
            <w:tcW w:w="0" w:type="auto"/>
            <w:vAlign w:val="center"/>
          </w:tcPr>
          <w:p w:rsidR="00D15E6B" w:rsidRDefault="000C0D72">
            <w:pPr>
              <w:jc w:val="right"/>
            </w:pPr>
            <w:r>
              <w:rPr>
                <w:color w:val="000000"/>
                <w:sz w:val="24"/>
              </w:rPr>
              <w:t>1.03</w:t>
            </w:r>
          </w:p>
        </w:tc>
      </w:tr>
      <w:tr w:rsidR="00D15E6B">
        <w:trPr>
          <w:jc w:val="center"/>
        </w:trPr>
        <w:tc>
          <w:tcPr>
            <w:tcW w:w="0" w:type="auto"/>
            <w:vAlign w:val="center"/>
          </w:tcPr>
          <w:p w:rsidR="00D15E6B" w:rsidRDefault="000C0D72">
            <w:pPr>
              <w:jc w:val="center"/>
            </w:pPr>
            <w:r>
              <w:rPr>
                <w:color w:val="000000"/>
                <w:sz w:val="24"/>
              </w:rPr>
              <w:t>8</w:t>
            </w:r>
          </w:p>
        </w:tc>
        <w:tc>
          <w:tcPr>
            <w:tcW w:w="0" w:type="auto"/>
            <w:vAlign w:val="center"/>
          </w:tcPr>
          <w:p w:rsidR="00D15E6B" w:rsidRDefault="000C0D72">
            <w:pPr>
              <w:jc w:val="center"/>
            </w:pPr>
            <w:r>
              <w:rPr>
                <w:color w:val="000000"/>
                <w:sz w:val="24"/>
              </w:rPr>
              <w:t>072000123</w:t>
            </w:r>
          </w:p>
        </w:tc>
        <w:tc>
          <w:tcPr>
            <w:tcW w:w="0" w:type="auto"/>
            <w:vAlign w:val="center"/>
          </w:tcPr>
          <w:p w:rsidR="00D15E6B" w:rsidRDefault="000C0D72">
            <w:pPr>
              <w:jc w:val="center"/>
            </w:pPr>
            <w:r>
              <w:rPr>
                <w:color w:val="000000"/>
                <w:sz w:val="24"/>
              </w:rPr>
              <w:t>20</w:t>
            </w:r>
            <w:r>
              <w:rPr>
                <w:color w:val="000000"/>
                <w:sz w:val="24"/>
              </w:rPr>
              <w:t>安信证券</w:t>
            </w:r>
            <w:r>
              <w:rPr>
                <w:color w:val="000000"/>
                <w:sz w:val="24"/>
              </w:rPr>
              <w:t>CP005</w:t>
            </w:r>
          </w:p>
        </w:tc>
        <w:tc>
          <w:tcPr>
            <w:tcW w:w="0" w:type="auto"/>
            <w:vAlign w:val="center"/>
          </w:tcPr>
          <w:p w:rsidR="00D15E6B" w:rsidRDefault="000C0D72">
            <w:pPr>
              <w:jc w:val="right"/>
            </w:pPr>
            <w:r>
              <w:rPr>
                <w:color w:val="000000"/>
                <w:sz w:val="24"/>
              </w:rPr>
              <w:t>2,500,000</w:t>
            </w:r>
          </w:p>
        </w:tc>
        <w:tc>
          <w:tcPr>
            <w:tcW w:w="0" w:type="auto"/>
            <w:vAlign w:val="center"/>
          </w:tcPr>
          <w:p w:rsidR="00D15E6B" w:rsidRDefault="000C0D72">
            <w:pPr>
              <w:jc w:val="right"/>
            </w:pPr>
            <w:r>
              <w:rPr>
                <w:color w:val="000000"/>
                <w:sz w:val="24"/>
              </w:rPr>
              <w:t>250,000,080.14</w:t>
            </w:r>
          </w:p>
        </w:tc>
        <w:tc>
          <w:tcPr>
            <w:tcW w:w="0" w:type="auto"/>
            <w:vAlign w:val="center"/>
          </w:tcPr>
          <w:p w:rsidR="00D15E6B" w:rsidRDefault="000C0D72">
            <w:pPr>
              <w:jc w:val="right"/>
            </w:pPr>
            <w:r>
              <w:rPr>
                <w:color w:val="000000"/>
                <w:sz w:val="24"/>
              </w:rPr>
              <w:t>1.03</w:t>
            </w:r>
          </w:p>
        </w:tc>
      </w:tr>
      <w:tr w:rsidR="00D15E6B">
        <w:trPr>
          <w:jc w:val="center"/>
        </w:trPr>
        <w:tc>
          <w:tcPr>
            <w:tcW w:w="0" w:type="auto"/>
            <w:vAlign w:val="center"/>
          </w:tcPr>
          <w:p w:rsidR="00D15E6B" w:rsidRDefault="000C0D72">
            <w:pPr>
              <w:jc w:val="center"/>
            </w:pPr>
            <w:r>
              <w:rPr>
                <w:color w:val="000000"/>
                <w:sz w:val="24"/>
              </w:rPr>
              <w:t>9</w:t>
            </w:r>
          </w:p>
        </w:tc>
        <w:tc>
          <w:tcPr>
            <w:tcW w:w="0" w:type="auto"/>
            <w:vAlign w:val="center"/>
          </w:tcPr>
          <w:p w:rsidR="00D15E6B" w:rsidRDefault="000C0D72">
            <w:pPr>
              <w:jc w:val="center"/>
            </w:pPr>
            <w:r>
              <w:rPr>
                <w:color w:val="000000"/>
                <w:sz w:val="24"/>
              </w:rPr>
              <w:t>041900322</w:t>
            </w:r>
          </w:p>
        </w:tc>
        <w:tc>
          <w:tcPr>
            <w:tcW w:w="0" w:type="auto"/>
            <w:vAlign w:val="center"/>
          </w:tcPr>
          <w:p w:rsidR="00D15E6B" w:rsidRDefault="000C0D72">
            <w:pPr>
              <w:jc w:val="center"/>
            </w:pPr>
            <w:r>
              <w:rPr>
                <w:color w:val="000000"/>
                <w:sz w:val="24"/>
              </w:rPr>
              <w:t>19</w:t>
            </w:r>
            <w:r>
              <w:rPr>
                <w:color w:val="000000"/>
                <w:sz w:val="24"/>
              </w:rPr>
              <w:t>河钢集</w:t>
            </w:r>
            <w:r>
              <w:rPr>
                <w:color w:val="000000"/>
                <w:sz w:val="24"/>
              </w:rPr>
              <w:t>CP003</w:t>
            </w:r>
          </w:p>
        </w:tc>
        <w:tc>
          <w:tcPr>
            <w:tcW w:w="0" w:type="auto"/>
            <w:vAlign w:val="center"/>
          </w:tcPr>
          <w:p w:rsidR="00D15E6B" w:rsidRDefault="000C0D72">
            <w:pPr>
              <w:jc w:val="right"/>
            </w:pPr>
            <w:r>
              <w:rPr>
                <w:color w:val="000000"/>
                <w:sz w:val="24"/>
              </w:rPr>
              <w:t>2,000,000</w:t>
            </w:r>
          </w:p>
        </w:tc>
        <w:tc>
          <w:tcPr>
            <w:tcW w:w="0" w:type="auto"/>
            <w:vAlign w:val="center"/>
          </w:tcPr>
          <w:p w:rsidR="00D15E6B" w:rsidRDefault="000C0D72">
            <w:pPr>
              <w:jc w:val="right"/>
            </w:pPr>
            <w:r>
              <w:rPr>
                <w:color w:val="000000"/>
                <w:sz w:val="24"/>
              </w:rPr>
              <w:t>201,008,889.82</w:t>
            </w:r>
          </w:p>
        </w:tc>
        <w:tc>
          <w:tcPr>
            <w:tcW w:w="0" w:type="auto"/>
            <w:vAlign w:val="center"/>
          </w:tcPr>
          <w:p w:rsidR="00D15E6B" w:rsidRDefault="000C0D72">
            <w:pPr>
              <w:jc w:val="right"/>
            </w:pPr>
            <w:r>
              <w:rPr>
                <w:color w:val="000000"/>
                <w:sz w:val="24"/>
              </w:rPr>
              <w:t>0.83</w:t>
            </w:r>
          </w:p>
        </w:tc>
      </w:tr>
      <w:tr w:rsidR="00D15E6B">
        <w:trPr>
          <w:jc w:val="center"/>
        </w:trPr>
        <w:tc>
          <w:tcPr>
            <w:tcW w:w="0" w:type="auto"/>
            <w:vAlign w:val="center"/>
          </w:tcPr>
          <w:p w:rsidR="00D15E6B" w:rsidRDefault="000C0D72">
            <w:pPr>
              <w:jc w:val="center"/>
            </w:pPr>
            <w:r>
              <w:rPr>
                <w:color w:val="000000"/>
                <w:sz w:val="24"/>
              </w:rPr>
              <w:t>10</w:t>
            </w:r>
          </w:p>
        </w:tc>
        <w:tc>
          <w:tcPr>
            <w:tcW w:w="0" w:type="auto"/>
            <w:vAlign w:val="center"/>
          </w:tcPr>
          <w:p w:rsidR="00D15E6B" w:rsidRDefault="000C0D72">
            <w:pPr>
              <w:jc w:val="center"/>
            </w:pPr>
            <w:r>
              <w:rPr>
                <w:color w:val="000000"/>
                <w:sz w:val="24"/>
              </w:rPr>
              <w:t>150220</w:t>
            </w:r>
          </w:p>
        </w:tc>
        <w:tc>
          <w:tcPr>
            <w:tcW w:w="0" w:type="auto"/>
            <w:vAlign w:val="center"/>
          </w:tcPr>
          <w:p w:rsidR="00D15E6B" w:rsidRDefault="000C0D72">
            <w:pPr>
              <w:jc w:val="center"/>
            </w:pPr>
            <w:r>
              <w:rPr>
                <w:color w:val="000000"/>
                <w:sz w:val="24"/>
              </w:rPr>
              <w:t>15</w:t>
            </w:r>
            <w:r>
              <w:rPr>
                <w:color w:val="000000"/>
                <w:sz w:val="24"/>
              </w:rPr>
              <w:t>国开</w:t>
            </w:r>
            <w:r>
              <w:rPr>
                <w:color w:val="000000"/>
                <w:sz w:val="24"/>
              </w:rPr>
              <w:t>20</w:t>
            </w:r>
          </w:p>
        </w:tc>
        <w:tc>
          <w:tcPr>
            <w:tcW w:w="0" w:type="auto"/>
            <w:vAlign w:val="center"/>
          </w:tcPr>
          <w:p w:rsidR="00D15E6B" w:rsidRDefault="000C0D72">
            <w:pPr>
              <w:jc w:val="right"/>
            </w:pPr>
            <w:r>
              <w:rPr>
                <w:color w:val="000000"/>
                <w:sz w:val="24"/>
              </w:rPr>
              <w:t>2,000,000</w:t>
            </w:r>
          </w:p>
        </w:tc>
        <w:tc>
          <w:tcPr>
            <w:tcW w:w="0" w:type="auto"/>
            <w:vAlign w:val="center"/>
          </w:tcPr>
          <w:p w:rsidR="00D15E6B" w:rsidRDefault="000C0D72">
            <w:pPr>
              <w:jc w:val="right"/>
            </w:pPr>
            <w:r>
              <w:rPr>
                <w:color w:val="000000"/>
                <w:sz w:val="24"/>
              </w:rPr>
              <w:t>200,990,912.84</w:t>
            </w:r>
          </w:p>
        </w:tc>
        <w:tc>
          <w:tcPr>
            <w:tcW w:w="0" w:type="auto"/>
            <w:vAlign w:val="center"/>
          </w:tcPr>
          <w:p w:rsidR="00D15E6B" w:rsidRDefault="000C0D72">
            <w:pPr>
              <w:jc w:val="right"/>
            </w:pPr>
            <w:r>
              <w:rPr>
                <w:color w:val="000000"/>
                <w:sz w:val="24"/>
              </w:rPr>
              <w:t>0.83</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0.2026%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-0.0371%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0C0D72" w:rsidP="00281564">
            <w:pPr>
              <w:spacing w:before="29" w:line="288" w:lineRule="auto"/>
              <w:jc w:val="right"/>
              <w:rPr>
                <w:sz w:val="24"/>
              </w:rPr>
            </w:pPr>
            <w:r w:rsidRPr="000C0D72">
              <w:rPr>
                <w:color w:val="000000"/>
                <w:sz w:val="24"/>
              </w:rPr>
              <w:t>0.1029%</w:t>
            </w:r>
          </w:p>
        </w:tc>
      </w:tr>
    </w:tbl>
    <w:p w:rsidR="00BE5584" w:rsidRDefault="00BE5584" w:rsidP="00281564">
      <w:pPr>
        <w:autoSpaceDE w:val="0"/>
        <w:autoSpaceDN w:val="0"/>
        <w:adjustRightInd w:val="0"/>
        <w:spacing w:before="29" w:line="288" w:lineRule="auto"/>
        <w:jc w:val="left"/>
        <w:rPr>
          <w:color w:val="000000"/>
          <w:kern w:val="0"/>
          <w:sz w:val="24"/>
        </w:rPr>
      </w:pPr>
      <w:bookmarkStart w:id="2" w:name="_GoBack"/>
      <w:bookmarkEnd w:id="2"/>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E97D49" w:rsidRPr="00E97D49" w:rsidRDefault="00E97D49" w:rsidP="00E97D49">
      <w:pPr>
        <w:spacing w:before="29" w:line="288" w:lineRule="auto"/>
        <w:jc w:val="right"/>
        <w:rPr>
          <w:color w:val="000000"/>
          <w:kern w:val="0"/>
          <w:sz w:val="24"/>
        </w:rPr>
      </w:pPr>
      <w:r w:rsidRPr="00E97D49">
        <w:rPr>
          <w:rFonts w:hint="eastAsia"/>
          <w:color w:val="000000"/>
          <w:kern w:val="0"/>
          <w:sz w:val="24"/>
        </w:rPr>
        <w:t>金额单位：人民币元</w:t>
      </w:r>
    </w:p>
    <w:tbl>
      <w:tblPr>
        <w:tblStyle w:val="aa"/>
        <w:tblW w:w="9302" w:type="dxa"/>
        <w:jc w:val="center"/>
        <w:tblCellMar>
          <w:top w:w="57" w:type="dxa"/>
          <w:bottom w:w="57" w:type="dxa"/>
        </w:tblCellMar>
        <w:tblLook w:val="04A0" w:firstRow="1" w:lastRow="0" w:firstColumn="1" w:lastColumn="0" w:noHBand="0" w:noVBand="1"/>
      </w:tblPr>
      <w:tblGrid>
        <w:gridCol w:w="1481"/>
        <w:gridCol w:w="1489"/>
        <w:gridCol w:w="1482"/>
        <w:gridCol w:w="1595"/>
        <w:gridCol w:w="1596"/>
        <w:gridCol w:w="1659"/>
      </w:tblGrid>
      <w:tr w:rsidR="00BF1111" w:rsidRPr="000E4C40" w:rsidTr="008F34CE">
        <w:trPr>
          <w:jc w:val="center"/>
        </w:trPr>
        <w:tc>
          <w:tcPr>
            <w:tcW w:w="1503"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01"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01"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608" w:type="dxa"/>
            <w:vAlign w:val="center"/>
          </w:tcPr>
          <w:p w:rsidR="00BF1111" w:rsidRPr="00187BE0" w:rsidRDefault="00E269C1" w:rsidP="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w="1508" w:type="dxa"/>
            <w:vAlign w:val="center"/>
          </w:tcPr>
          <w:p w:rsidR="00BF1111" w:rsidRPr="000E4C40" w:rsidRDefault="00BD3669" w:rsidP="00B34175">
            <w:pPr>
              <w:autoSpaceDE w:val="0"/>
              <w:autoSpaceDN w:val="0"/>
              <w:adjustRightInd w:val="0"/>
              <w:spacing w:before="29" w:line="288" w:lineRule="auto"/>
              <w:ind w:left="15"/>
              <w:jc w:val="center"/>
              <w:rPr>
                <w:color w:val="000000"/>
                <w:kern w:val="0"/>
                <w:sz w:val="24"/>
              </w:rPr>
            </w:pPr>
            <w:r>
              <w:rPr>
                <w:rFonts w:hAnsi="宋体" w:hint="eastAsia"/>
                <w:color w:val="000000"/>
                <w:kern w:val="0"/>
                <w:sz w:val="24"/>
              </w:rPr>
              <w:t>摊余成本</w:t>
            </w:r>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p>
        </w:tc>
        <w:tc>
          <w:tcPr>
            <w:tcW w:w="1681" w:type="dxa"/>
            <w:vAlign w:val="center"/>
          </w:tcPr>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D15E6B">
        <w:trPr>
          <w:jc w:val="center"/>
        </w:trPr>
        <w:tc>
          <w:tcPr>
            <w:tcW w:w="0" w:type="auto"/>
            <w:vAlign w:val="center"/>
          </w:tcPr>
          <w:p w:rsidR="00D15E6B" w:rsidRDefault="000C0D72">
            <w:pPr>
              <w:jc w:val="center"/>
            </w:pPr>
            <w:r>
              <w:rPr>
                <w:color w:val="000000"/>
                <w:sz w:val="24"/>
              </w:rPr>
              <w:t>1</w:t>
            </w:r>
          </w:p>
        </w:tc>
        <w:tc>
          <w:tcPr>
            <w:tcW w:w="0" w:type="auto"/>
            <w:vAlign w:val="center"/>
          </w:tcPr>
          <w:p w:rsidR="00D15E6B" w:rsidRDefault="000C0D72">
            <w:pPr>
              <w:jc w:val="center"/>
            </w:pPr>
            <w:r>
              <w:rPr>
                <w:color w:val="000000"/>
                <w:sz w:val="24"/>
              </w:rPr>
              <w:t>139901</w:t>
            </w:r>
          </w:p>
        </w:tc>
        <w:tc>
          <w:tcPr>
            <w:tcW w:w="0" w:type="auto"/>
            <w:vAlign w:val="center"/>
          </w:tcPr>
          <w:p w:rsidR="00D15E6B" w:rsidRDefault="000C0D72">
            <w:pPr>
              <w:jc w:val="center"/>
            </w:pPr>
            <w:r>
              <w:rPr>
                <w:color w:val="000000"/>
                <w:sz w:val="24"/>
              </w:rPr>
              <w:t>蚁信</w:t>
            </w:r>
            <w:r>
              <w:rPr>
                <w:color w:val="000000"/>
                <w:sz w:val="24"/>
              </w:rPr>
              <w:t>08A</w:t>
            </w:r>
          </w:p>
        </w:tc>
        <w:tc>
          <w:tcPr>
            <w:tcW w:w="0" w:type="auto"/>
            <w:vAlign w:val="center"/>
          </w:tcPr>
          <w:p w:rsidR="00D15E6B" w:rsidRDefault="000C0D72">
            <w:pPr>
              <w:jc w:val="right"/>
            </w:pPr>
            <w:r>
              <w:rPr>
                <w:color w:val="000000"/>
                <w:sz w:val="24"/>
              </w:rPr>
              <w:t>300,000</w:t>
            </w:r>
          </w:p>
        </w:tc>
        <w:tc>
          <w:tcPr>
            <w:tcW w:w="0" w:type="auto"/>
            <w:vAlign w:val="center"/>
          </w:tcPr>
          <w:p w:rsidR="00D15E6B" w:rsidRDefault="000C0D72">
            <w:pPr>
              <w:jc w:val="right"/>
            </w:pPr>
            <w:r>
              <w:rPr>
                <w:color w:val="000000"/>
                <w:sz w:val="24"/>
              </w:rPr>
              <w:t>30,000,000.00</w:t>
            </w:r>
          </w:p>
        </w:tc>
        <w:tc>
          <w:tcPr>
            <w:tcW w:w="0" w:type="auto"/>
            <w:vAlign w:val="center"/>
          </w:tcPr>
          <w:p w:rsidR="00D15E6B" w:rsidRDefault="000C0D72">
            <w:pPr>
              <w:jc w:val="right"/>
            </w:pPr>
            <w:r>
              <w:rPr>
                <w:color w:val="000000"/>
                <w:sz w:val="24"/>
              </w:rPr>
              <w:t>0.12</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346DC3" w:rsidRDefault="002304D5" w:rsidP="00281564">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D15E6B" w:rsidRDefault="000C0D72">
      <w:pPr>
        <w:adjustRightInd w:val="0"/>
        <w:spacing w:before="29" w:line="288" w:lineRule="auto"/>
        <w:ind w:left="17"/>
        <w:rPr>
          <w:color w:val="000000"/>
          <w:sz w:val="24"/>
        </w:rPr>
      </w:pPr>
      <w:r>
        <w:rPr>
          <w:color w:val="000000"/>
          <w:sz w:val="24"/>
        </w:rPr>
        <w:t>报告期内本基金投资的前十名证券的发行主体除</w:t>
      </w:r>
      <w:r>
        <w:rPr>
          <w:color w:val="000000"/>
          <w:sz w:val="24"/>
        </w:rPr>
        <w:t>20</w:t>
      </w:r>
      <w:r>
        <w:rPr>
          <w:color w:val="000000"/>
          <w:sz w:val="24"/>
        </w:rPr>
        <w:t>招商</w:t>
      </w:r>
      <w:r>
        <w:rPr>
          <w:color w:val="000000"/>
          <w:sz w:val="24"/>
        </w:rPr>
        <w:t>CP010BC</w:t>
      </w:r>
      <w:r>
        <w:rPr>
          <w:color w:val="000000"/>
          <w:sz w:val="24"/>
        </w:rPr>
        <w:t>（</w:t>
      </w:r>
      <w:r>
        <w:rPr>
          <w:color w:val="000000"/>
          <w:sz w:val="24"/>
        </w:rPr>
        <w:t>072000130</w:t>
      </w:r>
      <w:r>
        <w:rPr>
          <w:color w:val="000000"/>
          <w:sz w:val="24"/>
        </w:rPr>
        <w:t>）外，未出现被监管部门立案调查，或在报告编制日前一年内受到公开谴责、处罚的情形。</w:t>
      </w:r>
    </w:p>
    <w:p w:rsidR="00D15E6B" w:rsidRDefault="000C0D72">
      <w:pPr>
        <w:adjustRightInd w:val="0"/>
        <w:spacing w:before="29" w:line="288" w:lineRule="auto"/>
        <w:ind w:left="17"/>
        <w:rPr>
          <w:color w:val="000000"/>
          <w:sz w:val="24"/>
        </w:rPr>
      </w:pPr>
      <w:r>
        <w:rPr>
          <w:color w:val="000000"/>
          <w:sz w:val="24"/>
        </w:rPr>
        <w:t>报告期内本基金投资的前十名证券之一</w:t>
      </w:r>
      <w:r>
        <w:rPr>
          <w:color w:val="000000"/>
          <w:sz w:val="24"/>
        </w:rPr>
        <w:t>20</w:t>
      </w:r>
      <w:r>
        <w:rPr>
          <w:color w:val="000000"/>
          <w:sz w:val="24"/>
        </w:rPr>
        <w:t>招商</w:t>
      </w:r>
      <w:r>
        <w:rPr>
          <w:color w:val="000000"/>
          <w:sz w:val="24"/>
        </w:rPr>
        <w:t>CP010BC</w:t>
      </w:r>
      <w:r>
        <w:rPr>
          <w:color w:val="000000"/>
          <w:sz w:val="24"/>
        </w:rPr>
        <w:t>（</w:t>
      </w:r>
      <w:r>
        <w:rPr>
          <w:color w:val="000000"/>
          <w:sz w:val="24"/>
        </w:rPr>
        <w:t>072000130</w:t>
      </w:r>
      <w:r>
        <w:rPr>
          <w:color w:val="000000"/>
          <w:sz w:val="24"/>
        </w:rPr>
        <w:t>）的发行主体招商证券于</w:t>
      </w:r>
      <w:r>
        <w:rPr>
          <w:color w:val="000000"/>
          <w:sz w:val="24"/>
        </w:rPr>
        <w:t>2019</w:t>
      </w:r>
      <w:r>
        <w:rPr>
          <w:color w:val="000000"/>
          <w:sz w:val="24"/>
        </w:rPr>
        <w:t>年</w:t>
      </w:r>
      <w:r>
        <w:rPr>
          <w:color w:val="000000"/>
          <w:sz w:val="24"/>
        </w:rPr>
        <w:t>9</w:t>
      </w:r>
      <w:r>
        <w:rPr>
          <w:color w:val="000000"/>
          <w:sz w:val="24"/>
        </w:rPr>
        <w:t>月</w:t>
      </w:r>
      <w:r>
        <w:rPr>
          <w:color w:val="000000"/>
          <w:sz w:val="24"/>
        </w:rPr>
        <w:t>11</w:t>
      </w:r>
      <w:r>
        <w:rPr>
          <w:color w:val="000000"/>
          <w:sz w:val="24"/>
        </w:rPr>
        <w:t>日公告，中国证监会北京监管局向公司北京朝外大</w:t>
      </w:r>
      <w:r>
        <w:rPr>
          <w:color w:val="000000"/>
          <w:sz w:val="24"/>
        </w:rPr>
        <w:t>街证券营业部下发了《关于对招商证券股份有限公司北京朝外大街证券营业部采取责令改正并增加合规检查次数措施的决定》（</w:t>
      </w:r>
      <w:r>
        <w:rPr>
          <w:color w:val="000000"/>
          <w:sz w:val="24"/>
        </w:rPr>
        <w:t>[2019]96</w:t>
      </w:r>
      <w:r>
        <w:rPr>
          <w:color w:val="000000"/>
          <w:sz w:val="24"/>
        </w:rPr>
        <w:t>号），认为该营业部在为某客户开立融资融券账户时，由于员工操作失误，该营业部将融资融券账户错误关联到另一客户股东账户下；在代销产品过程中，该营业部向某客户进行风险提示的留痕缺失。因此，北京证监局对该营业部作出责令改正并增加合规检查次数的监督管理措施决定。</w:t>
      </w:r>
    </w:p>
    <w:p w:rsidR="00EB25E4" w:rsidRDefault="002304D5" w:rsidP="00281564">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623E3A" w:rsidRPr="000E4C40" w:rsidRDefault="00623E3A" w:rsidP="00281564">
      <w:pPr>
        <w:adjustRightInd w:val="0"/>
        <w:spacing w:before="29" w:line="288" w:lineRule="auto"/>
        <w:ind w:left="17"/>
        <w:rPr>
          <w:color w:val="000000"/>
          <w:sz w:val="24"/>
        </w:rPr>
      </w:pPr>
    </w:p>
    <w:p w:rsidR="009D74FC" w:rsidRPr="00346DC3" w:rsidRDefault="002304D5" w:rsidP="00281564">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103,563,228.69</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302,819.66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428.00</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103,866,476.35</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346DC3" w:rsidRDefault="002304D5" w:rsidP="00281564">
      <w:pPr>
        <w:spacing w:before="29" w:line="288" w:lineRule="auto"/>
        <w:rPr>
          <w:b/>
          <w:color w:val="000000"/>
          <w:kern w:val="0"/>
          <w:sz w:val="24"/>
        </w:rPr>
      </w:pPr>
      <w:r w:rsidRPr="00346DC3">
        <w:rPr>
          <w:b/>
          <w:color w:val="000000"/>
          <w:kern w:val="0"/>
          <w:sz w:val="24"/>
        </w:rPr>
        <w:t>5.9.4</w:t>
      </w:r>
      <w:r w:rsidR="00DE7C60" w:rsidRPr="00346DC3">
        <w:rPr>
          <w:rFonts w:hAnsi="宋体"/>
          <w:b/>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18,266,962,141.73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207,508,686.74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116,864,380,817.28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137,317,370.03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111,223,685,346.17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96,130,965.51</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23,907,657,612.84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248,695,091.26</w:t>
            </w:r>
          </w:p>
        </w:tc>
      </w:tr>
    </w:tbl>
    <w:p w:rsidR="00D15E6B" w:rsidRDefault="000C0D7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D15E6B">
        <w:trPr>
          <w:jc w:val="center"/>
        </w:trPr>
        <w:tc>
          <w:tcPr>
            <w:tcW w:w="1454" w:type="dxa"/>
            <w:vAlign w:val="center"/>
          </w:tcPr>
          <w:p w:rsidR="00D15E6B" w:rsidRDefault="000C0D72">
            <w:pPr>
              <w:jc w:val="center"/>
            </w:pPr>
            <w:r>
              <w:rPr>
                <w:color w:val="000000"/>
                <w:sz w:val="24"/>
              </w:rPr>
              <w:t>1</w:t>
            </w:r>
          </w:p>
        </w:tc>
        <w:tc>
          <w:tcPr>
            <w:tcW w:w="1678" w:type="dxa"/>
            <w:vAlign w:val="center"/>
          </w:tcPr>
          <w:p w:rsidR="00D15E6B" w:rsidRDefault="000C0D72">
            <w:pPr>
              <w:jc w:val="center"/>
            </w:pPr>
            <w:r>
              <w:rPr>
                <w:color w:val="000000"/>
                <w:sz w:val="24"/>
              </w:rPr>
              <w:t>E</w:t>
            </w:r>
            <w:r>
              <w:rPr>
                <w:color w:val="000000"/>
                <w:sz w:val="24"/>
              </w:rPr>
              <w:t>类份额红利再投</w:t>
            </w:r>
          </w:p>
        </w:tc>
        <w:tc>
          <w:tcPr>
            <w:tcW w:w="1249" w:type="dxa"/>
            <w:vAlign w:val="center"/>
          </w:tcPr>
          <w:p w:rsidR="00D15E6B" w:rsidRDefault="000C0D72">
            <w:pPr>
              <w:jc w:val="center"/>
            </w:pPr>
            <w:r>
              <w:rPr>
                <w:color w:val="000000"/>
                <w:sz w:val="24"/>
              </w:rPr>
              <w:t>-</w:t>
            </w:r>
          </w:p>
        </w:tc>
        <w:tc>
          <w:tcPr>
            <w:tcW w:w="1544" w:type="dxa"/>
            <w:vAlign w:val="center"/>
          </w:tcPr>
          <w:p w:rsidR="00D15E6B" w:rsidRDefault="000C0D72">
            <w:pPr>
              <w:jc w:val="right"/>
            </w:pPr>
            <w:r>
              <w:rPr>
                <w:color w:val="000000"/>
                <w:sz w:val="24"/>
              </w:rPr>
              <w:t>1,426.98</w:t>
            </w:r>
          </w:p>
        </w:tc>
        <w:tc>
          <w:tcPr>
            <w:tcW w:w="1670" w:type="dxa"/>
            <w:vAlign w:val="center"/>
          </w:tcPr>
          <w:p w:rsidR="00D15E6B" w:rsidRDefault="000C0D72">
            <w:pPr>
              <w:jc w:val="right"/>
            </w:pPr>
            <w:r>
              <w:rPr>
                <w:color w:val="000000"/>
                <w:sz w:val="24"/>
              </w:rPr>
              <w:t>1,426.98</w:t>
            </w:r>
          </w:p>
        </w:tc>
        <w:tc>
          <w:tcPr>
            <w:tcW w:w="1273" w:type="dxa"/>
            <w:vAlign w:val="center"/>
          </w:tcPr>
          <w:p w:rsidR="00D15E6B" w:rsidRDefault="000C0D72">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1,426.98</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1,426.98</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D15E6B" w:rsidRDefault="000C0D7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；持有本基金</w:t>
      </w:r>
      <w:r>
        <w:rPr>
          <w:color w:val="000000"/>
          <w:sz w:val="24"/>
        </w:rPr>
        <w:t>E</w:t>
      </w:r>
      <w:r>
        <w:rPr>
          <w:color w:val="000000"/>
          <w:sz w:val="24"/>
        </w:rPr>
        <w:t>类份额</w:t>
      </w:r>
      <w:r>
        <w:rPr>
          <w:color w:val="000000"/>
          <w:sz w:val="24"/>
        </w:rPr>
        <w:t>271,191.32</w:t>
      </w:r>
      <w:r>
        <w:rPr>
          <w:color w:val="000000"/>
          <w:sz w:val="24"/>
        </w:rPr>
        <w:t>份，占本基金期末</w:t>
      </w:r>
      <w:r>
        <w:rPr>
          <w:color w:val="000000"/>
          <w:sz w:val="24"/>
        </w:rPr>
        <w:t>E</w:t>
      </w:r>
      <w:r>
        <w:rPr>
          <w:color w:val="000000"/>
          <w:sz w:val="24"/>
        </w:rPr>
        <w:t>类基金总份额的</w:t>
      </w:r>
      <w:r>
        <w:rPr>
          <w:color w:val="000000"/>
          <w:sz w:val="24"/>
        </w:rPr>
        <w:t>0.11%</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D15E6B" w:rsidRDefault="000C0D72">
      <w:pPr>
        <w:spacing w:before="29" w:line="288" w:lineRule="auto"/>
        <w:ind w:firstLineChars="200" w:firstLine="480"/>
        <w:rPr>
          <w:color w:val="000000"/>
          <w:sz w:val="24"/>
        </w:rPr>
      </w:pPr>
      <w:r>
        <w:rPr>
          <w:color w:val="000000"/>
          <w:sz w:val="24"/>
        </w:rPr>
        <w:t>1</w:t>
      </w:r>
      <w:r>
        <w:rPr>
          <w:color w:val="000000"/>
          <w:sz w:val="24"/>
        </w:rPr>
        <w:t>、中国证监会准予交银施罗德现金宝货币市场基金募集注册的文件；</w:t>
      </w:r>
      <w:r>
        <w:rPr>
          <w:color w:val="000000"/>
          <w:sz w:val="24"/>
        </w:rPr>
        <w:t xml:space="preserve"> </w:t>
      </w:r>
    </w:p>
    <w:p w:rsidR="00D15E6B" w:rsidRDefault="000C0D72">
      <w:pPr>
        <w:spacing w:before="29" w:line="288" w:lineRule="auto"/>
        <w:ind w:firstLineChars="200" w:firstLine="480"/>
        <w:rPr>
          <w:color w:val="000000"/>
          <w:sz w:val="24"/>
        </w:rPr>
      </w:pPr>
      <w:r>
        <w:rPr>
          <w:color w:val="000000"/>
          <w:sz w:val="24"/>
        </w:rPr>
        <w:t>2</w:t>
      </w:r>
      <w:r>
        <w:rPr>
          <w:color w:val="000000"/>
          <w:sz w:val="24"/>
        </w:rPr>
        <w:t>、《交银施罗德现金宝货币市场基金基金合同》；</w:t>
      </w:r>
      <w:r>
        <w:rPr>
          <w:color w:val="000000"/>
          <w:sz w:val="24"/>
        </w:rPr>
        <w:t xml:space="preserve"> </w:t>
      </w:r>
    </w:p>
    <w:p w:rsidR="00D15E6B" w:rsidRDefault="000C0D72">
      <w:pPr>
        <w:spacing w:before="29" w:line="288" w:lineRule="auto"/>
        <w:ind w:firstLineChars="200" w:firstLine="480"/>
        <w:rPr>
          <w:color w:val="000000"/>
          <w:sz w:val="24"/>
        </w:rPr>
      </w:pPr>
      <w:r>
        <w:rPr>
          <w:color w:val="000000"/>
          <w:sz w:val="24"/>
        </w:rPr>
        <w:t>3</w:t>
      </w:r>
      <w:r>
        <w:rPr>
          <w:color w:val="000000"/>
          <w:sz w:val="24"/>
        </w:rPr>
        <w:t>、《交银施罗德现金宝货币市场基金招募说明书》；</w:t>
      </w:r>
      <w:r>
        <w:rPr>
          <w:color w:val="000000"/>
          <w:sz w:val="24"/>
        </w:rPr>
        <w:t xml:space="preserve"> </w:t>
      </w:r>
    </w:p>
    <w:p w:rsidR="00D15E6B" w:rsidRDefault="000C0D72">
      <w:pPr>
        <w:spacing w:before="29" w:line="288" w:lineRule="auto"/>
        <w:ind w:firstLineChars="200" w:firstLine="480"/>
        <w:rPr>
          <w:color w:val="000000"/>
          <w:sz w:val="24"/>
        </w:rPr>
      </w:pPr>
      <w:r>
        <w:rPr>
          <w:color w:val="000000"/>
          <w:sz w:val="24"/>
        </w:rPr>
        <w:t>4</w:t>
      </w:r>
      <w:r>
        <w:rPr>
          <w:color w:val="000000"/>
          <w:sz w:val="24"/>
        </w:rPr>
        <w:t>、《交银施罗德现金宝货币市场基金托管协议》；</w:t>
      </w:r>
    </w:p>
    <w:p w:rsidR="00D15E6B" w:rsidRDefault="000C0D72">
      <w:pPr>
        <w:spacing w:before="29" w:line="288" w:lineRule="auto"/>
        <w:ind w:firstLineChars="200" w:firstLine="480"/>
        <w:rPr>
          <w:color w:val="000000"/>
          <w:sz w:val="24"/>
        </w:rPr>
      </w:pPr>
      <w:r>
        <w:rPr>
          <w:color w:val="000000"/>
          <w:sz w:val="24"/>
        </w:rPr>
        <w:t>5</w:t>
      </w:r>
      <w:r>
        <w:rPr>
          <w:color w:val="000000"/>
          <w:sz w:val="24"/>
        </w:rPr>
        <w:t>、关于申请募集交银施罗德现金宝货币市场基金的法律意见书；</w:t>
      </w:r>
    </w:p>
    <w:p w:rsidR="00D15E6B" w:rsidRDefault="000C0D72">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D15E6B" w:rsidRDefault="000C0D72">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、报告期内交银施罗德现金宝货币市场基金在指定报刊上各项公告的原稿。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D15E6B" w:rsidRDefault="000C0D7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39A" w:rsidRDefault="00D3539A">
      <w:r>
        <w:separator/>
      </w:r>
    </w:p>
  </w:endnote>
  <w:endnote w:type="continuationSeparator" w:id="0">
    <w:p w:rsidR="00D3539A" w:rsidRDefault="00D3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C0D72">
      <w:rPr>
        <w:noProof/>
        <w:kern w:val="0"/>
        <w:szCs w:val="21"/>
      </w:rPr>
      <w:t>11</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0C0D72">
      <w:rPr>
        <w:noProof/>
        <w:kern w:val="0"/>
        <w:szCs w:val="21"/>
      </w:rPr>
      <w:t>14</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39A" w:rsidRDefault="00D3539A">
      <w:r>
        <w:separator/>
      </w:r>
    </w:p>
  </w:footnote>
  <w:footnote w:type="continuationSeparator" w:id="0">
    <w:p w:rsidR="00D3539A" w:rsidRDefault="00D35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交银施罗德现金宝货币市场基金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0D72"/>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5E6B"/>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6F56233-93EB-476F-ABDD-773FDFE1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14</Pages>
  <Words>1358</Words>
  <Characters>7747</Characters>
  <Application>Microsoft Office Word</Application>
  <DocSecurity>0</DocSecurity>
  <Lines>64</Lines>
  <Paragraphs>18</Paragraphs>
  <ScaleCrop>false</ScaleCrop>
  <Company>jysld</Company>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337</cp:revision>
  <cp:lastPrinted>2009-01-22T10:11:00Z</cp:lastPrinted>
  <dcterms:created xsi:type="dcterms:W3CDTF">2012-11-21T05:49:00Z</dcterms:created>
  <dcterms:modified xsi:type="dcterms:W3CDTF">2020-07-20T07:12:00Z</dcterms:modified>
</cp:coreProperties>
</file>