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二〇二〇年七月二十一日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34145" w:rsidRDefault="00DE6A3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34145" w:rsidRDefault="00DE6A3E">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34145" w:rsidRDefault="00DE6A3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34145" w:rsidRDefault="00DE6A3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34145" w:rsidRDefault="00DE6A3E">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405,315,146.92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229,962,253.00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175,352,893.92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765,138.84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1,042,906.41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765,138.84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1,042,906.41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229,962,253.00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175,352,893.92</w:t>
            </w:r>
          </w:p>
        </w:tc>
      </w:tr>
    </w:tbl>
    <w:p w:rsidR="00234145" w:rsidRDefault="00DE6A3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34145">
        <w:trPr>
          <w:jc w:val="center"/>
        </w:trPr>
        <w:tc>
          <w:tcPr>
            <w:tcW w:w="1266" w:type="dxa"/>
            <w:vAlign w:val="center"/>
          </w:tcPr>
          <w:p w:rsidR="00234145" w:rsidRDefault="00DE6A3E">
            <w:pPr>
              <w:jc w:val="left"/>
            </w:pPr>
            <w:r>
              <w:rPr>
                <w:color w:val="000000"/>
              </w:rPr>
              <w:t>过去三个月</w:t>
            </w:r>
          </w:p>
        </w:tc>
        <w:tc>
          <w:tcPr>
            <w:tcW w:w="1267" w:type="dxa"/>
            <w:vAlign w:val="center"/>
          </w:tcPr>
          <w:p w:rsidR="00234145" w:rsidRDefault="00DE6A3E">
            <w:pPr>
              <w:jc w:val="center"/>
            </w:pPr>
            <w:r>
              <w:rPr>
                <w:color w:val="000000"/>
              </w:rPr>
              <w:t>0.3254%</w:t>
            </w:r>
          </w:p>
        </w:tc>
        <w:tc>
          <w:tcPr>
            <w:tcW w:w="1267" w:type="dxa"/>
            <w:vAlign w:val="center"/>
          </w:tcPr>
          <w:p w:rsidR="00234145" w:rsidRDefault="00DE6A3E">
            <w:pPr>
              <w:jc w:val="center"/>
            </w:pPr>
            <w:r>
              <w:rPr>
                <w:color w:val="000000"/>
              </w:rPr>
              <w:t>0.0004%</w:t>
            </w:r>
          </w:p>
        </w:tc>
        <w:tc>
          <w:tcPr>
            <w:tcW w:w="1267" w:type="dxa"/>
            <w:vAlign w:val="center"/>
          </w:tcPr>
          <w:p w:rsidR="00234145" w:rsidRDefault="00DE6A3E">
            <w:pPr>
              <w:jc w:val="center"/>
            </w:pPr>
            <w:r>
              <w:rPr>
                <w:color w:val="000000"/>
              </w:rPr>
              <w:t>0.3241%</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0.0013%</w:t>
            </w:r>
          </w:p>
        </w:tc>
        <w:tc>
          <w:tcPr>
            <w:tcW w:w="1267" w:type="dxa"/>
            <w:vAlign w:val="center"/>
          </w:tcPr>
          <w:p w:rsidR="00234145" w:rsidRDefault="00DE6A3E">
            <w:pPr>
              <w:jc w:val="center"/>
            </w:pPr>
            <w:r>
              <w:rPr>
                <w:color w:val="000000"/>
              </w:rPr>
              <w:t>0.0004%</w:t>
            </w:r>
          </w:p>
        </w:tc>
      </w:tr>
      <w:tr w:rsidR="00234145">
        <w:trPr>
          <w:jc w:val="center"/>
        </w:trPr>
        <w:tc>
          <w:tcPr>
            <w:tcW w:w="1266" w:type="dxa"/>
            <w:vAlign w:val="center"/>
          </w:tcPr>
          <w:p w:rsidR="00234145" w:rsidRDefault="00DE6A3E">
            <w:pPr>
              <w:jc w:val="left"/>
            </w:pPr>
            <w:r>
              <w:rPr>
                <w:color w:val="000000"/>
              </w:rPr>
              <w:t>过去六个月</w:t>
            </w:r>
          </w:p>
        </w:tc>
        <w:tc>
          <w:tcPr>
            <w:tcW w:w="1267" w:type="dxa"/>
            <w:vAlign w:val="center"/>
          </w:tcPr>
          <w:p w:rsidR="00234145" w:rsidRDefault="00DE6A3E">
            <w:pPr>
              <w:jc w:val="center"/>
            </w:pPr>
            <w:r>
              <w:rPr>
                <w:color w:val="000000"/>
              </w:rPr>
              <w:t>0.8619%</w:t>
            </w:r>
          </w:p>
        </w:tc>
        <w:tc>
          <w:tcPr>
            <w:tcW w:w="1267" w:type="dxa"/>
            <w:vAlign w:val="center"/>
          </w:tcPr>
          <w:p w:rsidR="00234145" w:rsidRDefault="00DE6A3E">
            <w:pPr>
              <w:jc w:val="center"/>
            </w:pPr>
            <w:r>
              <w:rPr>
                <w:color w:val="000000"/>
              </w:rPr>
              <w:t>0.0013%</w:t>
            </w:r>
          </w:p>
        </w:tc>
        <w:tc>
          <w:tcPr>
            <w:tcW w:w="1267" w:type="dxa"/>
            <w:vAlign w:val="center"/>
          </w:tcPr>
          <w:p w:rsidR="00234145" w:rsidRDefault="00DE6A3E">
            <w:pPr>
              <w:jc w:val="center"/>
            </w:pPr>
            <w:r>
              <w:rPr>
                <w:color w:val="000000"/>
              </w:rPr>
              <w:t>0.6482%</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0.2137%</w:t>
            </w:r>
          </w:p>
        </w:tc>
        <w:tc>
          <w:tcPr>
            <w:tcW w:w="1267" w:type="dxa"/>
            <w:vAlign w:val="center"/>
          </w:tcPr>
          <w:p w:rsidR="00234145" w:rsidRDefault="00DE6A3E">
            <w:pPr>
              <w:jc w:val="center"/>
            </w:pPr>
            <w:r>
              <w:rPr>
                <w:color w:val="000000"/>
              </w:rPr>
              <w:t>0.0013%</w:t>
            </w:r>
          </w:p>
        </w:tc>
      </w:tr>
      <w:tr w:rsidR="00234145">
        <w:trPr>
          <w:jc w:val="center"/>
        </w:trPr>
        <w:tc>
          <w:tcPr>
            <w:tcW w:w="1266" w:type="dxa"/>
            <w:vAlign w:val="center"/>
          </w:tcPr>
          <w:p w:rsidR="00234145" w:rsidRDefault="00DE6A3E">
            <w:pPr>
              <w:jc w:val="left"/>
            </w:pPr>
            <w:r>
              <w:rPr>
                <w:color w:val="000000"/>
              </w:rPr>
              <w:t>过去一年</w:t>
            </w:r>
          </w:p>
        </w:tc>
        <w:tc>
          <w:tcPr>
            <w:tcW w:w="1267" w:type="dxa"/>
            <w:vAlign w:val="center"/>
          </w:tcPr>
          <w:p w:rsidR="00234145" w:rsidRDefault="00DE6A3E">
            <w:pPr>
              <w:jc w:val="center"/>
            </w:pPr>
            <w:r>
              <w:rPr>
                <w:color w:val="000000"/>
              </w:rPr>
              <w:t>1.9510%</w:t>
            </w:r>
          </w:p>
        </w:tc>
        <w:tc>
          <w:tcPr>
            <w:tcW w:w="1267" w:type="dxa"/>
            <w:vAlign w:val="center"/>
          </w:tcPr>
          <w:p w:rsidR="00234145" w:rsidRDefault="00DE6A3E">
            <w:pPr>
              <w:jc w:val="center"/>
            </w:pPr>
            <w:r>
              <w:rPr>
                <w:color w:val="000000"/>
              </w:rPr>
              <w:t>0.0011%</w:t>
            </w:r>
          </w:p>
        </w:tc>
        <w:tc>
          <w:tcPr>
            <w:tcW w:w="1267" w:type="dxa"/>
            <w:vAlign w:val="center"/>
          </w:tcPr>
          <w:p w:rsidR="00234145" w:rsidRDefault="00DE6A3E">
            <w:pPr>
              <w:jc w:val="center"/>
            </w:pPr>
            <w:r>
              <w:rPr>
                <w:color w:val="000000"/>
              </w:rPr>
              <w:t>1.3036%</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0.6474%</w:t>
            </w:r>
          </w:p>
        </w:tc>
        <w:tc>
          <w:tcPr>
            <w:tcW w:w="1267" w:type="dxa"/>
            <w:vAlign w:val="center"/>
          </w:tcPr>
          <w:p w:rsidR="00234145" w:rsidRDefault="00DE6A3E">
            <w:pPr>
              <w:jc w:val="center"/>
            </w:pPr>
            <w:r>
              <w:rPr>
                <w:color w:val="000000"/>
              </w:rPr>
              <w:t>0.0011%</w:t>
            </w:r>
          </w:p>
        </w:tc>
      </w:tr>
      <w:tr w:rsidR="00234145">
        <w:trPr>
          <w:jc w:val="center"/>
        </w:trPr>
        <w:tc>
          <w:tcPr>
            <w:tcW w:w="1266" w:type="dxa"/>
            <w:vAlign w:val="center"/>
          </w:tcPr>
          <w:p w:rsidR="00234145" w:rsidRDefault="00DE6A3E">
            <w:pPr>
              <w:jc w:val="left"/>
            </w:pPr>
            <w:r>
              <w:rPr>
                <w:color w:val="000000"/>
              </w:rPr>
              <w:t>过去三年</w:t>
            </w:r>
          </w:p>
        </w:tc>
        <w:tc>
          <w:tcPr>
            <w:tcW w:w="1267" w:type="dxa"/>
            <w:vAlign w:val="center"/>
          </w:tcPr>
          <w:p w:rsidR="00234145" w:rsidRDefault="00DE6A3E">
            <w:pPr>
              <w:jc w:val="center"/>
            </w:pPr>
            <w:r>
              <w:rPr>
                <w:color w:val="000000"/>
              </w:rPr>
              <w:t>8.1144%</w:t>
            </w:r>
          </w:p>
        </w:tc>
        <w:tc>
          <w:tcPr>
            <w:tcW w:w="1267" w:type="dxa"/>
            <w:vAlign w:val="center"/>
          </w:tcPr>
          <w:p w:rsidR="00234145" w:rsidRDefault="00DE6A3E">
            <w:pPr>
              <w:jc w:val="center"/>
            </w:pPr>
            <w:r>
              <w:rPr>
                <w:color w:val="000000"/>
              </w:rPr>
              <w:t>0.0027%</w:t>
            </w:r>
          </w:p>
        </w:tc>
        <w:tc>
          <w:tcPr>
            <w:tcW w:w="1267" w:type="dxa"/>
            <w:vAlign w:val="center"/>
          </w:tcPr>
          <w:p w:rsidR="00234145" w:rsidRDefault="00DE6A3E">
            <w:pPr>
              <w:jc w:val="center"/>
            </w:pPr>
            <w:r>
              <w:rPr>
                <w:color w:val="000000"/>
              </w:rPr>
              <w:t>3.9036%</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4.2108%</w:t>
            </w:r>
          </w:p>
        </w:tc>
        <w:tc>
          <w:tcPr>
            <w:tcW w:w="1267" w:type="dxa"/>
            <w:vAlign w:val="center"/>
          </w:tcPr>
          <w:p w:rsidR="00234145" w:rsidRDefault="00DE6A3E">
            <w:pPr>
              <w:jc w:val="center"/>
            </w:pPr>
            <w:r>
              <w:rPr>
                <w:color w:val="000000"/>
              </w:rPr>
              <w:t>0.0027%</w:t>
            </w:r>
          </w:p>
        </w:tc>
      </w:tr>
      <w:tr w:rsidR="00234145">
        <w:trPr>
          <w:jc w:val="center"/>
        </w:trPr>
        <w:tc>
          <w:tcPr>
            <w:tcW w:w="1266" w:type="dxa"/>
            <w:vAlign w:val="center"/>
          </w:tcPr>
          <w:p w:rsidR="00234145" w:rsidRDefault="00DE6A3E">
            <w:pPr>
              <w:jc w:val="left"/>
            </w:pPr>
            <w:r>
              <w:rPr>
                <w:color w:val="000000"/>
              </w:rPr>
              <w:t>过去五年</w:t>
            </w:r>
          </w:p>
        </w:tc>
        <w:tc>
          <w:tcPr>
            <w:tcW w:w="1267" w:type="dxa"/>
            <w:vAlign w:val="center"/>
          </w:tcPr>
          <w:p w:rsidR="00234145" w:rsidRDefault="00DE6A3E">
            <w:pPr>
              <w:jc w:val="center"/>
            </w:pPr>
            <w:r>
              <w:rPr>
                <w:color w:val="000000"/>
              </w:rPr>
              <w:t>13.8080%</w:t>
            </w:r>
          </w:p>
        </w:tc>
        <w:tc>
          <w:tcPr>
            <w:tcW w:w="1267" w:type="dxa"/>
            <w:vAlign w:val="center"/>
          </w:tcPr>
          <w:p w:rsidR="00234145" w:rsidRDefault="00DE6A3E">
            <w:pPr>
              <w:jc w:val="center"/>
            </w:pPr>
            <w:r>
              <w:rPr>
                <w:color w:val="000000"/>
              </w:rPr>
              <w:t>0.0024%</w:t>
            </w:r>
          </w:p>
        </w:tc>
        <w:tc>
          <w:tcPr>
            <w:tcW w:w="1267" w:type="dxa"/>
            <w:vAlign w:val="center"/>
          </w:tcPr>
          <w:p w:rsidR="00234145" w:rsidRDefault="00DE6A3E">
            <w:pPr>
              <w:jc w:val="center"/>
            </w:pPr>
            <w:r>
              <w:rPr>
                <w:color w:val="000000"/>
              </w:rPr>
              <w:t>6.6242%</w:t>
            </w:r>
          </w:p>
        </w:tc>
        <w:tc>
          <w:tcPr>
            <w:tcW w:w="1267" w:type="dxa"/>
            <w:vAlign w:val="center"/>
          </w:tcPr>
          <w:p w:rsidR="00234145" w:rsidRDefault="00DE6A3E">
            <w:pPr>
              <w:jc w:val="center"/>
            </w:pPr>
            <w:r>
              <w:rPr>
                <w:color w:val="000000"/>
              </w:rPr>
              <w:t>0.0003%</w:t>
            </w:r>
          </w:p>
        </w:tc>
        <w:tc>
          <w:tcPr>
            <w:tcW w:w="1267" w:type="dxa"/>
            <w:vAlign w:val="center"/>
          </w:tcPr>
          <w:p w:rsidR="00234145" w:rsidRDefault="00DE6A3E">
            <w:pPr>
              <w:jc w:val="center"/>
            </w:pPr>
            <w:r>
              <w:rPr>
                <w:color w:val="000000"/>
              </w:rPr>
              <w:t>7.1838%</w:t>
            </w:r>
          </w:p>
        </w:tc>
        <w:tc>
          <w:tcPr>
            <w:tcW w:w="1267" w:type="dxa"/>
            <w:vAlign w:val="center"/>
          </w:tcPr>
          <w:p w:rsidR="00234145" w:rsidRDefault="00DE6A3E">
            <w:pPr>
              <w:jc w:val="center"/>
            </w:pPr>
            <w:r>
              <w:rPr>
                <w:color w:val="000000"/>
              </w:rPr>
              <w:t>0.0021%</w:t>
            </w:r>
          </w:p>
        </w:tc>
      </w:tr>
      <w:tr w:rsidR="00234145">
        <w:trPr>
          <w:jc w:val="center"/>
        </w:trPr>
        <w:tc>
          <w:tcPr>
            <w:tcW w:w="1266" w:type="dxa"/>
            <w:vAlign w:val="center"/>
          </w:tcPr>
          <w:p w:rsidR="00234145" w:rsidRDefault="00DE6A3E">
            <w:pPr>
              <w:jc w:val="left"/>
            </w:pPr>
            <w:r>
              <w:rPr>
                <w:color w:val="000000"/>
              </w:rPr>
              <w:t>自基金合同生效起至今</w:t>
            </w:r>
          </w:p>
        </w:tc>
        <w:tc>
          <w:tcPr>
            <w:tcW w:w="1267" w:type="dxa"/>
            <w:vAlign w:val="center"/>
          </w:tcPr>
          <w:p w:rsidR="00234145" w:rsidRDefault="00DE6A3E">
            <w:pPr>
              <w:jc w:val="center"/>
            </w:pPr>
            <w:r>
              <w:rPr>
                <w:color w:val="000000"/>
              </w:rPr>
              <w:t>49.9430%</w:t>
            </w:r>
          </w:p>
        </w:tc>
        <w:tc>
          <w:tcPr>
            <w:tcW w:w="1267" w:type="dxa"/>
            <w:vAlign w:val="center"/>
          </w:tcPr>
          <w:p w:rsidR="00234145" w:rsidRDefault="00DE6A3E">
            <w:pPr>
              <w:jc w:val="center"/>
            </w:pPr>
            <w:r>
              <w:rPr>
                <w:color w:val="000000"/>
              </w:rPr>
              <w:t>0.0047%</w:t>
            </w:r>
          </w:p>
        </w:tc>
        <w:tc>
          <w:tcPr>
            <w:tcW w:w="1267" w:type="dxa"/>
            <w:vAlign w:val="center"/>
          </w:tcPr>
          <w:p w:rsidR="00234145" w:rsidRDefault="00DE6A3E">
            <w:pPr>
              <w:jc w:val="center"/>
            </w:pPr>
            <w:r>
              <w:rPr>
                <w:color w:val="000000"/>
              </w:rPr>
              <w:t>30.9704%</w:t>
            </w:r>
          </w:p>
        </w:tc>
        <w:tc>
          <w:tcPr>
            <w:tcW w:w="1267" w:type="dxa"/>
            <w:vAlign w:val="center"/>
          </w:tcPr>
          <w:p w:rsidR="00234145" w:rsidRDefault="00DE6A3E">
            <w:pPr>
              <w:jc w:val="center"/>
            </w:pPr>
            <w:r>
              <w:rPr>
                <w:color w:val="000000"/>
              </w:rPr>
              <w:t>0.0021%</w:t>
            </w:r>
          </w:p>
        </w:tc>
        <w:tc>
          <w:tcPr>
            <w:tcW w:w="1267" w:type="dxa"/>
            <w:vAlign w:val="center"/>
          </w:tcPr>
          <w:p w:rsidR="00234145" w:rsidRDefault="00DE6A3E">
            <w:pPr>
              <w:jc w:val="center"/>
            </w:pPr>
            <w:r>
              <w:rPr>
                <w:color w:val="000000"/>
              </w:rPr>
              <w:t>18.9726%</w:t>
            </w:r>
          </w:p>
        </w:tc>
        <w:tc>
          <w:tcPr>
            <w:tcW w:w="1267" w:type="dxa"/>
            <w:vAlign w:val="center"/>
          </w:tcPr>
          <w:p w:rsidR="00234145" w:rsidRDefault="00DE6A3E">
            <w:pPr>
              <w:jc w:val="center"/>
            </w:pPr>
            <w:r>
              <w:rPr>
                <w:color w:val="000000"/>
              </w:rPr>
              <w:t>0.0026%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34145">
        <w:trPr>
          <w:jc w:val="center"/>
        </w:trPr>
        <w:tc>
          <w:tcPr>
            <w:tcW w:w="1266" w:type="dxa"/>
            <w:vAlign w:val="center"/>
          </w:tcPr>
          <w:p w:rsidR="00234145" w:rsidRDefault="00DE6A3E">
            <w:pPr>
              <w:jc w:val="left"/>
            </w:pPr>
            <w:r>
              <w:rPr>
                <w:color w:val="000000"/>
              </w:rPr>
              <w:t>过去三个月</w:t>
            </w:r>
          </w:p>
        </w:tc>
        <w:tc>
          <w:tcPr>
            <w:tcW w:w="1267" w:type="dxa"/>
            <w:vAlign w:val="center"/>
          </w:tcPr>
          <w:p w:rsidR="00234145" w:rsidRDefault="00DE6A3E">
            <w:pPr>
              <w:jc w:val="center"/>
            </w:pPr>
            <w:r>
              <w:rPr>
                <w:color w:val="000000"/>
              </w:rPr>
              <w:t>0.3853%</w:t>
            </w:r>
          </w:p>
        </w:tc>
        <w:tc>
          <w:tcPr>
            <w:tcW w:w="1267" w:type="dxa"/>
            <w:vAlign w:val="center"/>
          </w:tcPr>
          <w:p w:rsidR="00234145" w:rsidRDefault="00DE6A3E">
            <w:pPr>
              <w:jc w:val="center"/>
            </w:pPr>
            <w:r>
              <w:rPr>
                <w:color w:val="000000"/>
              </w:rPr>
              <w:t>0.0004%</w:t>
            </w:r>
          </w:p>
        </w:tc>
        <w:tc>
          <w:tcPr>
            <w:tcW w:w="1267" w:type="dxa"/>
            <w:vAlign w:val="center"/>
          </w:tcPr>
          <w:p w:rsidR="00234145" w:rsidRDefault="00DE6A3E">
            <w:pPr>
              <w:jc w:val="center"/>
            </w:pPr>
            <w:r>
              <w:rPr>
                <w:color w:val="000000"/>
              </w:rPr>
              <w:t>0.3241%</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0.0612%</w:t>
            </w:r>
          </w:p>
        </w:tc>
        <w:tc>
          <w:tcPr>
            <w:tcW w:w="1267" w:type="dxa"/>
            <w:vAlign w:val="center"/>
          </w:tcPr>
          <w:p w:rsidR="00234145" w:rsidRDefault="00DE6A3E">
            <w:pPr>
              <w:jc w:val="center"/>
            </w:pPr>
            <w:r>
              <w:rPr>
                <w:color w:val="000000"/>
              </w:rPr>
              <w:t>0.0004%</w:t>
            </w:r>
          </w:p>
        </w:tc>
      </w:tr>
      <w:tr w:rsidR="00234145">
        <w:trPr>
          <w:jc w:val="center"/>
        </w:trPr>
        <w:tc>
          <w:tcPr>
            <w:tcW w:w="1266" w:type="dxa"/>
            <w:vAlign w:val="center"/>
          </w:tcPr>
          <w:p w:rsidR="00234145" w:rsidRDefault="00DE6A3E">
            <w:pPr>
              <w:jc w:val="left"/>
            </w:pPr>
            <w:r>
              <w:rPr>
                <w:color w:val="000000"/>
              </w:rPr>
              <w:t>过去六个月</w:t>
            </w:r>
          </w:p>
        </w:tc>
        <w:tc>
          <w:tcPr>
            <w:tcW w:w="1267" w:type="dxa"/>
            <w:vAlign w:val="center"/>
          </w:tcPr>
          <w:p w:rsidR="00234145" w:rsidRDefault="00DE6A3E">
            <w:pPr>
              <w:jc w:val="center"/>
            </w:pPr>
            <w:r>
              <w:rPr>
                <w:color w:val="000000"/>
              </w:rPr>
              <w:t>0.9822%</w:t>
            </w:r>
          </w:p>
        </w:tc>
        <w:tc>
          <w:tcPr>
            <w:tcW w:w="1267" w:type="dxa"/>
            <w:vAlign w:val="center"/>
          </w:tcPr>
          <w:p w:rsidR="00234145" w:rsidRDefault="00DE6A3E">
            <w:pPr>
              <w:jc w:val="center"/>
            </w:pPr>
            <w:r>
              <w:rPr>
                <w:color w:val="000000"/>
              </w:rPr>
              <w:t>0.0013%</w:t>
            </w:r>
          </w:p>
        </w:tc>
        <w:tc>
          <w:tcPr>
            <w:tcW w:w="1267" w:type="dxa"/>
            <w:vAlign w:val="center"/>
          </w:tcPr>
          <w:p w:rsidR="00234145" w:rsidRDefault="00DE6A3E">
            <w:pPr>
              <w:jc w:val="center"/>
            </w:pPr>
            <w:r>
              <w:rPr>
                <w:color w:val="000000"/>
              </w:rPr>
              <w:t>0.6482%</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0.3340%</w:t>
            </w:r>
          </w:p>
        </w:tc>
        <w:tc>
          <w:tcPr>
            <w:tcW w:w="1267" w:type="dxa"/>
            <w:vAlign w:val="center"/>
          </w:tcPr>
          <w:p w:rsidR="00234145" w:rsidRDefault="00DE6A3E">
            <w:pPr>
              <w:jc w:val="center"/>
            </w:pPr>
            <w:r>
              <w:rPr>
                <w:color w:val="000000"/>
              </w:rPr>
              <w:t>0.0013%</w:t>
            </w:r>
          </w:p>
        </w:tc>
      </w:tr>
      <w:tr w:rsidR="00234145">
        <w:trPr>
          <w:jc w:val="center"/>
        </w:trPr>
        <w:tc>
          <w:tcPr>
            <w:tcW w:w="1266" w:type="dxa"/>
            <w:vAlign w:val="center"/>
          </w:tcPr>
          <w:p w:rsidR="00234145" w:rsidRDefault="00DE6A3E">
            <w:pPr>
              <w:jc w:val="left"/>
            </w:pPr>
            <w:r>
              <w:rPr>
                <w:color w:val="000000"/>
              </w:rPr>
              <w:t>过去一年</w:t>
            </w:r>
          </w:p>
        </w:tc>
        <w:tc>
          <w:tcPr>
            <w:tcW w:w="1267" w:type="dxa"/>
            <w:vAlign w:val="center"/>
          </w:tcPr>
          <w:p w:rsidR="00234145" w:rsidRDefault="00DE6A3E">
            <w:pPr>
              <w:jc w:val="center"/>
            </w:pPr>
            <w:r>
              <w:rPr>
                <w:color w:val="000000"/>
              </w:rPr>
              <w:t>2.1961%</w:t>
            </w:r>
          </w:p>
        </w:tc>
        <w:tc>
          <w:tcPr>
            <w:tcW w:w="1267" w:type="dxa"/>
            <w:vAlign w:val="center"/>
          </w:tcPr>
          <w:p w:rsidR="00234145" w:rsidRDefault="00DE6A3E">
            <w:pPr>
              <w:jc w:val="center"/>
            </w:pPr>
            <w:r>
              <w:rPr>
                <w:color w:val="000000"/>
              </w:rPr>
              <w:t>0.0011%</w:t>
            </w:r>
          </w:p>
        </w:tc>
        <w:tc>
          <w:tcPr>
            <w:tcW w:w="1267" w:type="dxa"/>
            <w:vAlign w:val="center"/>
          </w:tcPr>
          <w:p w:rsidR="00234145" w:rsidRDefault="00DE6A3E">
            <w:pPr>
              <w:jc w:val="center"/>
            </w:pPr>
            <w:r>
              <w:rPr>
                <w:color w:val="000000"/>
              </w:rPr>
              <w:t>1.3036%</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0.8925%</w:t>
            </w:r>
          </w:p>
        </w:tc>
        <w:tc>
          <w:tcPr>
            <w:tcW w:w="1267" w:type="dxa"/>
            <w:vAlign w:val="center"/>
          </w:tcPr>
          <w:p w:rsidR="00234145" w:rsidRDefault="00DE6A3E">
            <w:pPr>
              <w:jc w:val="center"/>
            </w:pPr>
            <w:r>
              <w:rPr>
                <w:color w:val="000000"/>
              </w:rPr>
              <w:t>0.0011%</w:t>
            </w:r>
          </w:p>
        </w:tc>
      </w:tr>
      <w:tr w:rsidR="00234145">
        <w:trPr>
          <w:jc w:val="center"/>
        </w:trPr>
        <w:tc>
          <w:tcPr>
            <w:tcW w:w="1266" w:type="dxa"/>
            <w:vAlign w:val="center"/>
          </w:tcPr>
          <w:p w:rsidR="00234145" w:rsidRDefault="00DE6A3E">
            <w:pPr>
              <w:jc w:val="left"/>
            </w:pPr>
            <w:r>
              <w:rPr>
                <w:color w:val="000000"/>
              </w:rPr>
              <w:t>过去三年</w:t>
            </w:r>
          </w:p>
        </w:tc>
        <w:tc>
          <w:tcPr>
            <w:tcW w:w="1267" w:type="dxa"/>
            <w:vAlign w:val="center"/>
          </w:tcPr>
          <w:p w:rsidR="00234145" w:rsidRDefault="00DE6A3E">
            <w:pPr>
              <w:jc w:val="center"/>
            </w:pPr>
            <w:r>
              <w:rPr>
                <w:color w:val="000000"/>
              </w:rPr>
              <w:t>8.8947%</w:t>
            </w:r>
          </w:p>
        </w:tc>
        <w:tc>
          <w:tcPr>
            <w:tcW w:w="1267" w:type="dxa"/>
            <w:vAlign w:val="center"/>
          </w:tcPr>
          <w:p w:rsidR="00234145" w:rsidRDefault="00DE6A3E">
            <w:pPr>
              <w:jc w:val="center"/>
            </w:pPr>
            <w:r>
              <w:rPr>
                <w:color w:val="000000"/>
              </w:rPr>
              <w:t>0.0027%</w:t>
            </w:r>
          </w:p>
        </w:tc>
        <w:tc>
          <w:tcPr>
            <w:tcW w:w="1267" w:type="dxa"/>
            <w:vAlign w:val="center"/>
          </w:tcPr>
          <w:p w:rsidR="00234145" w:rsidRDefault="00DE6A3E">
            <w:pPr>
              <w:jc w:val="center"/>
            </w:pPr>
            <w:r>
              <w:rPr>
                <w:color w:val="000000"/>
              </w:rPr>
              <w:t>3.9036%</w:t>
            </w:r>
          </w:p>
        </w:tc>
        <w:tc>
          <w:tcPr>
            <w:tcW w:w="1267" w:type="dxa"/>
            <w:vAlign w:val="center"/>
          </w:tcPr>
          <w:p w:rsidR="00234145" w:rsidRDefault="00DE6A3E">
            <w:pPr>
              <w:jc w:val="center"/>
            </w:pPr>
            <w:r>
              <w:rPr>
                <w:color w:val="000000"/>
              </w:rPr>
              <w:t>0.0000%</w:t>
            </w:r>
          </w:p>
        </w:tc>
        <w:tc>
          <w:tcPr>
            <w:tcW w:w="1267" w:type="dxa"/>
            <w:vAlign w:val="center"/>
          </w:tcPr>
          <w:p w:rsidR="00234145" w:rsidRDefault="00DE6A3E">
            <w:pPr>
              <w:jc w:val="center"/>
            </w:pPr>
            <w:r>
              <w:rPr>
                <w:color w:val="000000"/>
              </w:rPr>
              <w:t>4.9911%</w:t>
            </w:r>
          </w:p>
        </w:tc>
        <w:tc>
          <w:tcPr>
            <w:tcW w:w="1267" w:type="dxa"/>
            <w:vAlign w:val="center"/>
          </w:tcPr>
          <w:p w:rsidR="00234145" w:rsidRDefault="00DE6A3E">
            <w:pPr>
              <w:jc w:val="center"/>
            </w:pPr>
            <w:r>
              <w:rPr>
                <w:color w:val="000000"/>
              </w:rPr>
              <w:t>0.0027%</w:t>
            </w:r>
          </w:p>
        </w:tc>
      </w:tr>
      <w:tr w:rsidR="00234145">
        <w:trPr>
          <w:jc w:val="center"/>
        </w:trPr>
        <w:tc>
          <w:tcPr>
            <w:tcW w:w="1266" w:type="dxa"/>
            <w:vAlign w:val="center"/>
          </w:tcPr>
          <w:p w:rsidR="00234145" w:rsidRDefault="00DE6A3E">
            <w:pPr>
              <w:jc w:val="left"/>
            </w:pPr>
            <w:r>
              <w:rPr>
                <w:color w:val="000000"/>
              </w:rPr>
              <w:t>过去五年</w:t>
            </w:r>
          </w:p>
        </w:tc>
        <w:tc>
          <w:tcPr>
            <w:tcW w:w="1267" w:type="dxa"/>
            <w:vAlign w:val="center"/>
          </w:tcPr>
          <w:p w:rsidR="00234145" w:rsidRDefault="00DE6A3E">
            <w:pPr>
              <w:jc w:val="center"/>
            </w:pPr>
            <w:r>
              <w:rPr>
                <w:color w:val="000000"/>
              </w:rPr>
              <w:t>15.1802%</w:t>
            </w:r>
          </w:p>
        </w:tc>
        <w:tc>
          <w:tcPr>
            <w:tcW w:w="1267" w:type="dxa"/>
            <w:vAlign w:val="center"/>
          </w:tcPr>
          <w:p w:rsidR="00234145" w:rsidRDefault="00DE6A3E">
            <w:pPr>
              <w:jc w:val="center"/>
            </w:pPr>
            <w:r>
              <w:rPr>
                <w:color w:val="000000"/>
              </w:rPr>
              <w:t>0.0024%</w:t>
            </w:r>
          </w:p>
        </w:tc>
        <w:tc>
          <w:tcPr>
            <w:tcW w:w="1267" w:type="dxa"/>
            <w:vAlign w:val="center"/>
          </w:tcPr>
          <w:p w:rsidR="00234145" w:rsidRDefault="00DE6A3E">
            <w:pPr>
              <w:jc w:val="center"/>
            </w:pPr>
            <w:r>
              <w:rPr>
                <w:color w:val="000000"/>
              </w:rPr>
              <w:t>6.6242%</w:t>
            </w:r>
          </w:p>
        </w:tc>
        <w:tc>
          <w:tcPr>
            <w:tcW w:w="1267" w:type="dxa"/>
            <w:vAlign w:val="center"/>
          </w:tcPr>
          <w:p w:rsidR="00234145" w:rsidRDefault="00DE6A3E">
            <w:pPr>
              <w:jc w:val="center"/>
            </w:pPr>
            <w:r>
              <w:rPr>
                <w:color w:val="000000"/>
              </w:rPr>
              <w:t>0.0003%</w:t>
            </w:r>
          </w:p>
        </w:tc>
        <w:tc>
          <w:tcPr>
            <w:tcW w:w="1267" w:type="dxa"/>
            <w:vAlign w:val="center"/>
          </w:tcPr>
          <w:p w:rsidR="00234145" w:rsidRDefault="00DE6A3E">
            <w:pPr>
              <w:jc w:val="center"/>
            </w:pPr>
            <w:r>
              <w:rPr>
                <w:color w:val="000000"/>
              </w:rPr>
              <w:t>8.5560%</w:t>
            </w:r>
          </w:p>
        </w:tc>
        <w:tc>
          <w:tcPr>
            <w:tcW w:w="1267" w:type="dxa"/>
            <w:vAlign w:val="center"/>
          </w:tcPr>
          <w:p w:rsidR="00234145" w:rsidRDefault="00DE6A3E">
            <w:pPr>
              <w:jc w:val="center"/>
            </w:pPr>
            <w:r>
              <w:rPr>
                <w:color w:val="000000"/>
              </w:rPr>
              <w:t>0.0021%</w:t>
            </w:r>
          </w:p>
        </w:tc>
      </w:tr>
      <w:tr w:rsidR="00234145">
        <w:trPr>
          <w:jc w:val="center"/>
        </w:trPr>
        <w:tc>
          <w:tcPr>
            <w:tcW w:w="1266" w:type="dxa"/>
            <w:vAlign w:val="center"/>
          </w:tcPr>
          <w:p w:rsidR="00234145" w:rsidRDefault="00DE6A3E">
            <w:pPr>
              <w:jc w:val="left"/>
            </w:pPr>
            <w:r>
              <w:rPr>
                <w:color w:val="000000"/>
              </w:rPr>
              <w:t>自</w:t>
            </w:r>
            <w:bookmarkStart w:id="0" w:name="_GoBack"/>
            <w:r>
              <w:rPr>
                <w:rFonts w:hint="eastAsia"/>
                <w:color w:val="000000"/>
              </w:rPr>
              <w:t>基金</w:t>
            </w:r>
            <w:bookmarkEnd w:id="0"/>
            <w:r>
              <w:rPr>
                <w:rFonts w:hint="eastAsia"/>
                <w:color w:val="000000"/>
              </w:rPr>
              <w:t>分级</w:t>
            </w:r>
            <w:r>
              <w:rPr>
                <w:color w:val="000000"/>
              </w:rPr>
              <w:t>起至今</w:t>
            </w:r>
          </w:p>
        </w:tc>
        <w:tc>
          <w:tcPr>
            <w:tcW w:w="1267" w:type="dxa"/>
            <w:vAlign w:val="center"/>
          </w:tcPr>
          <w:p w:rsidR="00234145" w:rsidRDefault="00DE6A3E">
            <w:pPr>
              <w:jc w:val="center"/>
            </w:pPr>
            <w:r>
              <w:rPr>
                <w:color w:val="000000"/>
              </w:rPr>
              <w:t>50.3943%</w:t>
            </w:r>
          </w:p>
        </w:tc>
        <w:tc>
          <w:tcPr>
            <w:tcW w:w="1267" w:type="dxa"/>
            <w:vAlign w:val="center"/>
          </w:tcPr>
          <w:p w:rsidR="00234145" w:rsidRDefault="00DE6A3E">
            <w:pPr>
              <w:jc w:val="center"/>
            </w:pPr>
            <w:r>
              <w:rPr>
                <w:color w:val="000000"/>
              </w:rPr>
              <w:t>0.0048%</w:t>
            </w:r>
          </w:p>
        </w:tc>
        <w:tc>
          <w:tcPr>
            <w:tcW w:w="1267" w:type="dxa"/>
            <w:vAlign w:val="center"/>
          </w:tcPr>
          <w:p w:rsidR="00234145" w:rsidRDefault="00DE6A3E">
            <w:pPr>
              <w:jc w:val="center"/>
            </w:pPr>
            <w:r>
              <w:rPr>
                <w:color w:val="000000"/>
              </w:rPr>
              <w:t>28.4478%</w:t>
            </w:r>
          </w:p>
        </w:tc>
        <w:tc>
          <w:tcPr>
            <w:tcW w:w="1267" w:type="dxa"/>
            <w:vAlign w:val="center"/>
          </w:tcPr>
          <w:p w:rsidR="00234145" w:rsidRDefault="00DE6A3E">
            <w:pPr>
              <w:jc w:val="center"/>
            </w:pPr>
            <w:r>
              <w:rPr>
                <w:color w:val="000000"/>
              </w:rPr>
              <w:t>0.0022%</w:t>
            </w:r>
          </w:p>
        </w:tc>
        <w:tc>
          <w:tcPr>
            <w:tcW w:w="1267" w:type="dxa"/>
            <w:vAlign w:val="center"/>
          </w:tcPr>
          <w:p w:rsidR="00234145" w:rsidRDefault="00DE6A3E">
            <w:pPr>
              <w:jc w:val="center"/>
            </w:pPr>
            <w:r>
              <w:rPr>
                <w:color w:val="000000"/>
              </w:rPr>
              <w:t>21.9465%</w:t>
            </w:r>
          </w:p>
        </w:tc>
        <w:tc>
          <w:tcPr>
            <w:tcW w:w="1267" w:type="dxa"/>
            <w:vAlign w:val="center"/>
          </w:tcPr>
          <w:p w:rsidR="00234145" w:rsidRDefault="00DE6A3E">
            <w:pPr>
              <w:jc w:val="center"/>
            </w:pPr>
            <w:r>
              <w:rPr>
                <w:color w:val="000000"/>
              </w:rPr>
              <w:t>0.0026%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34145">
        <w:trPr>
          <w:jc w:val="center"/>
        </w:trPr>
        <w:tc>
          <w:tcPr>
            <w:tcW w:w="945" w:type="dxa"/>
            <w:vAlign w:val="center"/>
          </w:tcPr>
          <w:p w:rsidR="00234145" w:rsidRDefault="00DE6A3E">
            <w:pPr>
              <w:jc w:val="center"/>
            </w:pPr>
            <w:r>
              <w:rPr>
                <w:color w:val="000000"/>
                <w:sz w:val="24"/>
              </w:rPr>
              <w:t>季参平</w:t>
            </w:r>
          </w:p>
        </w:tc>
        <w:tc>
          <w:tcPr>
            <w:tcW w:w="1589" w:type="dxa"/>
            <w:vAlign w:val="center"/>
          </w:tcPr>
          <w:p w:rsidR="00234145" w:rsidRDefault="00DE6A3E">
            <w:pPr>
              <w:jc w:val="center"/>
            </w:pPr>
            <w:r>
              <w:rPr>
                <w:color w:val="000000"/>
                <w:sz w:val="24"/>
              </w:rPr>
              <w:t>交银货币、交银裕通纯债债券、交银现金宝货币、交银天鑫宝货币的基金经理</w:t>
            </w:r>
          </w:p>
        </w:tc>
        <w:tc>
          <w:tcPr>
            <w:tcW w:w="1478" w:type="dxa"/>
            <w:vAlign w:val="center"/>
          </w:tcPr>
          <w:p w:rsidR="00234145" w:rsidRDefault="00DE6A3E">
            <w:pPr>
              <w:jc w:val="center"/>
            </w:pPr>
            <w:r>
              <w:rPr>
                <w:color w:val="000000"/>
                <w:sz w:val="24"/>
              </w:rPr>
              <w:t>2019-07-26</w:t>
            </w:r>
          </w:p>
        </w:tc>
        <w:tc>
          <w:tcPr>
            <w:tcW w:w="1478" w:type="dxa"/>
            <w:vAlign w:val="center"/>
          </w:tcPr>
          <w:p w:rsidR="00234145" w:rsidRDefault="00DE6A3E">
            <w:pPr>
              <w:jc w:val="center"/>
            </w:pPr>
            <w:r>
              <w:rPr>
                <w:color w:val="000000"/>
                <w:sz w:val="24"/>
              </w:rPr>
              <w:t>-</w:t>
            </w:r>
          </w:p>
        </w:tc>
        <w:tc>
          <w:tcPr>
            <w:tcW w:w="986" w:type="dxa"/>
            <w:vAlign w:val="center"/>
          </w:tcPr>
          <w:p w:rsidR="00234145" w:rsidRDefault="00DE6A3E">
            <w:pPr>
              <w:jc w:val="center"/>
            </w:pPr>
            <w:r>
              <w:rPr>
                <w:color w:val="000000"/>
                <w:sz w:val="24"/>
              </w:rPr>
              <w:t>8</w:t>
            </w:r>
            <w:r>
              <w:rPr>
                <w:color w:val="000000"/>
                <w:sz w:val="24"/>
              </w:rPr>
              <w:t>年</w:t>
            </w:r>
          </w:p>
        </w:tc>
        <w:tc>
          <w:tcPr>
            <w:tcW w:w="2392" w:type="dxa"/>
            <w:vAlign w:val="center"/>
          </w:tcPr>
          <w:p w:rsidR="00234145" w:rsidRDefault="00DE6A3E">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34145" w:rsidRDefault="00DE6A3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234145" w:rsidRDefault="00DE6A3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34145" w:rsidRDefault="00DE6A3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34145" w:rsidRDefault="00DE6A3E">
      <w:pPr>
        <w:spacing w:before="29" w:line="288" w:lineRule="auto"/>
        <w:ind w:firstLineChars="200" w:firstLine="480"/>
        <w:rPr>
          <w:color w:val="000000"/>
          <w:sz w:val="24"/>
        </w:rPr>
      </w:pPr>
      <w:r>
        <w:rPr>
          <w:color w:val="000000"/>
          <w:sz w:val="24"/>
        </w:rPr>
        <w:t>本报告期内，货币市场在总量适度的货币政策基调下边际收紧，货币市场利率呈上行态势。具体来看，四月央行决定对中小银行实施定向降准，同时调降超额准备金利率从</w:t>
      </w:r>
      <w:r>
        <w:rPr>
          <w:color w:val="000000"/>
          <w:sz w:val="24"/>
        </w:rPr>
        <w:t>0.72%</w:t>
      </w:r>
      <w:r>
        <w:rPr>
          <w:color w:val="000000"/>
          <w:sz w:val="24"/>
        </w:rPr>
        <w:t>至</w:t>
      </w:r>
      <w:r>
        <w:rPr>
          <w:color w:val="000000"/>
          <w:sz w:val="24"/>
        </w:rPr>
        <w:t>0.35%</w:t>
      </w:r>
      <w:r>
        <w:rPr>
          <w:color w:val="000000"/>
          <w:sz w:val="24"/>
        </w:rPr>
        <w:t>，月内资金利率下行明显，隔夜利率一度低至</w:t>
      </w:r>
      <w:r>
        <w:rPr>
          <w:color w:val="000000"/>
          <w:sz w:val="24"/>
        </w:rPr>
        <w:t>0.80%</w:t>
      </w:r>
      <w:r>
        <w:rPr>
          <w:color w:val="000000"/>
          <w:sz w:val="24"/>
        </w:rPr>
        <w:t>的水平，创</w:t>
      </w:r>
      <w:r>
        <w:rPr>
          <w:color w:val="000000"/>
          <w:sz w:val="24"/>
        </w:rPr>
        <w:t>2014</w:t>
      </w:r>
      <w:r>
        <w:rPr>
          <w:color w:val="000000"/>
          <w:sz w:val="24"/>
        </w:rPr>
        <w:t>年以来新低。五月初延续了四月较为宽松的资金利率情况，随后央行缩量续作</w:t>
      </w:r>
      <w:r>
        <w:rPr>
          <w:color w:val="000000"/>
          <w:sz w:val="24"/>
        </w:rPr>
        <w:t>MLF</w:t>
      </w:r>
      <w:r>
        <w:rPr>
          <w:color w:val="000000"/>
          <w:sz w:val="24"/>
        </w:rPr>
        <w:t>并未调降利率，开启了货币市场利率上行的进程。五月最后一周资金利率大幅上行，央行重启逆回购操作，但受利率债发行量较大、企业所得税汇算清缴等因素的影响，隔夜和七天利率均回到</w:t>
      </w:r>
      <w:r>
        <w:rPr>
          <w:color w:val="000000"/>
          <w:sz w:val="24"/>
        </w:rPr>
        <w:t>2%</w:t>
      </w:r>
      <w:r>
        <w:rPr>
          <w:color w:val="000000"/>
          <w:sz w:val="24"/>
        </w:rPr>
        <w:t>以上。六月货币市场利率中枢继续抬升，央行从总量目标逐步转向结构性目标：打击资金套利和空转行为，使得资金面再次趋紧，</w:t>
      </w:r>
      <w:r>
        <w:rPr>
          <w:color w:val="000000"/>
          <w:sz w:val="24"/>
        </w:rPr>
        <w:t>DR007</w:t>
      </w:r>
      <w:r>
        <w:rPr>
          <w:color w:val="000000"/>
          <w:sz w:val="24"/>
        </w:rPr>
        <w:t>上行至</w:t>
      </w:r>
      <w:r>
        <w:rPr>
          <w:color w:val="000000"/>
          <w:sz w:val="24"/>
        </w:rPr>
        <w:t>1.9%</w:t>
      </w:r>
      <w:r>
        <w:rPr>
          <w:color w:val="000000"/>
          <w:sz w:val="24"/>
        </w:rPr>
        <w:t>上方。六月共有两笔</w:t>
      </w:r>
      <w:r>
        <w:rPr>
          <w:color w:val="000000"/>
          <w:sz w:val="24"/>
        </w:rPr>
        <w:t>MLF</w:t>
      </w:r>
      <w:r>
        <w:rPr>
          <w:color w:val="000000"/>
          <w:sz w:val="24"/>
        </w:rPr>
        <w:t>到期合计</w:t>
      </w:r>
      <w:r>
        <w:rPr>
          <w:color w:val="000000"/>
          <w:sz w:val="24"/>
        </w:rPr>
        <w:t>7400</w:t>
      </w:r>
      <w:r>
        <w:rPr>
          <w:color w:val="000000"/>
          <w:sz w:val="24"/>
        </w:rPr>
        <w:t>亿，央行于月中一次性续作</w:t>
      </w:r>
      <w:r>
        <w:rPr>
          <w:color w:val="000000"/>
          <w:sz w:val="24"/>
        </w:rPr>
        <w:t>2000</w:t>
      </w:r>
      <w:r>
        <w:rPr>
          <w:color w:val="000000"/>
          <w:sz w:val="24"/>
        </w:rPr>
        <w:t>亿元，延续量缩价平的节奏，而</w:t>
      </w:r>
      <w:r>
        <w:rPr>
          <w:color w:val="000000"/>
          <w:sz w:val="24"/>
        </w:rPr>
        <w:t>DR007</w:t>
      </w:r>
      <w:r>
        <w:rPr>
          <w:color w:val="000000"/>
          <w:sz w:val="24"/>
        </w:rPr>
        <w:t>也持续逼近七天逆回购利率水平</w:t>
      </w:r>
      <w:r>
        <w:rPr>
          <w:color w:val="000000"/>
          <w:sz w:val="24"/>
        </w:rPr>
        <w:t>2.2%</w:t>
      </w:r>
      <w:r>
        <w:rPr>
          <w:color w:val="000000"/>
          <w:sz w:val="24"/>
        </w:rPr>
        <w:t>，</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日收盘报价</w:t>
      </w:r>
      <w:r>
        <w:rPr>
          <w:color w:val="000000"/>
          <w:sz w:val="24"/>
        </w:rPr>
        <w:t>2.30%</w:t>
      </w:r>
      <w:r>
        <w:rPr>
          <w:color w:val="000000"/>
          <w:sz w:val="24"/>
        </w:rPr>
        <w:t>。存单存款市场受资金面持续收紧和商业银行存单到期量较大，收益率上行幅度明显，国有股份制银行在</w:t>
      </w:r>
      <w:r>
        <w:rPr>
          <w:color w:val="000000"/>
          <w:sz w:val="24"/>
        </w:rPr>
        <w:t>1.40%-2.15%</w:t>
      </w:r>
      <w:r>
        <w:rPr>
          <w:color w:val="000000"/>
          <w:sz w:val="24"/>
        </w:rPr>
        <w:t>之间募集三月期存单。报告期内，三个月上海银行间拆借利率上行约</w:t>
      </w:r>
      <w:r>
        <w:rPr>
          <w:color w:val="000000"/>
          <w:sz w:val="24"/>
        </w:rPr>
        <w:t>19bps</w:t>
      </w:r>
      <w:r>
        <w:rPr>
          <w:color w:val="000000"/>
          <w:sz w:val="24"/>
        </w:rPr>
        <w:t>到</w:t>
      </w:r>
      <w:r>
        <w:rPr>
          <w:color w:val="000000"/>
          <w:sz w:val="24"/>
        </w:rPr>
        <w:t>2.126%</w:t>
      </w:r>
      <w:r>
        <w:rPr>
          <w:color w:val="000000"/>
          <w:sz w:val="24"/>
        </w:rPr>
        <w:t>。</w:t>
      </w:r>
    </w:p>
    <w:p w:rsidR="00234145" w:rsidRDefault="00DE6A3E">
      <w:pPr>
        <w:spacing w:before="29" w:line="288" w:lineRule="auto"/>
        <w:ind w:firstLineChars="200" w:firstLine="480"/>
        <w:rPr>
          <w:color w:val="000000"/>
          <w:sz w:val="24"/>
        </w:rPr>
      </w:pPr>
      <w:r>
        <w:rPr>
          <w:color w:val="000000"/>
          <w:sz w:val="24"/>
        </w:rPr>
        <w:lastRenderedPageBreak/>
        <w:t>基金操作方面，我们维持低杠杆、短久期的操作思路，多投资于估值波动较小的银行存款与回购等，组合整体流动性良好。六月末我们视组合流动性和市场情况，增配了高评级的同业存单、同业存款等，提高组合收益水平。</w:t>
      </w:r>
    </w:p>
    <w:p w:rsidR="00234145" w:rsidRDefault="00DE6A3E">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三季度，我们将密切关注全球疫情发展和国内疫情反复对中国经济的影响，观察央行总量适度下货币政策的边际变化和财政政策发力的情况，并警惕下半年中美贸易摩擦可能出现的反复。我们认为，在全球疫情没有完全得到控制，且疫情对经济的拖累没有彻底出清前，货币市场不存在大幅收紧的条件。</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119,394,286.81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119,394,286.81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128,700,553.05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153,314,013.66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37.51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7,358,321.15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408,767,174.67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2.22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40.47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4.93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21.96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4.91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26.76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99.04</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10,031,588.65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20,058,520.00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20,058,520.00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10,000,051.15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79,304,127.01</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19.57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lastRenderedPageBreak/>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119,394,286.81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29.46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898"/>
        <w:gridCol w:w="1357"/>
        <w:gridCol w:w="2315"/>
        <w:gridCol w:w="1445"/>
        <w:gridCol w:w="1596"/>
        <w:gridCol w:w="1691"/>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34145">
        <w:trPr>
          <w:jc w:val="center"/>
        </w:trPr>
        <w:tc>
          <w:tcPr>
            <w:tcW w:w="0" w:type="auto"/>
            <w:vAlign w:val="center"/>
          </w:tcPr>
          <w:p w:rsidR="00234145" w:rsidRDefault="00DE6A3E">
            <w:pPr>
              <w:jc w:val="center"/>
            </w:pPr>
            <w:r>
              <w:rPr>
                <w:color w:val="000000"/>
                <w:sz w:val="24"/>
              </w:rPr>
              <w:t>1</w:t>
            </w:r>
          </w:p>
        </w:tc>
        <w:tc>
          <w:tcPr>
            <w:tcW w:w="0" w:type="auto"/>
            <w:vAlign w:val="center"/>
          </w:tcPr>
          <w:p w:rsidR="00234145" w:rsidRDefault="00DE6A3E">
            <w:pPr>
              <w:jc w:val="center"/>
            </w:pPr>
            <w:r>
              <w:rPr>
                <w:color w:val="000000"/>
                <w:sz w:val="24"/>
              </w:rPr>
              <w:t>112021085</w:t>
            </w:r>
          </w:p>
        </w:tc>
        <w:tc>
          <w:tcPr>
            <w:tcW w:w="0" w:type="auto"/>
            <w:vAlign w:val="center"/>
          </w:tcPr>
          <w:p w:rsidR="00234145" w:rsidRDefault="00DE6A3E">
            <w:pPr>
              <w:jc w:val="center"/>
            </w:pPr>
            <w:r>
              <w:rPr>
                <w:color w:val="000000"/>
                <w:sz w:val="24"/>
              </w:rPr>
              <w:t>20</w:t>
            </w:r>
            <w:r>
              <w:rPr>
                <w:color w:val="000000"/>
                <w:sz w:val="24"/>
              </w:rPr>
              <w:t>渤海银行</w:t>
            </w:r>
            <w:r>
              <w:rPr>
                <w:color w:val="000000"/>
                <w:sz w:val="24"/>
              </w:rPr>
              <w:t>CD085</w:t>
            </w:r>
          </w:p>
        </w:tc>
        <w:tc>
          <w:tcPr>
            <w:tcW w:w="0" w:type="auto"/>
            <w:vAlign w:val="center"/>
          </w:tcPr>
          <w:p w:rsidR="00234145" w:rsidRDefault="00DE6A3E">
            <w:pPr>
              <w:jc w:val="right"/>
            </w:pPr>
            <w:r>
              <w:rPr>
                <w:color w:val="000000"/>
                <w:sz w:val="24"/>
              </w:rPr>
              <w:t>200,000</w:t>
            </w:r>
          </w:p>
        </w:tc>
        <w:tc>
          <w:tcPr>
            <w:tcW w:w="0" w:type="auto"/>
            <w:vAlign w:val="center"/>
          </w:tcPr>
          <w:p w:rsidR="00234145" w:rsidRDefault="00DE6A3E">
            <w:pPr>
              <w:jc w:val="right"/>
            </w:pPr>
            <w:r>
              <w:rPr>
                <w:color w:val="000000"/>
                <w:sz w:val="24"/>
              </w:rPr>
              <w:t>19,782,534.00</w:t>
            </w:r>
          </w:p>
        </w:tc>
        <w:tc>
          <w:tcPr>
            <w:tcW w:w="0" w:type="auto"/>
            <w:vAlign w:val="center"/>
          </w:tcPr>
          <w:p w:rsidR="00234145" w:rsidRDefault="00DE6A3E">
            <w:pPr>
              <w:jc w:val="right"/>
            </w:pPr>
            <w:r>
              <w:rPr>
                <w:color w:val="000000"/>
                <w:sz w:val="24"/>
              </w:rPr>
              <w:t>4.88</w:t>
            </w:r>
          </w:p>
        </w:tc>
      </w:tr>
      <w:tr w:rsidR="00234145">
        <w:trPr>
          <w:jc w:val="center"/>
        </w:trPr>
        <w:tc>
          <w:tcPr>
            <w:tcW w:w="0" w:type="auto"/>
            <w:vAlign w:val="center"/>
          </w:tcPr>
          <w:p w:rsidR="00234145" w:rsidRDefault="00DE6A3E">
            <w:pPr>
              <w:jc w:val="center"/>
            </w:pPr>
            <w:r>
              <w:rPr>
                <w:color w:val="000000"/>
                <w:sz w:val="24"/>
              </w:rPr>
              <w:t>2</w:t>
            </w:r>
          </w:p>
        </w:tc>
        <w:tc>
          <w:tcPr>
            <w:tcW w:w="0" w:type="auto"/>
            <w:vAlign w:val="center"/>
          </w:tcPr>
          <w:p w:rsidR="00234145" w:rsidRDefault="00DE6A3E">
            <w:pPr>
              <w:jc w:val="center"/>
            </w:pPr>
            <w:r>
              <w:rPr>
                <w:color w:val="000000"/>
                <w:sz w:val="24"/>
              </w:rPr>
              <w:t>100411</w:t>
            </w:r>
          </w:p>
        </w:tc>
        <w:tc>
          <w:tcPr>
            <w:tcW w:w="0" w:type="auto"/>
            <w:vAlign w:val="center"/>
          </w:tcPr>
          <w:p w:rsidR="00234145" w:rsidRDefault="00DE6A3E">
            <w:pPr>
              <w:jc w:val="center"/>
            </w:pPr>
            <w:r>
              <w:rPr>
                <w:color w:val="000000"/>
                <w:sz w:val="24"/>
              </w:rPr>
              <w:t>10</w:t>
            </w:r>
            <w:r>
              <w:rPr>
                <w:color w:val="000000"/>
                <w:sz w:val="24"/>
              </w:rPr>
              <w:t>农发</w:t>
            </w:r>
            <w:r>
              <w:rPr>
                <w:color w:val="000000"/>
                <w:sz w:val="24"/>
              </w:rPr>
              <w:t>11</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10,039,324.91</w:t>
            </w:r>
          </w:p>
        </w:tc>
        <w:tc>
          <w:tcPr>
            <w:tcW w:w="0" w:type="auto"/>
            <w:vAlign w:val="center"/>
          </w:tcPr>
          <w:p w:rsidR="00234145" w:rsidRDefault="00DE6A3E">
            <w:pPr>
              <w:jc w:val="right"/>
            </w:pPr>
            <w:r>
              <w:rPr>
                <w:color w:val="000000"/>
                <w:sz w:val="24"/>
              </w:rPr>
              <w:t>2.48</w:t>
            </w:r>
          </w:p>
        </w:tc>
      </w:tr>
      <w:tr w:rsidR="00234145">
        <w:trPr>
          <w:jc w:val="center"/>
        </w:trPr>
        <w:tc>
          <w:tcPr>
            <w:tcW w:w="0" w:type="auto"/>
            <w:vAlign w:val="center"/>
          </w:tcPr>
          <w:p w:rsidR="00234145" w:rsidRDefault="00DE6A3E">
            <w:pPr>
              <w:jc w:val="center"/>
            </w:pPr>
            <w:r>
              <w:rPr>
                <w:color w:val="000000"/>
                <w:sz w:val="24"/>
              </w:rPr>
              <w:t>3</w:t>
            </w:r>
          </w:p>
        </w:tc>
        <w:tc>
          <w:tcPr>
            <w:tcW w:w="0" w:type="auto"/>
            <w:vAlign w:val="center"/>
          </w:tcPr>
          <w:p w:rsidR="00234145" w:rsidRDefault="00DE6A3E">
            <w:pPr>
              <w:jc w:val="center"/>
            </w:pPr>
            <w:r>
              <w:rPr>
                <w:color w:val="000000"/>
                <w:sz w:val="24"/>
              </w:rPr>
              <w:t>190012</w:t>
            </w:r>
          </w:p>
        </w:tc>
        <w:tc>
          <w:tcPr>
            <w:tcW w:w="0" w:type="auto"/>
            <w:vAlign w:val="center"/>
          </w:tcPr>
          <w:p w:rsidR="00234145" w:rsidRDefault="00DE6A3E">
            <w:pPr>
              <w:jc w:val="center"/>
            </w:pPr>
            <w:r>
              <w:rPr>
                <w:color w:val="000000"/>
                <w:sz w:val="24"/>
              </w:rPr>
              <w:t>19</w:t>
            </w:r>
            <w:r>
              <w:rPr>
                <w:color w:val="000000"/>
                <w:sz w:val="24"/>
              </w:rPr>
              <w:t>附息国债</w:t>
            </w:r>
            <w:r>
              <w:rPr>
                <w:color w:val="000000"/>
                <w:sz w:val="24"/>
              </w:rPr>
              <w:t>12</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10,031,588.65</w:t>
            </w:r>
          </w:p>
        </w:tc>
        <w:tc>
          <w:tcPr>
            <w:tcW w:w="0" w:type="auto"/>
            <w:vAlign w:val="center"/>
          </w:tcPr>
          <w:p w:rsidR="00234145" w:rsidRDefault="00DE6A3E">
            <w:pPr>
              <w:jc w:val="right"/>
            </w:pPr>
            <w:r>
              <w:rPr>
                <w:color w:val="000000"/>
                <w:sz w:val="24"/>
              </w:rPr>
              <w:t>2.48</w:t>
            </w:r>
          </w:p>
        </w:tc>
      </w:tr>
      <w:tr w:rsidR="00234145">
        <w:trPr>
          <w:jc w:val="center"/>
        </w:trPr>
        <w:tc>
          <w:tcPr>
            <w:tcW w:w="0" w:type="auto"/>
            <w:vAlign w:val="center"/>
          </w:tcPr>
          <w:p w:rsidR="00234145" w:rsidRDefault="00DE6A3E">
            <w:pPr>
              <w:jc w:val="center"/>
            </w:pPr>
            <w:r>
              <w:rPr>
                <w:color w:val="000000"/>
                <w:sz w:val="24"/>
              </w:rPr>
              <w:t>4</w:t>
            </w:r>
          </w:p>
        </w:tc>
        <w:tc>
          <w:tcPr>
            <w:tcW w:w="0" w:type="auto"/>
            <w:vAlign w:val="center"/>
          </w:tcPr>
          <w:p w:rsidR="00234145" w:rsidRDefault="00DE6A3E">
            <w:pPr>
              <w:jc w:val="center"/>
            </w:pPr>
            <w:r>
              <w:rPr>
                <w:color w:val="000000"/>
                <w:sz w:val="24"/>
              </w:rPr>
              <w:t>190211</w:t>
            </w:r>
          </w:p>
        </w:tc>
        <w:tc>
          <w:tcPr>
            <w:tcW w:w="0" w:type="auto"/>
            <w:vAlign w:val="center"/>
          </w:tcPr>
          <w:p w:rsidR="00234145" w:rsidRDefault="00DE6A3E">
            <w:pPr>
              <w:jc w:val="center"/>
            </w:pPr>
            <w:r>
              <w:rPr>
                <w:color w:val="000000"/>
                <w:sz w:val="24"/>
              </w:rPr>
              <w:t>19</w:t>
            </w:r>
            <w:r>
              <w:rPr>
                <w:color w:val="000000"/>
                <w:sz w:val="24"/>
              </w:rPr>
              <w:t>国开</w:t>
            </w:r>
            <w:r>
              <w:rPr>
                <w:color w:val="000000"/>
                <w:sz w:val="24"/>
              </w:rPr>
              <w:t>11</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10,019,195.09</w:t>
            </w:r>
          </w:p>
        </w:tc>
        <w:tc>
          <w:tcPr>
            <w:tcW w:w="0" w:type="auto"/>
            <w:vAlign w:val="center"/>
          </w:tcPr>
          <w:p w:rsidR="00234145" w:rsidRDefault="00DE6A3E">
            <w:pPr>
              <w:jc w:val="right"/>
            </w:pPr>
            <w:r>
              <w:rPr>
                <w:color w:val="000000"/>
                <w:sz w:val="24"/>
              </w:rPr>
              <w:t>2.47</w:t>
            </w:r>
          </w:p>
        </w:tc>
      </w:tr>
      <w:tr w:rsidR="00234145">
        <w:trPr>
          <w:jc w:val="center"/>
        </w:trPr>
        <w:tc>
          <w:tcPr>
            <w:tcW w:w="0" w:type="auto"/>
            <w:vAlign w:val="center"/>
          </w:tcPr>
          <w:p w:rsidR="00234145" w:rsidRDefault="00DE6A3E">
            <w:pPr>
              <w:jc w:val="center"/>
            </w:pPr>
            <w:r>
              <w:rPr>
                <w:color w:val="000000"/>
                <w:sz w:val="24"/>
              </w:rPr>
              <w:t>5</w:t>
            </w:r>
          </w:p>
        </w:tc>
        <w:tc>
          <w:tcPr>
            <w:tcW w:w="0" w:type="auto"/>
            <w:vAlign w:val="center"/>
          </w:tcPr>
          <w:p w:rsidR="00234145" w:rsidRDefault="00DE6A3E">
            <w:pPr>
              <w:jc w:val="center"/>
            </w:pPr>
            <w:r>
              <w:rPr>
                <w:color w:val="000000"/>
                <w:sz w:val="24"/>
              </w:rPr>
              <w:t>012001009</w:t>
            </w:r>
          </w:p>
        </w:tc>
        <w:tc>
          <w:tcPr>
            <w:tcW w:w="0" w:type="auto"/>
            <w:vAlign w:val="center"/>
          </w:tcPr>
          <w:p w:rsidR="00234145" w:rsidRDefault="00DE6A3E">
            <w:pPr>
              <w:jc w:val="center"/>
            </w:pPr>
            <w:r>
              <w:rPr>
                <w:color w:val="000000"/>
                <w:sz w:val="24"/>
              </w:rPr>
              <w:t>20</w:t>
            </w:r>
            <w:r>
              <w:rPr>
                <w:color w:val="000000"/>
                <w:sz w:val="24"/>
              </w:rPr>
              <w:t>皖能股</w:t>
            </w:r>
            <w:r>
              <w:rPr>
                <w:color w:val="000000"/>
                <w:sz w:val="24"/>
              </w:rPr>
              <w:t>SCP001</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10,000,051.15</w:t>
            </w:r>
          </w:p>
        </w:tc>
        <w:tc>
          <w:tcPr>
            <w:tcW w:w="0" w:type="auto"/>
            <w:vAlign w:val="center"/>
          </w:tcPr>
          <w:p w:rsidR="00234145" w:rsidRDefault="00DE6A3E">
            <w:pPr>
              <w:jc w:val="right"/>
            </w:pPr>
            <w:r>
              <w:rPr>
                <w:color w:val="000000"/>
                <w:sz w:val="24"/>
              </w:rPr>
              <w:t>2.47</w:t>
            </w:r>
          </w:p>
        </w:tc>
      </w:tr>
      <w:tr w:rsidR="00234145">
        <w:trPr>
          <w:jc w:val="center"/>
        </w:trPr>
        <w:tc>
          <w:tcPr>
            <w:tcW w:w="0" w:type="auto"/>
            <w:vAlign w:val="center"/>
          </w:tcPr>
          <w:p w:rsidR="00234145" w:rsidRDefault="00DE6A3E">
            <w:pPr>
              <w:jc w:val="center"/>
            </w:pPr>
            <w:r>
              <w:rPr>
                <w:color w:val="000000"/>
                <w:sz w:val="24"/>
              </w:rPr>
              <w:t>6</w:t>
            </w:r>
          </w:p>
        </w:tc>
        <w:tc>
          <w:tcPr>
            <w:tcW w:w="0" w:type="auto"/>
            <w:vAlign w:val="center"/>
          </w:tcPr>
          <w:p w:rsidR="00234145" w:rsidRDefault="00DE6A3E">
            <w:pPr>
              <w:jc w:val="center"/>
            </w:pPr>
            <w:r>
              <w:rPr>
                <w:color w:val="000000"/>
                <w:sz w:val="24"/>
              </w:rPr>
              <w:t>112097552</w:t>
            </w:r>
          </w:p>
        </w:tc>
        <w:tc>
          <w:tcPr>
            <w:tcW w:w="0" w:type="auto"/>
            <w:vAlign w:val="center"/>
          </w:tcPr>
          <w:p w:rsidR="00234145" w:rsidRDefault="00DE6A3E">
            <w:pPr>
              <w:jc w:val="center"/>
            </w:pPr>
            <w:r>
              <w:rPr>
                <w:color w:val="000000"/>
                <w:sz w:val="24"/>
              </w:rPr>
              <w:t>20</w:t>
            </w:r>
            <w:r>
              <w:rPr>
                <w:color w:val="000000"/>
                <w:sz w:val="24"/>
              </w:rPr>
              <w:t>东莞农村商业银行</w:t>
            </w:r>
            <w:r>
              <w:rPr>
                <w:color w:val="000000"/>
                <w:sz w:val="24"/>
              </w:rPr>
              <w:t>CD080</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9,952,315.15</w:t>
            </w:r>
          </w:p>
        </w:tc>
        <w:tc>
          <w:tcPr>
            <w:tcW w:w="0" w:type="auto"/>
            <w:vAlign w:val="center"/>
          </w:tcPr>
          <w:p w:rsidR="00234145" w:rsidRDefault="00DE6A3E">
            <w:pPr>
              <w:jc w:val="right"/>
            </w:pPr>
            <w:r>
              <w:rPr>
                <w:color w:val="000000"/>
                <w:sz w:val="24"/>
              </w:rPr>
              <w:t>2.46</w:t>
            </w:r>
          </w:p>
        </w:tc>
      </w:tr>
      <w:tr w:rsidR="00234145">
        <w:trPr>
          <w:jc w:val="center"/>
        </w:trPr>
        <w:tc>
          <w:tcPr>
            <w:tcW w:w="0" w:type="auto"/>
            <w:vAlign w:val="center"/>
          </w:tcPr>
          <w:p w:rsidR="00234145" w:rsidRDefault="00DE6A3E">
            <w:pPr>
              <w:jc w:val="center"/>
            </w:pPr>
            <w:r>
              <w:rPr>
                <w:color w:val="000000"/>
                <w:sz w:val="24"/>
              </w:rPr>
              <w:t>7</w:t>
            </w:r>
          </w:p>
        </w:tc>
        <w:tc>
          <w:tcPr>
            <w:tcW w:w="0" w:type="auto"/>
            <w:vAlign w:val="center"/>
          </w:tcPr>
          <w:p w:rsidR="00234145" w:rsidRDefault="00DE6A3E">
            <w:pPr>
              <w:jc w:val="center"/>
            </w:pPr>
            <w:r>
              <w:rPr>
                <w:color w:val="000000"/>
                <w:sz w:val="24"/>
              </w:rPr>
              <w:t>112021147</w:t>
            </w:r>
          </w:p>
        </w:tc>
        <w:tc>
          <w:tcPr>
            <w:tcW w:w="0" w:type="auto"/>
            <w:vAlign w:val="center"/>
          </w:tcPr>
          <w:p w:rsidR="00234145" w:rsidRDefault="00DE6A3E">
            <w:pPr>
              <w:jc w:val="center"/>
            </w:pPr>
            <w:r>
              <w:rPr>
                <w:color w:val="000000"/>
                <w:sz w:val="24"/>
              </w:rPr>
              <w:t>20</w:t>
            </w:r>
            <w:r>
              <w:rPr>
                <w:color w:val="000000"/>
                <w:sz w:val="24"/>
              </w:rPr>
              <w:t>渤海银行</w:t>
            </w:r>
            <w:r>
              <w:rPr>
                <w:color w:val="000000"/>
                <w:sz w:val="24"/>
              </w:rPr>
              <w:t>CD147</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9,951,654.32</w:t>
            </w:r>
          </w:p>
        </w:tc>
        <w:tc>
          <w:tcPr>
            <w:tcW w:w="0" w:type="auto"/>
            <w:vAlign w:val="center"/>
          </w:tcPr>
          <w:p w:rsidR="00234145" w:rsidRDefault="00DE6A3E">
            <w:pPr>
              <w:jc w:val="right"/>
            </w:pPr>
            <w:r>
              <w:rPr>
                <w:color w:val="000000"/>
                <w:sz w:val="24"/>
              </w:rPr>
              <w:t>2.46</w:t>
            </w:r>
          </w:p>
        </w:tc>
      </w:tr>
      <w:tr w:rsidR="00234145">
        <w:trPr>
          <w:jc w:val="center"/>
        </w:trPr>
        <w:tc>
          <w:tcPr>
            <w:tcW w:w="0" w:type="auto"/>
            <w:vAlign w:val="center"/>
          </w:tcPr>
          <w:p w:rsidR="00234145" w:rsidRDefault="00DE6A3E">
            <w:pPr>
              <w:jc w:val="center"/>
            </w:pPr>
            <w:r>
              <w:rPr>
                <w:color w:val="000000"/>
                <w:sz w:val="24"/>
              </w:rPr>
              <w:t>8</w:t>
            </w:r>
          </w:p>
        </w:tc>
        <w:tc>
          <w:tcPr>
            <w:tcW w:w="0" w:type="auto"/>
            <w:vAlign w:val="center"/>
          </w:tcPr>
          <w:p w:rsidR="00234145" w:rsidRDefault="00DE6A3E">
            <w:pPr>
              <w:jc w:val="center"/>
            </w:pPr>
            <w:r>
              <w:rPr>
                <w:color w:val="000000"/>
                <w:sz w:val="24"/>
              </w:rPr>
              <w:t>111977302</w:t>
            </w:r>
          </w:p>
        </w:tc>
        <w:tc>
          <w:tcPr>
            <w:tcW w:w="0" w:type="auto"/>
            <w:vAlign w:val="center"/>
          </w:tcPr>
          <w:p w:rsidR="00234145" w:rsidRDefault="00DE6A3E">
            <w:pPr>
              <w:jc w:val="center"/>
            </w:pPr>
            <w:r>
              <w:rPr>
                <w:color w:val="000000"/>
                <w:sz w:val="24"/>
              </w:rPr>
              <w:t>19</w:t>
            </w:r>
            <w:r>
              <w:rPr>
                <w:color w:val="000000"/>
                <w:sz w:val="24"/>
              </w:rPr>
              <w:t>齐鲁银行</w:t>
            </w:r>
            <w:r>
              <w:rPr>
                <w:color w:val="000000"/>
                <w:sz w:val="24"/>
              </w:rPr>
              <w:t>CD078</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9,927,245.58</w:t>
            </w:r>
          </w:p>
        </w:tc>
        <w:tc>
          <w:tcPr>
            <w:tcW w:w="0" w:type="auto"/>
            <w:vAlign w:val="center"/>
          </w:tcPr>
          <w:p w:rsidR="00234145" w:rsidRDefault="00DE6A3E">
            <w:pPr>
              <w:jc w:val="right"/>
            </w:pPr>
            <w:r>
              <w:rPr>
                <w:color w:val="000000"/>
                <w:sz w:val="24"/>
              </w:rPr>
              <w:t>2.45</w:t>
            </w:r>
          </w:p>
        </w:tc>
      </w:tr>
      <w:tr w:rsidR="00234145">
        <w:trPr>
          <w:jc w:val="center"/>
        </w:trPr>
        <w:tc>
          <w:tcPr>
            <w:tcW w:w="0" w:type="auto"/>
            <w:vAlign w:val="center"/>
          </w:tcPr>
          <w:p w:rsidR="00234145" w:rsidRDefault="00DE6A3E">
            <w:pPr>
              <w:jc w:val="center"/>
            </w:pPr>
            <w:r>
              <w:rPr>
                <w:color w:val="000000"/>
                <w:sz w:val="24"/>
              </w:rPr>
              <w:t>9</w:t>
            </w:r>
          </w:p>
        </w:tc>
        <w:tc>
          <w:tcPr>
            <w:tcW w:w="0" w:type="auto"/>
            <w:vAlign w:val="center"/>
          </w:tcPr>
          <w:p w:rsidR="00234145" w:rsidRDefault="00DE6A3E">
            <w:pPr>
              <w:jc w:val="center"/>
            </w:pPr>
            <w:r>
              <w:rPr>
                <w:color w:val="000000"/>
                <w:sz w:val="24"/>
              </w:rPr>
              <w:t>111974398</w:t>
            </w:r>
          </w:p>
        </w:tc>
        <w:tc>
          <w:tcPr>
            <w:tcW w:w="0" w:type="auto"/>
            <w:vAlign w:val="center"/>
          </w:tcPr>
          <w:p w:rsidR="00234145" w:rsidRDefault="00DE6A3E">
            <w:pPr>
              <w:jc w:val="center"/>
            </w:pPr>
            <w:r>
              <w:rPr>
                <w:color w:val="000000"/>
                <w:sz w:val="24"/>
              </w:rPr>
              <w:t>19</w:t>
            </w:r>
            <w:r>
              <w:rPr>
                <w:color w:val="000000"/>
                <w:sz w:val="24"/>
              </w:rPr>
              <w:t>华融湘江银行</w:t>
            </w:r>
            <w:r>
              <w:rPr>
                <w:color w:val="000000"/>
                <w:sz w:val="24"/>
              </w:rPr>
              <w:t>CD176</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9,908,640.62</w:t>
            </w:r>
          </w:p>
        </w:tc>
        <w:tc>
          <w:tcPr>
            <w:tcW w:w="0" w:type="auto"/>
            <w:vAlign w:val="center"/>
          </w:tcPr>
          <w:p w:rsidR="00234145" w:rsidRDefault="00DE6A3E">
            <w:pPr>
              <w:jc w:val="right"/>
            </w:pPr>
            <w:r>
              <w:rPr>
                <w:color w:val="000000"/>
                <w:sz w:val="24"/>
              </w:rPr>
              <w:t>2.44</w:t>
            </w:r>
          </w:p>
        </w:tc>
      </w:tr>
      <w:tr w:rsidR="00234145">
        <w:trPr>
          <w:jc w:val="center"/>
        </w:trPr>
        <w:tc>
          <w:tcPr>
            <w:tcW w:w="0" w:type="auto"/>
            <w:vAlign w:val="center"/>
          </w:tcPr>
          <w:p w:rsidR="00234145" w:rsidRDefault="00DE6A3E">
            <w:pPr>
              <w:jc w:val="center"/>
            </w:pPr>
            <w:r>
              <w:rPr>
                <w:color w:val="000000"/>
                <w:sz w:val="24"/>
              </w:rPr>
              <w:t>10</w:t>
            </w:r>
          </w:p>
        </w:tc>
        <w:tc>
          <w:tcPr>
            <w:tcW w:w="0" w:type="auto"/>
            <w:vAlign w:val="center"/>
          </w:tcPr>
          <w:p w:rsidR="00234145" w:rsidRDefault="00DE6A3E">
            <w:pPr>
              <w:jc w:val="center"/>
            </w:pPr>
            <w:r>
              <w:rPr>
                <w:color w:val="000000"/>
                <w:sz w:val="24"/>
              </w:rPr>
              <w:t>112095467</w:t>
            </w:r>
          </w:p>
        </w:tc>
        <w:tc>
          <w:tcPr>
            <w:tcW w:w="0" w:type="auto"/>
            <w:vAlign w:val="center"/>
          </w:tcPr>
          <w:p w:rsidR="00234145" w:rsidRDefault="00DE6A3E">
            <w:pPr>
              <w:jc w:val="center"/>
            </w:pPr>
            <w:r>
              <w:rPr>
                <w:color w:val="000000"/>
                <w:sz w:val="24"/>
              </w:rPr>
              <w:t>20</w:t>
            </w:r>
            <w:r>
              <w:rPr>
                <w:color w:val="000000"/>
                <w:sz w:val="24"/>
              </w:rPr>
              <w:t>广东顺德农商行</w:t>
            </w:r>
            <w:r>
              <w:rPr>
                <w:color w:val="000000"/>
                <w:sz w:val="24"/>
              </w:rPr>
              <w:t>CD061</w:t>
            </w:r>
          </w:p>
        </w:tc>
        <w:tc>
          <w:tcPr>
            <w:tcW w:w="0" w:type="auto"/>
            <w:vAlign w:val="center"/>
          </w:tcPr>
          <w:p w:rsidR="00234145" w:rsidRDefault="00DE6A3E">
            <w:pPr>
              <w:jc w:val="right"/>
            </w:pPr>
            <w:r>
              <w:rPr>
                <w:color w:val="000000"/>
                <w:sz w:val="24"/>
              </w:rPr>
              <w:t>100,000</w:t>
            </w:r>
          </w:p>
        </w:tc>
        <w:tc>
          <w:tcPr>
            <w:tcW w:w="0" w:type="auto"/>
            <w:vAlign w:val="center"/>
          </w:tcPr>
          <w:p w:rsidR="00234145" w:rsidRDefault="00DE6A3E">
            <w:pPr>
              <w:jc w:val="right"/>
            </w:pPr>
            <w:r>
              <w:rPr>
                <w:color w:val="000000"/>
                <w:sz w:val="24"/>
              </w:rPr>
              <w:t>9,891,263.48</w:t>
            </w:r>
          </w:p>
        </w:tc>
        <w:tc>
          <w:tcPr>
            <w:tcW w:w="0" w:type="auto"/>
            <w:vAlign w:val="center"/>
          </w:tcPr>
          <w:p w:rsidR="00234145" w:rsidRDefault="00DE6A3E">
            <w:pPr>
              <w:jc w:val="right"/>
            </w:pPr>
            <w:r>
              <w:rPr>
                <w:color w:val="000000"/>
                <w:sz w:val="24"/>
              </w:rPr>
              <w:t>2.44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0.1084%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0.0526%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274.47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1,557,882.92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5,800,163.76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7,358,321.15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252,463,559.27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176,710,447.26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112,955,871.84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724,326,542.84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135,457,178.11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725,684,096.18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229,962,253.00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175,352,893.92</w:t>
            </w:r>
          </w:p>
        </w:tc>
      </w:tr>
    </w:tbl>
    <w:p w:rsidR="00234145" w:rsidRDefault="00DE6A3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234145" w:rsidRDefault="00DE6A3E">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234145" w:rsidRDefault="00DE6A3E">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34145" w:rsidRDefault="00DE6A3E">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234145" w:rsidRDefault="00DE6A3E">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234145" w:rsidRDefault="00DE6A3E">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234145" w:rsidRDefault="00DE6A3E">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234145" w:rsidRDefault="00DE6A3E">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234145" w:rsidRDefault="00DE6A3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34145" w:rsidRDefault="00DE6A3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lastRenderedPageBreak/>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34145" w:rsidRDefault="00DE6A3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151" w:rsidRDefault="00DB1151">
      <w:r>
        <w:separator/>
      </w:r>
    </w:p>
  </w:endnote>
  <w:endnote w:type="continuationSeparator" w:id="0">
    <w:p w:rsidR="00DB1151" w:rsidRDefault="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Default="00DE6A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Pr="001D0DB0" w:rsidRDefault="00DE6A3E" w:rsidP="001D0DB0">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Default="00DE6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151" w:rsidRDefault="00DB1151">
      <w:r>
        <w:separator/>
      </w:r>
    </w:p>
  </w:footnote>
  <w:footnote w:type="continuationSeparator" w:id="0">
    <w:p w:rsidR="00DB1151" w:rsidRDefault="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Default="00DE6A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Pr="00841EB4" w:rsidRDefault="00DE6A3E"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3E" w:rsidRDefault="00DE6A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34145"/>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1F7F"/>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2C1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3E29"/>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1151"/>
    <w:rsid w:val="00DB2873"/>
    <w:rsid w:val="00DB6417"/>
    <w:rsid w:val="00DC4482"/>
    <w:rsid w:val="00DC6D2A"/>
    <w:rsid w:val="00DD1CEE"/>
    <w:rsid w:val="00DD2C3B"/>
    <w:rsid w:val="00DD5028"/>
    <w:rsid w:val="00DD6F2F"/>
    <w:rsid w:val="00DE6A3E"/>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9D67EA-1840-47D1-8898-C7783653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Pages>
  <Words>1233</Words>
  <Characters>7032</Characters>
  <Application>Microsoft Office Word</Application>
  <DocSecurity>0</DocSecurity>
  <Lines>58</Lines>
  <Paragraphs>16</Paragraphs>
  <ScaleCrop>false</ScaleCrop>
  <Company>jysld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338</cp:revision>
  <cp:lastPrinted>2009-01-22T10:11:00Z</cp:lastPrinted>
  <dcterms:created xsi:type="dcterms:W3CDTF">2012-11-21T05:49:00Z</dcterms:created>
  <dcterms:modified xsi:type="dcterms:W3CDTF">2020-07-16T08:44:00Z</dcterms:modified>
</cp:coreProperties>
</file>