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兴业银行股份有限公司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基金托管人兴业银行股份有限公司根据本基金合同规定，于2020年7月20日复核了本报告中的财务指标、净值表现和投资组合报告等内容，保证复核内容不存在虚假记载、误导性陈述或者重大遗漏。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2015年12月29日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2,039,947,780.03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交银裕通纯债债券A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交银裕通纯债债券C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519762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2,037,184,112.60</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2,763,667.43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交银裕通纯债债券A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交银裕通纯债债券C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14,661,697.45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23,791.95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-7,491,714.70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-13,346.19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-0.0044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-0.0044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2,078,590,325.77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2,856,795.86</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1.0203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1.0337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交银裕通纯债债券A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-0.41%</w:t>
            </w:r>
          </w:p>
        </w:tc>
        <w:tc>
          <w:tcPr>
            <w:vAlign w:val="center"/>
          </w:tcPr>
          <w:p>
            <w:pPr>
              <w:jc w:val="center"/>
            </w:pPr>
            <w:r>
              <w:rPr>
                <w:color w:val="000000"/>
                <w:sz w:val="24"/>
              </w:rPr>
              <w:t>0.14%</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0.63%</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1.78%</w:t>
            </w:r>
          </w:p>
        </w:tc>
        <w:tc>
          <w:tcPr>
            <w:vAlign w:val="center"/>
          </w:tcPr>
          <w:p>
            <w:pPr>
              <w:jc w:val="center"/>
            </w:pPr>
            <w:r>
              <w:rPr>
                <w:color w:val="000000"/>
                <w:sz w:val="24"/>
              </w:rPr>
              <w:t>0.12%</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0.99%</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3.69%</w:t>
            </w:r>
          </w:p>
        </w:tc>
        <w:tc>
          <w:tcPr>
            <w:vAlign w:val="center"/>
          </w:tcPr>
          <w:p>
            <w:pPr>
              <w:jc w:val="center"/>
            </w:pPr>
            <w:r>
              <w:rPr>
                <w:color w:val="000000"/>
                <w:sz w:val="24"/>
              </w:rPr>
              <w:t>0.09%</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1.82%</w:t>
            </w:r>
          </w:p>
        </w:tc>
        <w:tc>
          <w:tcPr>
            <w:vAlign w:val="center"/>
          </w:tcPr>
          <w:p>
            <w:pPr>
              <w:jc w:val="center"/>
            </w:pPr>
            <w:r>
              <w:rPr>
                <w:color w:val="000000"/>
                <w:sz w:val="24"/>
              </w:rPr>
              <w:t>0.01%</w:t>
            </w:r>
          </w:p>
        </w:tc>
      </w:tr>
      <w:tr>
        <w:tc>
          <w:tcPr>
            <w:vAlign w:val="center"/>
          </w:tcPr>
          <w:p>
            <w:pPr>
              <w:jc w:val="left"/>
            </w:pPr>
            <w:r>
              <w:rPr>
                <w:color w:val="000000"/>
                <w:sz w:val="24"/>
              </w:rPr>
              <w:t>过去三年</w:t>
            </w:r>
          </w:p>
        </w:tc>
        <w:tc>
          <w:tcPr>
            <w:vAlign w:val="center"/>
          </w:tcPr>
          <w:p>
            <w:pPr>
              <w:jc w:val="center"/>
            </w:pPr>
            <w:r>
              <w:rPr>
                <w:color w:val="000000"/>
                <w:sz w:val="24"/>
              </w:rPr>
              <w:t>15.38%</w:t>
            </w:r>
          </w:p>
        </w:tc>
        <w:tc>
          <w:tcPr>
            <w:vAlign w:val="center"/>
          </w:tcPr>
          <w:p>
            <w:pPr>
              <w:jc w:val="center"/>
            </w:pPr>
            <w:r>
              <w:rPr>
                <w:color w:val="000000"/>
                <w:sz w:val="24"/>
              </w:rPr>
              <w:t>0.07%</w:t>
            </w:r>
          </w:p>
        </w:tc>
        <w:tc>
          <w:tcPr>
            <w:vAlign w:val="center"/>
          </w:tcPr>
          <w:p>
            <w:pPr>
              <w:jc w:val="center"/>
            </w:pPr>
            <w:r>
              <w:rPr>
                <w:color w:val="000000"/>
                <w:sz w:val="24"/>
              </w:rPr>
              <w:t>5.61%</w:t>
            </w:r>
          </w:p>
        </w:tc>
        <w:tc>
          <w:tcPr>
            <w:vAlign w:val="center"/>
          </w:tcPr>
          <w:p>
            <w:pPr>
              <w:jc w:val="center"/>
            </w:pPr>
            <w:r>
              <w:rPr>
                <w:color w:val="000000"/>
                <w:sz w:val="24"/>
              </w:rPr>
              <w:t>0.07%</w:t>
            </w:r>
          </w:p>
        </w:tc>
        <w:tc>
          <w:tcPr>
            <w:vAlign w:val="center"/>
          </w:tcPr>
          <w:p>
            <w:pPr>
              <w:jc w:val="center"/>
            </w:pPr>
            <w:r>
              <w:rPr>
                <w:color w:val="000000"/>
                <w:sz w:val="24"/>
              </w:rPr>
              <w:t>9.77%</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14.91%</w:t>
            </w:r>
          </w:p>
        </w:tc>
        <w:tc>
          <w:tcPr>
            <w:vAlign w:val="center"/>
          </w:tcPr>
          <w:p>
            <w:pPr>
              <w:jc w:val="center"/>
            </w:pPr>
            <w:r>
              <w:rPr>
                <w:color w:val="000000"/>
                <w:sz w:val="24"/>
              </w:rPr>
              <w:t>0.08%</w:t>
            </w:r>
          </w:p>
        </w:tc>
        <w:tc>
          <w:tcPr>
            <w:vAlign w:val="center"/>
          </w:tcPr>
          <w:p>
            <w:pPr>
              <w:jc w:val="center"/>
            </w:pPr>
            <w:r>
              <w:rPr>
                <w:color w:val="000000"/>
                <w:sz w:val="24"/>
              </w:rPr>
              <w:t>1.71%</w:t>
            </w:r>
          </w:p>
        </w:tc>
        <w:tc>
          <w:tcPr>
            <w:vAlign w:val="center"/>
          </w:tcPr>
          <w:p>
            <w:pPr>
              <w:jc w:val="center"/>
            </w:pPr>
            <w:r>
              <w:rPr>
                <w:color w:val="000000"/>
                <w:sz w:val="24"/>
              </w:rPr>
              <w:t>0.08%</w:t>
            </w:r>
          </w:p>
        </w:tc>
        <w:tc>
          <w:tcPr>
            <w:vAlign w:val="center"/>
          </w:tcPr>
          <w:p>
            <w:pPr>
              <w:jc w:val="center"/>
            </w:pPr>
            <w:r>
              <w:rPr>
                <w:color w:val="000000"/>
                <w:sz w:val="24"/>
              </w:rPr>
              <w:t>13.20%</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交银裕通纯债债券C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-0.51%</w:t>
            </w:r>
          </w:p>
        </w:tc>
        <w:tc>
          <w:tcPr>
            <w:vAlign w:val="center"/>
          </w:tcPr>
          <w:p>
            <w:pPr>
              <w:jc w:val="center"/>
            </w:pPr>
            <w:r>
              <w:rPr>
                <w:color w:val="000000"/>
                <w:sz w:val="24"/>
              </w:rPr>
              <w:t>0.14%</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0.53%</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1.61%</w:t>
            </w:r>
          </w:p>
        </w:tc>
        <w:tc>
          <w:tcPr>
            <w:vAlign w:val="center"/>
          </w:tcPr>
          <w:p>
            <w:pPr>
              <w:jc w:val="center"/>
            </w:pPr>
            <w:r>
              <w:rPr>
                <w:color w:val="000000"/>
                <w:sz w:val="24"/>
              </w:rPr>
              <w:t>0.12%</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0.82%</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3.11%</w:t>
            </w:r>
          </w:p>
        </w:tc>
        <w:tc>
          <w:tcPr>
            <w:vAlign w:val="center"/>
          </w:tcPr>
          <w:p>
            <w:pPr>
              <w:jc w:val="center"/>
            </w:pPr>
            <w:r>
              <w:rPr>
                <w:color w:val="000000"/>
                <w:sz w:val="24"/>
              </w:rPr>
              <w:t>0.09%</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1.24%</w:t>
            </w:r>
          </w:p>
        </w:tc>
        <w:tc>
          <w:tcPr>
            <w:vAlign w:val="center"/>
          </w:tcPr>
          <w:p>
            <w:pPr>
              <w:jc w:val="center"/>
            </w:pPr>
            <w:r>
              <w:rPr>
                <w:color w:val="000000"/>
                <w:sz w:val="24"/>
              </w:rPr>
              <w:t>0.01%</w:t>
            </w:r>
          </w:p>
        </w:tc>
      </w:tr>
      <w:tr>
        <w:tc>
          <w:tcPr>
            <w:vAlign w:val="center"/>
          </w:tcPr>
          <w:p>
            <w:pPr>
              <w:jc w:val="left"/>
            </w:pPr>
            <w:r>
              <w:rPr>
                <w:color w:val="000000"/>
                <w:sz w:val="24"/>
              </w:rPr>
              <w:t>过去三年</w:t>
            </w:r>
          </w:p>
        </w:tc>
        <w:tc>
          <w:tcPr>
            <w:vAlign w:val="center"/>
          </w:tcPr>
          <w:p>
            <w:pPr>
              <w:jc w:val="center"/>
            </w:pPr>
            <w:r>
              <w:rPr>
                <w:color w:val="000000"/>
                <w:sz w:val="24"/>
              </w:rPr>
              <w:t>15.94%</w:t>
            </w:r>
          </w:p>
        </w:tc>
        <w:tc>
          <w:tcPr>
            <w:vAlign w:val="center"/>
          </w:tcPr>
          <w:p>
            <w:pPr>
              <w:jc w:val="center"/>
            </w:pPr>
            <w:r>
              <w:rPr>
                <w:color w:val="000000"/>
                <w:sz w:val="24"/>
              </w:rPr>
              <w:t>0.10%</w:t>
            </w:r>
          </w:p>
        </w:tc>
        <w:tc>
          <w:tcPr>
            <w:vAlign w:val="center"/>
          </w:tcPr>
          <w:p>
            <w:pPr>
              <w:jc w:val="center"/>
            </w:pPr>
            <w:r>
              <w:rPr>
                <w:color w:val="000000"/>
                <w:sz w:val="24"/>
              </w:rPr>
              <w:t>5.61%</w:t>
            </w:r>
          </w:p>
        </w:tc>
        <w:tc>
          <w:tcPr>
            <w:vAlign w:val="center"/>
          </w:tcPr>
          <w:p>
            <w:pPr>
              <w:jc w:val="center"/>
            </w:pPr>
            <w:r>
              <w:rPr>
                <w:color w:val="000000"/>
                <w:sz w:val="24"/>
              </w:rPr>
              <w:t>0.07%</w:t>
            </w:r>
          </w:p>
        </w:tc>
        <w:tc>
          <w:tcPr>
            <w:vAlign w:val="center"/>
          </w:tcPr>
          <w:p>
            <w:pPr>
              <w:jc w:val="center"/>
            </w:pPr>
            <w:r>
              <w:rPr>
                <w:color w:val="000000"/>
                <w:sz w:val="24"/>
              </w:rPr>
              <w:t>10.33%</w:t>
            </w:r>
          </w:p>
        </w:tc>
        <w:tc>
          <w:tcPr>
            <w:vAlign w:val="center"/>
          </w:tcPr>
          <w:p>
            <w:pPr>
              <w:jc w:val="center"/>
            </w:pPr>
            <w:r>
              <w:rPr>
                <w:color w:val="000000"/>
                <w:sz w:val="24"/>
              </w:rPr>
              <w:t>0.03%</w:t>
            </w:r>
          </w:p>
        </w:tc>
      </w:tr>
      <w:tr>
        <w:tc>
          <w:tcPr>
            <w:vAlign w:val="center"/>
          </w:tcPr>
          <w:p>
            <w:pPr>
              <w:jc w:val="left"/>
            </w:pPr>
            <w:r>
              <w:rPr>
                <w:color w:val="000000"/>
                <w:sz w:val="24"/>
              </w:rPr>
              <w:t>自基金合同生效起至今</w:t>
            </w:r>
          </w:p>
        </w:tc>
        <w:tc>
          <w:tcPr>
            <w:vAlign w:val="center"/>
          </w:tcPr>
          <w:p>
            <w:pPr>
              <w:jc w:val="center"/>
            </w:pPr>
            <w:r>
              <w:rPr>
                <w:color w:val="000000"/>
                <w:sz w:val="24"/>
              </w:rPr>
              <w:t>14.78%</w:t>
            </w:r>
          </w:p>
        </w:tc>
        <w:tc>
          <w:tcPr>
            <w:vAlign w:val="center"/>
          </w:tcPr>
          <w:p>
            <w:pPr>
              <w:jc w:val="center"/>
            </w:pPr>
            <w:r>
              <w:rPr>
                <w:color w:val="000000"/>
                <w:sz w:val="24"/>
              </w:rPr>
              <w:t>0.10%</w:t>
            </w:r>
          </w:p>
        </w:tc>
        <w:tc>
          <w:tcPr>
            <w:vAlign w:val="center"/>
          </w:tcPr>
          <w:p>
            <w:pPr>
              <w:jc w:val="center"/>
            </w:pPr>
            <w:r>
              <w:rPr>
                <w:color w:val="000000"/>
                <w:sz w:val="24"/>
              </w:rPr>
              <w:t>1.71%</w:t>
            </w:r>
          </w:p>
        </w:tc>
        <w:tc>
          <w:tcPr>
            <w:vAlign w:val="center"/>
          </w:tcPr>
          <w:p>
            <w:pPr>
              <w:jc w:val="center"/>
            </w:pPr>
            <w:r>
              <w:rPr>
                <w:color w:val="000000"/>
                <w:sz w:val="24"/>
              </w:rPr>
              <w:t>0.08%</w:t>
            </w:r>
          </w:p>
        </w:tc>
        <w:tc>
          <w:tcPr>
            <w:vAlign w:val="center"/>
          </w:tcPr>
          <w:p>
            <w:pPr>
              <w:jc w:val="center"/>
            </w:pPr>
            <w:r>
              <w:rPr>
                <w:color w:val="000000"/>
                <w:sz w:val="24"/>
              </w:rPr>
              <w:t>13.07%</w:t>
            </w:r>
          </w:p>
        </w:tc>
        <w:tc>
          <w:tcPr>
            <w:vAlign w:val="center"/>
          </w:tcPr>
          <w:p>
            <w:pPr>
              <w:jc w:val="center"/>
            </w:pPr>
            <w:r>
              <w:rPr>
                <w:color w:val="000000"/>
                <w:sz w:val="24"/>
              </w:rPr>
              <w:t>0.02%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交银施罗德裕通纯债债券型证券投资基金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2015年12月29日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交银裕通纯债债券C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季参平</w:t>
            </w:r>
          </w:p>
        </w:tc>
        <w:tc>
          <w:tcPr>
            <w:vAlign w:val="center"/>
          </w:tcPr>
          <w:p>
            <w:pPr>
              <w:jc w:val="center"/>
            </w:pPr>
            <w:r>
              <w:rPr>
                <w:color w:val="000000"/>
                <w:sz w:val="24"/>
              </w:rPr>
              <w:t>交银货币、交银裕通纯债债券、交银现金宝货币、交银天鑫宝货币的基金经理</w:t>
            </w:r>
          </w:p>
        </w:tc>
        <w:tc>
          <w:tcPr>
            <w:vAlign w:val="center"/>
          </w:tcPr>
          <w:p>
            <w:pPr>
              <w:jc w:val="center"/>
            </w:pPr>
            <w:r>
              <w:rPr>
                <w:color w:val="000000"/>
                <w:sz w:val="24"/>
              </w:rPr>
              <w:t>2019-10-12</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季参平先生，美国密歇根大学金融工程硕士、对外经济贸易大学经济学学士。2012年3月至2017年7月任瑞士银行外汇和利率交易员、联席董事。2017年加入交银施罗德基金管理有限公司，历任基金经理助理。2019年7月26日至2019年9月18日担任交银施罗德天运宝货币市场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二季度债券收益率呈现出四月下行、五至六月大幅上行的态势。具体来看，四月初资金面整体宽松，央行定向降准并超预期下调超额存款准备金利率0.72%至0.35%，债券市场在宽松预期下大幅上涨。四月中旬央行下调MLF利率20BP，此后一季度经济增速录得-6.8%大幅低于市场预期，在此影响下，短端收益率下行20BP左右，长端整体维持震荡格局。五月受到债券供给量增加、出口数据超预期、以及海外复工重启的影响，收益率开启上行态势，长端收益率明显上行20BP左右。五月末随着央行操作进一步偏保守，资金面持续收紧，债券市场大幅下跌，短端收益率上行约70BP，长端收益率上行约20BP。六月，国内疫情二次爆发的风险使得债券市场获得喘息之机。6月15日财政部表示1万亿特别国债将市场化发行并于七月底之前发行完毕，由于债券供给冲击和央行降准落空影响，债券收益率上行后小幅震荡。截止2020年6月30日，十年国债收益率上行约23BP至2.82%，十年国开收益率上行约15BP至3.10%。</w:t>
      </w:r>
    </w:p>
    <w:p>
      <w:pPr>
        <w:spacing w:before="29" w:line="288" w:lineRule="auto"/>
        <w:ind w:firstLine="480" w:firstLineChars="200"/>
        <w:rPr>
          <w:color w:val="000000"/>
          <w:sz w:val="24"/>
        </w:rPr>
      </w:pPr>
      <w:r>
        <w:rPr>
          <w:color w:val="000000"/>
          <w:sz w:val="24"/>
        </w:rPr>
        <w:t>报告期内，基于对经济基本面和政策的把握，并考虑组合收益的稳定性，组合主要配置了中短久期的利率债，同时根据市场情况适时调整了组合久期。央行货币政策从总量目标向结构目标的转化、国内经济边际向好的趋势，都增加了债券回报的不确定性，组合也适时降低了部分仓位。</w:t>
      </w:r>
    </w:p>
    <w:p>
      <w:pPr>
        <w:spacing w:before="29" w:line="288" w:lineRule="auto"/>
        <w:ind w:firstLine="480" w:firstLineChars="200"/>
        <w:rPr>
          <w:color w:val="000000"/>
          <w:sz w:val="24"/>
        </w:rPr>
      </w:pPr>
      <w:r>
        <w:rPr>
          <w:color w:val="000000"/>
          <w:sz w:val="24"/>
        </w:rPr>
        <w:t>展望2020年三季度，我们将密切关注全球疫情发展和国内疫情反复对中国经济的影响，观察央行总量适度下货币政策的边际变化和财政政策发力的情况，并警惕下半年中美贸易摩擦可能出现的反复。整体来看，2020年三季度债券市场的存在趋势性机会的概率较小，但在不存在长期通胀和通缩的基础上，货币政策大概率维持平衡偏宽松的基调，我们依然建议战略做多债券，调整久期策略，加强票息策略和杠杆策略。</w:t>
      </w:r>
    </w:p>
    <w:p w:rsidP="007C14DF" w:rsidR="00952A72" w:rsidRDefault="00323F25" w:rsidRPr="007F52FA">
      <w:pPr>
        <w:spacing w:before="29" w:line="288" w:lineRule="auto"/>
        <w:ind w:firstLine="480" w:firstLineChars="200"/>
        <w:rPr>
          <w:color w:val="000000"/>
          <w:sz w:val="24"/>
        </w:rPr>
      </w:pPr>
      <w:r w:rsidRPr="007F52FA">
        <w:rPr>
          <w:color w:val="000000"/>
          <w:sz w:val="24"/>
        </w:rPr>
        <w:t>操作策略方面，组合将继续以利率债投资为主要策略，关注利率品种的骑乘收益，做好券种轮换和中短久期品种的精选配置，同时积极进行灵活的组合久期波段操作，以期增厚组合收益。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1,969,190,000.00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94.57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1,969,190,000.00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94.57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60,090,410.14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2.89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18,478,538.02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0.89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34,407,992.13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2,082,166,940.29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1,969,190,000.00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94.61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1,969,190,000.00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94.61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1,969,190,000.00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94.61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4,300,000</w:t>
            </w:r>
          </w:p>
        </w:tc>
        <w:tc>
          <w:tcPr>
            <w:vAlign w:val="center"/>
          </w:tcPr>
          <w:p>
            <w:pPr>
              <w:jc w:val="right"/>
            </w:pPr>
            <w:r>
              <w:rPr>
                <w:color w:val="000000"/>
                <w:sz w:val="24"/>
              </w:rPr>
              <w:t>436,751,000.00</w:t>
            </w:r>
          </w:p>
        </w:tc>
        <w:tc>
          <w:tcPr>
            <w:vAlign w:val="center"/>
          </w:tcPr>
          <w:p>
            <w:pPr>
              <w:jc w:val="right"/>
            </w:pPr>
            <w:r>
              <w:rPr>
                <w:color w:val="000000"/>
                <w:sz w:val="24"/>
              </w:rPr>
              <w:t>20.98</w:t>
            </w:r>
          </w:p>
        </w:tc>
      </w:tr>
      <w:tr>
        <w:tc>
          <w:tcPr>
            <w:vAlign w:val="center"/>
          </w:tcPr>
          <w:p>
            <w:pPr>
              <w:jc w:val="center"/>
            </w:pPr>
            <w:r>
              <w:rPr>
                <w:color w:val="000000"/>
                <w:sz w:val="24"/>
              </w:rPr>
              <w:t>2</w:t>
            </w:r>
          </w:p>
        </w:tc>
        <w:tc>
          <w:tcPr>
            <w:vAlign w:val="center"/>
          </w:tcPr>
          <w:p>
            <w:pPr>
              <w:jc w:val="center"/>
            </w:pPr>
            <w:r>
              <w:rPr>
                <w:color w:val="000000"/>
                <w:sz w:val="24"/>
              </w:rPr>
              <w:t>180412</w:t>
            </w:r>
          </w:p>
        </w:tc>
        <w:tc>
          <w:tcPr>
            <w:vAlign w:val="center"/>
          </w:tcPr>
          <w:p>
            <w:pPr>
              <w:jc w:val="center"/>
            </w:pPr>
            <w:r>
              <w:rPr>
                <w:color w:val="000000"/>
                <w:sz w:val="24"/>
              </w:rPr>
              <w:t>18农发12</w:t>
            </w:r>
          </w:p>
        </w:tc>
        <w:tc>
          <w:tcPr>
            <w:vAlign w:val="center"/>
          </w:tcPr>
          <w:p>
            <w:pPr>
              <w:jc w:val="right"/>
            </w:pPr>
            <w:r>
              <w:rPr>
                <w:color w:val="000000"/>
                <w:sz w:val="24"/>
              </w:rPr>
              <w:t>4,000,000</w:t>
            </w:r>
          </w:p>
        </w:tc>
        <w:tc>
          <w:tcPr>
            <w:vAlign w:val="center"/>
          </w:tcPr>
          <w:p>
            <w:pPr>
              <w:jc w:val="right"/>
            </w:pPr>
            <w:r>
              <w:rPr>
                <w:color w:val="000000"/>
                <w:sz w:val="24"/>
              </w:rPr>
              <w:t>404,840,000.00</w:t>
            </w:r>
          </w:p>
        </w:tc>
        <w:tc>
          <w:tcPr>
            <w:vAlign w:val="center"/>
          </w:tcPr>
          <w:p>
            <w:pPr>
              <w:jc w:val="right"/>
            </w:pPr>
            <w:r>
              <w:rPr>
                <w:color w:val="000000"/>
                <w:sz w:val="24"/>
              </w:rPr>
              <w:t>19.45</w:t>
            </w:r>
          </w:p>
        </w:tc>
      </w:tr>
      <w:tr>
        <w:tc>
          <w:tcPr>
            <w:vAlign w:val="center"/>
          </w:tcPr>
          <w:p>
            <w:pPr>
              <w:jc w:val="center"/>
            </w:pPr>
            <w:r>
              <w:rPr>
                <w:color w:val="000000"/>
                <w:sz w:val="24"/>
              </w:rPr>
              <w:t>3</w:t>
            </w:r>
          </w:p>
        </w:tc>
        <w:tc>
          <w:tcPr>
            <w:vAlign w:val="center"/>
          </w:tcPr>
          <w:p>
            <w:pPr>
              <w:jc w:val="center"/>
            </w:pPr>
            <w:r>
              <w:rPr>
                <w:color w:val="000000"/>
                <w:sz w:val="24"/>
              </w:rPr>
              <w:t>190202</w:t>
            </w:r>
          </w:p>
        </w:tc>
        <w:tc>
          <w:tcPr>
            <w:vAlign w:val="center"/>
          </w:tcPr>
          <w:p>
            <w:pPr>
              <w:jc w:val="center"/>
            </w:pPr>
            <w:r>
              <w:rPr>
                <w:color w:val="000000"/>
                <w:sz w:val="24"/>
              </w:rPr>
              <w:t>19国开02</w:t>
            </w:r>
          </w:p>
        </w:tc>
        <w:tc>
          <w:tcPr>
            <w:vAlign w:val="center"/>
          </w:tcPr>
          <w:p>
            <w:pPr>
              <w:jc w:val="right"/>
            </w:pPr>
            <w:r>
              <w:rPr>
                <w:color w:val="000000"/>
                <w:sz w:val="24"/>
              </w:rPr>
              <w:t>3,200,000</w:t>
            </w:r>
          </w:p>
        </w:tc>
        <w:tc>
          <w:tcPr>
            <w:vAlign w:val="center"/>
          </w:tcPr>
          <w:p>
            <w:pPr>
              <w:jc w:val="right"/>
            </w:pPr>
            <w:r>
              <w:rPr>
                <w:color w:val="000000"/>
                <w:sz w:val="24"/>
              </w:rPr>
              <w:t>322,880,000.00</w:t>
            </w:r>
          </w:p>
        </w:tc>
        <w:tc>
          <w:tcPr>
            <w:vAlign w:val="center"/>
          </w:tcPr>
          <w:p>
            <w:pPr>
              <w:jc w:val="right"/>
            </w:pPr>
            <w:r>
              <w:rPr>
                <w:color w:val="000000"/>
                <w:sz w:val="24"/>
              </w:rPr>
              <w:t>15.51</w:t>
            </w:r>
          </w:p>
        </w:tc>
      </w:tr>
      <w:tr>
        <w:tc>
          <w:tcPr>
            <w:vAlign w:val="center"/>
          </w:tcPr>
          <w:p>
            <w:pPr>
              <w:jc w:val="center"/>
            </w:pPr>
            <w:r>
              <w:rPr>
                <w:color w:val="000000"/>
                <w:sz w:val="24"/>
              </w:rPr>
              <w:t>4</w:t>
            </w:r>
          </w:p>
        </w:tc>
        <w:tc>
          <w:tcPr>
            <w:vAlign w:val="center"/>
          </w:tcPr>
          <w:p>
            <w:pPr>
              <w:jc w:val="center"/>
            </w:pPr>
            <w:r>
              <w:rPr>
                <w:color w:val="000000"/>
                <w:sz w:val="24"/>
              </w:rPr>
              <w:t>092018001</w:t>
            </w:r>
          </w:p>
        </w:tc>
        <w:tc>
          <w:tcPr>
            <w:vAlign w:val="center"/>
          </w:tcPr>
          <w:p>
            <w:pPr>
              <w:jc w:val="center"/>
            </w:pPr>
            <w:r>
              <w:rPr>
                <w:color w:val="000000"/>
                <w:sz w:val="24"/>
              </w:rPr>
              <w:t>20农发清发01</w:t>
            </w:r>
          </w:p>
        </w:tc>
        <w:tc>
          <w:tcPr>
            <w:vAlign w:val="center"/>
          </w:tcPr>
          <w:p>
            <w:pPr>
              <w:jc w:val="right"/>
            </w:pPr>
            <w:r>
              <w:rPr>
                <w:color w:val="000000"/>
                <w:sz w:val="24"/>
              </w:rPr>
              <w:t>2,300,000</w:t>
            </w:r>
          </w:p>
        </w:tc>
        <w:tc>
          <w:tcPr>
            <w:vAlign w:val="center"/>
          </w:tcPr>
          <w:p>
            <w:pPr>
              <w:jc w:val="right"/>
            </w:pPr>
            <w:r>
              <w:rPr>
                <w:color w:val="000000"/>
                <w:sz w:val="24"/>
              </w:rPr>
              <w:t>228,827,000.00</w:t>
            </w:r>
          </w:p>
        </w:tc>
        <w:tc>
          <w:tcPr>
            <w:vAlign w:val="center"/>
          </w:tcPr>
          <w:p>
            <w:pPr>
              <w:jc w:val="right"/>
            </w:pPr>
            <w:r>
              <w:rPr>
                <w:color w:val="000000"/>
                <w:sz w:val="24"/>
              </w:rPr>
              <w:t>10.99</w:t>
            </w:r>
          </w:p>
        </w:tc>
      </w:tr>
      <w:tr>
        <w:tc>
          <w:tcPr>
            <w:vAlign w:val="center"/>
          </w:tcPr>
          <w:p>
            <w:pPr>
              <w:jc w:val="center"/>
            </w:pPr>
            <w:r>
              <w:rPr>
                <w:color w:val="000000"/>
                <w:sz w:val="24"/>
              </w:rPr>
              <w:t>5</w:t>
            </w:r>
          </w:p>
        </w:tc>
        <w:tc>
          <w:tcPr>
            <w:vAlign w:val="center"/>
          </w:tcPr>
          <w:p>
            <w:pPr>
              <w:jc w:val="center"/>
            </w:pPr>
            <w:r>
              <w:rPr>
                <w:color w:val="000000"/>
                <w:sz w:val="24"/>
              </w:rPr>
              <w:t>190303</w:t>
            </w:r>
          </w:p>
        </w:tc>
        <w:tc>
          <w:tcPr>
            <w:vAlign w:val="center"/>
          </w:tcPr>
          <w:p>
            <w:pPr>
              <w:jc w:val="center"/>
            </w:pPr>
            <w:r>
              <w:rPr>
                <w:color w:val="000000"/>
                <w:sz w:val="24"/>
              </w:rPr>
              <w:t>19进出03</w:t>
            </w:r>
          </w:p>
        </w:tc>
        <w:tc>
          <w:tcPr>
            <w:vAlign w:val="center"/>
          </w:tcPr>
          <w:p>
            <w:pPr>
              <w:jc w:val="right"/>
            </w:pPr>
            <w:r>
              <w:rPr>
                <w:color w:val="000000"/>
                <w:sz w:val="24"/>
              </w:rPr>
              <w:t>1,800,000</w:t>
            </w:r>
          </w:p>
        </w:tc>
        <w:tc>
          <w:tcPr>
            <w:vAlign w:val="center"/>
          </w:tcPr>
          <w:p>
            <w:pPr>
              <w:jc w:val="right"/>
            </w:pPr>
            <w:r>
              <w:rPr>
                <w:color w:val="000000"/>
                <w:sz w:val="24"/>
              </w:rPr>
              <w:t>181,170,000.00</w:t>
            </w:r>
          </w:p>
        </w:tc>
        <w:tc>
          <w:tcPr>
            <w:vAlign w:val="center"/>
          </w:tcPr>
          <w:p>
            <w:pPr>
              <w:jc w:val="right"/>
            </w:pPr>
            <w:r>
              <w:rPr>
                <w:color w:val="000000"/>
                <w:sz w:val="24"/>
              </w:rPr>
              <w:t>8.70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2,539.44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34,366,911.50</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207.83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38,333.36</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34,407,992.13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交银裕通纯债债券A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交银裕通纯债债券C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1,745,042,706.36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2,815,527.93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468,876,508.62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495,933.60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176,735,102.38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547,794.10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2,037,184,112.60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2,763,667.43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388,725,947.52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388,725,947.52</w:t>
            </w:r>
          </w:p>
        </w:tc>
        <w:tc>
          <w:tcPr>
            <w:vAlign w:val="center"/>
          </w:tcPr>
          <w:p>
            <w:pPr>
              <w:jc w:val="center"/>
            </w:pPr>
            <w:r>
              <w:rPr>
                <w:rFonts w:ascii="宋体" w:hAnsi="宋体" w:hint="eastAsia"/>
                <w:color w:val="000000"/>
                <w:kern w:val="0"/>
                <w:szCs w:val="21"/>
              </w:rPr>
              <w:t>19.06%</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392,926,326.13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392,926,326.13</w:t>
            </w:r>
          </w:p>
        </w:tc>
        <w:tc>
          <w:tcPr>
            <w:vAlign w:val="center"/>
          </w:tcPr>
          <w:p>
            <w:pPr>
              <w:jc w:val="center"/>
            </w:pPr>
            <w:r>
              <w:rPr>
                <w:rFonts w:ascii="宋体" w:hAnsi="宋体" w:hint="eastAsia"/>
                <w:color w:val="000000"/>
                <w:kern w:val="0"/>
                <w:szCs w:val="21"/>
              </w:rPr>
              <w:t>19.26%</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476,189,523.81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100,000,000.00</w:t>
            </w:r>
          </w:p>
        </w:tc>
        <w:tc>
          <w:tcPr>
            <w:vAlign w:val="center"/>
          </w:tcPr>
          <w:p>
            <w:pPr>
              <w:jc w:val="center"/>
            </w:pPr>
            <w:r>
              <w:rPr>
                <w:rFonts w:ascii="宋体" w:hAnsi="宋体" w:hint="eastAsia"/>
                <w:color w:val="000000"/>
                <w:kern w:val="0"/>
                <w:szCs w:val="21"/>
              </w:rPr>
              <w:t>376,189,523.81</w:t>
            </w:r>
          </w:p>
        </w:tc>
        <w:tc>
          <w:tcPr>
            <w:vAlign w:val="center"/>
          </w:tcPr>
          <w:p>
            <w:pPr>
              <w:jc w:val="center"/>
            </w:pPr>
            <w:r>
              <w:rPr>
                <w:rFonts w:ascii="宋体" w:hAnsi="宋体" w:hint="eastAsia"/>
                <w:color w:val="000000"/>
                <w:kern w:val="0"/>
                <w:szCs w:val="21"/>
              </w:rPr>
              <w:t>18.44%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1、中国证监会准予交银施罗德裕通纯债债券型证券投资基金募集注册的文件；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2、《交银施罗德裕通纯债债券型证券投资基金基金合同》；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3、《交银施罗德裕通纯债债券型证券投资基金招募说明书》；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4、《交银施罗德裕通纯债债券型证券投资基金托管协议》；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7、关于申请募集注册交银施罗德裕通纯债债券型证券投资基金的法律意见书；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8、报告期内交银施罗德裕通纯债债券型证券投资基金在指定报刊上各项公告的原稿。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交银施罗德裕通纯债债券型证券投资基金2020年第2季度报告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