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深证</w:t>
      </w:r>
      <w:r w:rsidRPr="00BD3DFE">
        <w:rPr>
          <w:b/>
          <w:sz w:val="36"/>
          <w:szCs w:val="36"/>
        </w:rPr>
        <w:t>300</w:t>
      </w:r>
      <w:r w:rsidRPr="00BD3DFE">
        <w:rPr>
          <w:b/>
          <w:sz w:val="36"/>
          <w:szCs w:val="36"/>
        </w:rPr>
        <w:t>价值交易型开放式指数证券投资基金</w:t>
      </w:r>
    </w:p>
    <w:p w:rsidR="008D7EF7" w:rsidRPr="00BD3DFE" w:rsidRDefault="008D7EF7" w:rsidP="0099526C">
      <w:pPr>
        <w:spacing w:before="29" w:line="288" w:lineRule="auto"/>
        <w:jc w:val="center"/>
        <w:rPr>
          <w:b/>
          <w:sz w:val="36"/>
          <w:szCs w:val="36"/>
        </w:rPr>
      </w:pPr>
      <w:r w:rsidRPr="00BD3DFE">
        <w:rPr>
          <w:b/>
          <w:sz w:val="36"/>
          <w:szCs w:val="36"/>
        </w:rPr>
        <w:t>2020</w:t>
      </w:r>
      <w:r w:rsidRPr="00BD3DFE">
        <w:rPr>
          <w:b/>
          <w:sz w:val="36"/>
          <w:szCs w:val="36"/>
        </w:rPr>
        <w:t>年第</w:t>
      </w:r>
      <w:r w:rsidRPr="00BD3DFE">
        <w:rPr>
          <w:b/>
          <w:sz w:val="36"/>
          <w:szCs w:val="36"/>
        </w:rPr>
        <w:t>2</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2020</w:t>
      </w:r>
      <w:r w:rsidRPr="00BD3DFE">
        <w:rPr>
          <w:b/>
          <w:sz w:val="36"/>
          <w:szCs w:val="36"/>
        </w:rPr>
        <w:t>年</w:t>
      </w:r>
      <w:r w:rsidRPr="00BD3DFE">
        <w:rPr>
          <w:b/>
          <w:sz w:val="36"/>
          <w:szCs w:val="36"/>
        </w:rPr>
        <w:t>6</w:t>
      </w:r>
      <w:r w:rsidRPr="00BD3DFE">
        <w:rPr>
          <w:b/>
          <w:sz w:val="36"/>
          <w:szCs w:val="36"/>
        </w:rPr>
        <w:t>月</w:t>
      </w:r>
      <w:r w:rsidRPr="00BD3DFE">
        <w:rPr>
          <w:b/>
          <w:sz w:val="36"/>
          <w:szCs w:val="36"/>
        </w:rPr>
        <w:t>30</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中国农业银行股份有限公司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6C6FBF">
          <w:headerReference w:type="default" r:id="rId7"/>
          <w:footerReference w:type="default" r:id="rId8"/>
          <w:pgSz w:w="11926" w:h="15840"/>
          <w:pgMar w:top="1418" w:right="1440" w:bottom="851" w:left="1440" w:header="851" w:footer="992" w:gutter="0"/>
          <w:cols w:space="720"/>
          <w:noEndnote/>
          <w:titlePg/>
          <w:docGrid w:linePitch="286"/>
        </w:sectPr>
      </w:pPr>
      <w:r w:rsidRPr="00BD3DFE">
        <w:rPr>
          <w:b/>
          <w:color w:val="000000"/>
          <w:sz w:val="24"/>
        </w:rPr>
        <w:t>报告送出日期：</w:t>
      </w:r>
      <w:r w:rsidR="00665677" w:rsidRPr="00BD3DFE">
        <w:rPr>
          <w:b/>
          <w:color w:val="000000"/>
          <w:sz w:val="24"/>
        </w:rPr>
        <w:t>二〇二〇年七月二十一日</w:t>
      </w:r>
    </w:p>
    <w:p w:rsidR="00220542" w:rsidRPr="0036023B" w:rsidRDefault="00220542" w:rsidP="00722EDF">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213C5F" w:rsidRDefault="0043596B">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213C5F" w:rsidRDefault="0043596B">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7</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213C5F" w:rsidRDefault="0043596B">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213C5F" w:rsidRDefault="0043596B">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213C5F" w:rsidRDefault="0043596B">
      <w:pPr>
        <w:spacing w:before="29" w:line="288" w:lineRule="auto"/>
        <w:ind w:firstLineChars="200" w:firstLine="480"/>
        <w:rPr>
          <w:color w:val="000000"/>
          <w:sz w:val="24"/>
        </w:rPr>
      </w:pPr>
      <w:r>
        <w:rPr>
          <w:color w:val="000000"/>
          <w:sz w:val="24"/>
        </w:rPr>
        <w:t>本报告中财务资料未经审计。</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2020</w:t>
      </w:r>
      <w:r w:rsidRPr="0036023B">
        <w:rPr>
          <w:color w:val="000000"/>
          <w:sz w:val="24"/>
        </w:rPr>
        <w:t>年</w:t>
      </w:r>
      <w:r w:rsidRPr="0036023B">
        <w:rPr>
          <w:color w:val="000000"/>
          <w:sz w:val="24"/>
        </w:rPr>
        <w:t>4</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6</w:t>
      </w:r>
      <w:r w:rsidRPr="0036023B">
        <w:rPr>
          <w:color w:val="000000"/>
          <w:sz w:val="24"/>
        </w:rPr>
        <w:t>月</w:t>
      </w:r>
      <w:r w:rsidRPr="0036023B">
        <w:rPr>
          <w:color w:val="000000"/>
          <w:sz w:val="24"/>
        </w:rPr>
        <w:t>30</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交银深证</w:t>
            </w:r>
            <w:r w:rsidRPr="0036023B">
              <w:rPr>
                <w:color w:val="000000"/>
                <w:kern w:val="0"/>
                <w:sz w:val="24"/>
              </w:rPr>
              <w:t>300</w:t>
            </w:r>
            <w:r w:rsidRPr="0036023B">
              <w:rPr>
                <w:color w:val="000000"/>
                <w:kern w:val="0"/>
                <w:sz w:val="24"/>
              </w:rPr>
              <w:t>价值</w:t>
            </w:r>
            <w:r w:rsidRPr="0036023B">
              <w:rPr>
                <w:color w:val="000000"/>
                <w:kern w:val="0"/>
                <w:sz w:val="24"/>
              </w:rPr>
              <w:t>ETF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深价值</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159913</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159913</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2011</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22</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33,329,693</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紧密跟踪标的指数，追求跟踪偏离度和跟踪误差最小化。</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本基金绝大部分资产采用完全复制法，跟踪深证</w:t>
            </w:r>
            <w:r w:rsidRPr="0036023B">
              <w:rPr>
                <w:color w:val="000000"/>
                <w:kern w:val="0"/>
                <w:sz w:val="24"/>
              </w:rPr>
              <w:t>300</w:t>
            </w:r>
            <w:r w:rsidRPr="0036023B">
              <w:rPr>
                <w:color w:val="000000"/>
                <w:kern w:val="0"/>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w:t>
            </w:r>
            <w:r w:rsidRPr="0036023B">
              <w:rPr>
                <w:color w:val="000000"/>
                <w:kern w:val="0"/>
                <w:sz w:val="24"/>
              </w:rPr>
              <w:lastRenderedPageBreak/>
              <w:t>指数时，基金管理人可以对投资组合管理进行适当变通和调整，从而使得投资组合紧密地跟踪标的指数。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深证</w:t>
            </w:r>
            <w:r w:rsidRPr="0036023B">
              <w:rPr>
                <w:color w:val="000000"/>
                <w:kern w:val="0"/>
                <w:sz w:val="24"/>
              </w:rPr>
              <w:t>300</w:t>
            </w:r>
            <w:r w:rsidRPr="0036023B">
              <w:rPr>
                <w:color w:val="000000"/>
                <w:kern w:val="0"/>
                <w:sz w:val="24"/>
              </w:rPr>
              <w:t>价值价格指数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本基金属于股票基金，风险与预期收益高于混合基金、债券基金与货币市场基金。同时本基金为指数型基金，具有与标的指数、以及标的指数所代表的股票市场相似的风险收益特征。</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20FBE" w:rsidRPr="0036023B" w:rsidTr="00620FBE">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(2020</w:t>
            </w:r>
            <w:r w:rsidRPr="0036023B">
              <w:rPr>
                <w:color w:val="000000"/>
                <w:sz w:val="24"/>
              </w:rPr>
              <w:t>年</w:t>
            </w:r>
            <w:r w:rsidRPr="0036023B">
              <w:rPr>
                <w:color w:val="000000"/>
                <w:sz w:val="24"/>
              </w:rPr>
              <w:t>4</w:t>
            </w:r>
            <w:r w:rsidRPr="0036023B">
              <w:rPr>
                <w:color w:val="000000"/>
                <w:sz w:val="24"/>
              </w:rPr>
              <w:t>月</w:t>
            </w:r>
            <w:r w:rsidRPr="0036023B">
              <w:rPr>
                <w:color w:val="000000"/>
                <w:sz w:val="24"/>
              </w:rPr>
              <w:t>1</w:t>
            </w:r>
            <w:r w:rsidRPr="0036023B">
              <w:rPr>
                <w:color w:val="000000"/>
                <w:sz w:val="24"/>
              </w:rPr>
              <w:t>日</w:t>
            </w:r>
            <w:r w:rsidRPr="0036023B">
              <w:rPr>
                <w:color w:val="000000"/>
                <w:sz w:val="24"/>
              </w:rPr>
              <w:t>-2020</w:t>
            </w:r>
            <w:r w:rsidRPr="0036023B">
              <w:rPr>
                <w:color w:val="000000"/>
                <w:sz w:val="24"/>
              </w:rPr>
              <w:t>年</w:t>
            </w:r>
            <w:r w:rsidRPr="0036023B">
              <w:rPr>
                <w:color w:val="000000"/>
                <w:sz w:val="24"/>
              </w:rPr>
              <w:t>6</w:t>
            </w:r>
            <w:r w:rsidRPr="0036023B">
              <w:rPr>
                <w:color w:val="000000"/>
                <w:sz w:val="24"/>
              </w:rPr>
              <w:t>月</w:t>
            </w:r>
            <w:r w:rsidRPr="0036023B">
              <w:rPr>
                <w:color w:val="000000"/>
                <w:sz w:val="24"/>
              </w:rPr>
              <w:t>30</w:t>
            </w:r>
            <w:r w:rsidRPr="0036023B">
              <w:rPr>
                <w:color w:val="000000"/>
                <w:sz w:val="24"/>
              </w:rPr>
              <w:t>日</w:t>
            </w:r>
            <w:r w:rsidRPr="0036023B">
              <w:rPr>
                <w:color w:val="000000"/>
                <w:sz w:val="24"/>
              </w:rPr>
              <w:t>)</w:t>
            </w:r>
          </w:p>
        </w:tc>
      </w:tr>
      <w:tr w:rsidR="00620FBE" w:rsidRPr="0036023B" w:rsidTr="00620FBE">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784,092.86</w:t>
            </w:r>
          </w:p>
        </w:tc>
      </w:tr>
      <w:tr w:rsidR="00620FBE" w:rsidRPr="0036023B" w:rsidTr="00620FBE">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8,337,380.45</w:t>
            </w:r>
          </w:p>
        </w:tc>
      </w:tr>
      <w:tr w:rsidR="00620FBE" w:rsidRPr="0036023B" w:rsidTr="00620FBE">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0.2418</w:t>
            </w:r>
          </w:p>
        </w:tc>
      </w:tr>
      <w:tr w:rsidR="00620FBE" w:rsidRPr="0036023B" w:rsidTr="00620FBE">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67,173,975.23</w:t>
            </w:r>
          </w:p>
        </w:tc>
      </w:tr>
      <w:tr w:rsidR="00620FBE" w:rsidRPr="0036023B" w:rsidTr="00620FBE">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2.015</w:t>
            </w:r>
          </w:p>
        </w:tc>
      </w:tr>
    </w:tbl>
    <w:p w:rsidR="00213C5F" w:rsidRDefault="0043596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213C5F">
        <w:trPr>
          <w:jc w:val="center"/>
        </w:trPr>
        <w:tc>
          <w:tcPr>
            <w:tcW w:w="1469" w:type="dxa"/>
            <w:vAlign w:val="center"/>
          </w:tcPr>
          <w:p w:rsidR="00213C5F" w:rsidRDefault="0043596B">
            <w:pPr>
              <w:jc w:val="left"/>
            </w:pPr>
            <w:r>
              <w:rPr>
                <w:color w:val="000000"/>
                <w:sz w:val="24"/>
              </w:rPr>
              <w:t>过去三个月</w:t>
            </w:r>
          </w:p>
        </w:tc>
        <w:tc>
          <w:tcPr>
            <w:tcW w:w="1150" w:type="dxa"/>
            <w:vAlign w:val="center"/>
          </w:tcPr>
          <w:p w:rsidR="00213C5F" w:rsidRDefault="0043596B">
            <w:pPr>
              <w:jc w:val="center"/>
            </w:pPr>
            <w:r>
              <w:rPr>
                <w:color w:val="000000"/>
                <w:sz w:val="24"/>
              </w:rPr>
              <w:t>13.52%</w:t>
            </w:r>
          </w:p>
        </w:tc>
        <w:tc>
          <w:tcPr>
            <w:tcW w:w="1223" w:type="dxa"/>
            <w:vAlign w:val="center"/>
          </w:tcPr>
          <w:p w:rsidR="00213C5F" w:rsidRDefault="0043596B">
            <w:pPr>
              <w:jc w:val="center"/>
            </w:pPr>
            <w:r>
              <w:rPr>
                <w:color w:val="000000"/>
                <w:sz w:val="24"/>
              </w:rPr>
              <w:t>0.97%</w:t>
            </w:r>
          </w:p>
        </w:tc>
        <w:tc>
          <w:tcPr>
            <w:tcW w:w="1244" w:type="dxa"/>
            <w:vAlign w:val="center"/>
          </w:tcPr>
          <w:p w:rsidR="00213C5F" w:rsidRDefault="0043596B">
            <w:pPr>
              <w:jc w:val="center"/>
            </w:pPr>
            <w:r>
              <w:rPr>
                <w:color w:val="000000"/>
                <w:sz w:val="24"/>
              </w:rPr>
              <w:t>12.49%</w:t>
            </w:r>
          </w:p>
        </w:tc>
        <w:tc>
          <w:tcPr>
            <w:tcW w:w="1251" w:type="dxa"/>
            <w:vAlign w:val="center"/>
          </w:tcPr>
          <w:p w:rsidR="00213C5F" w:rsidRDefault="0043596B">
            <w:pPr>
              <w:jc w:val="center"/>
            </w:pPr>
            <w:r>
              <w:rPr>
                <w:color w:val="000000"/>
                <w:sz w:val="24"/>
              </w:rPr>
              <w:t>0.98%</w:t>
            </w:r>
          </w:p>
        </w:tc>
        <w:tc>
          <w:tcPr>
            <w:tcW w:w="1263" w:type="dxa"/>
            <w:vAlign w:val="center"/>
          </w:tcPr>
          <w:p w:rsidR="00213C5F" w:rsidRDefault="0043596B">
            <w:pPr>
              <w:jc w:val="center"/>
            </w:pPr>
            <w:r>
              <w:rPr>
                <w:color w:val="000000"/>
                <w:sz w:val="24"/>
              </w:rPr>
              <w:t>1.03%</w:t>
            </w:r>
          </w:p>
        </w:tc>
        <w:tc>
          <w:tcPr>
            <w:tcW w:w="1268" w:type="dxa"/>
            <w:vAlign w:val="center"/>
          </w:tcPr>
          <w:p w:rsidR="00213C5F" w:rsidRDefault="0043596B">
            <w:pPr>
              <w:jc w:val="center"/>
            </w:pPr>
            <w:r>
              <w:rPr>
                <w:color w:val="000000"/>
                <w:sz w:val="24"/>
              </w:rPr>
              <w:t>-0.01%</w:t>
            </w:r>
          </w:p>
        </w:tc>
      </w:tr>
      <w:tr w:rsidR="00213C5F">
        <w:trPr>
          <w:jc w:val="center"/>
        </w:trPr>
        <w:tc>
          <w:tcPr>
            <w:tcW w:w="1469" w:type="dxa"/>
            <w:vAlign w:val="center"/>
          </w:tcPr>
          <w:p w:rsidR="00213C5F" w:rsidRDefault="0043596B">
            <w:pPr>
              <w:jc w:val="left"/>
            </w:pPr>
            <w:r>
              <w:rPr>
                <w:color w:val="000000"/>
                <w:sz w:val="24"/>
              </w:rPr>
              <w:t>过去六个月</w:t>
            </w:r>
          </w:p>
        </w:tc>
        <w:tc>
          <w:tcPr>
            <w:tcW w:w="1150" w:type="dxa"/>
            <w:vAlign w:val="center"/>
          </w:tcPr>
          <w:p w:rsidR="00213C5F" w:rsidRDefault="0043596B">
            <w:pPr>
              <w:jc w:val="center"/>
            </w:pPr>
            <w:r>
              <w:rPr>
                <w:color w:val="000000"/>
                <w:sz w:val="24"/>
              </w:rPr>
              <w:t>-2.99%</w:t>
            </w:r>
          </w:p>
        </w:tc>
        <w:tc>
          <w:tcPr>
            <w:tcW w:w="1223" w:type="dxa"/>
            <w:vAlign w:val="center"/>
          </w:tcPr>
          <w:p w:rsidR="00213C5F" w:rsidRDefault="0043596B">
            <w:pPr>
              <w:jc w:val="center"/>
            </w:pPr>
            <w:r>
              <w:rPr>
                <w:color w:val="000000"/>
                <w:sz w:val="24"/>
              </w:rPr>
              <w:t>1.70%</w:t>
            </w:r>
          </w:p>
        </w:tc>
        <w:tc>
          <w:tcPr>
            <w:tcW w:w="1244" w:type="dxa"/>
            <w:vAlign w:val="center"/>
          </w:tcPr>
          <w:p w:rsidR="00213C5F" w:rsidRDefault="0043596B">
            <w:pPr>
              <w:jc w:val="center"/>
            </w:pPr>
            <w:r>
              <w:rPr>
                <w:color w:val="000000"/>
                <w:sz w:val="24"/>
              </w:rPr>
              <w:t>-3.78%</w:t>
            </w:r>
          </w:p>
        </w:tc>
        <w:tc>
          <w:tcPr>
            <w:tcW w:w="1251" w:type="dxa"/>
            <w:vAlign w:val="center"/>
          </w:tcPr>
          <w:p w:rsidR="00213C5F" w:rsidRDefault="0043596B">
            <w:pPr>
              <w:jc w:val="center"/>
            </w:pPr>
            <w:r>
              <w:rPr>
                <w:color w:val="000000"/>
                <w:sz w:val="24"/>
              </w:rPr>
              <w:t>1.72%</w:t>
            </w:r>
          </w:p>
        </w:tc>
        <w:tc>
          <w:tcPr>
            <w:tcW w:w="1263" w:type="dxa"/>
            <w:vAlign w:val="center"/>
          </w:tcPr>
          <w:p w:rsidR="00213C5F" w:rsidRDefault="0043596B">
            <w:pPr>
              <w:jc w:val="center"/>
            </w:pPr>
            <w:r>
              <w:rPr>
                <w:color w:val="000000"/>
                <w:sz w:val="24"/>
              </w:rPr>
              <w:t>0.79%</w:t>
            </w:r>
          </w:p>
        </w:tc>
        <w:tc>
          <w:tcPr>
            <w:tcW w:w="1268" w:type="dxa"/>
            <w:vAlign w:val="center"/>
          </w:tcPr>
          <w:p w:rsidR="00213C5F" w:rsidRDefault="0043596B">
            <w:pPr>
              <w:jc w:val="center"/>
            </w:pPr>
            <w:r>
              <w:rPr>
                <w:color w:val="000000"/>
                <w:sz w:val="24"/>
              </w:rPr>
              <w:t>-0.02%</w:t>
            </w:r>
          </w:p>
        </w:tc>
      </w:tr>
      <w:tr w:rsidR="00213C5F">
        <w:trPr>
          <w:jc w:val="center"/>
        </w:trPr>
        <w:tc>
          <w:tcPr>
            <w:tcW w:w="1469" w:type="dxa"/>
            <w:vAlign w:val="center"/>
          </w:tcPr>
          <w:p w:rsidR="00213C5F" w:rsidRDefault="0043596B">
            <w:pPr>
              <w:jc w:val="left"/>
            </w:pPr>
            <w:r>
              <w:rPr>
                <w:color w:val="000000"/>
                <w:sz w:val="24"/>
              </w:rPr>
              <w:t>过去一年</w:t>
            </w:r>
          </w:p>
        </w:tc>
        <w:tc>
          <w:tcPr>
            <w:tcW w:w="1150" w:type="dxa"/>
            <w:vAlign w:val="center"/>
          </w:tcPr>
          <w:p w:rsidR="00213C5F" w:rsidRDefault="0043596B">
            <w:pPr>
              <w:jc w:val="center"/>
            </w:pPr>
            <w:r>
              <w:rPr>
                <w:color w:val="000000"/>
                <w:sz w:val="24"/>
              </w:rPr>
              <w:t>8.74%</w:t>
            </w:r>
          </w:p>
        </w:tc>
        <w:tc>
          <w:tcPr>
            <w:tcW w:w="1223" w:type="dxa"/>
            <w:vAlign w:val="center"/>
          </w:tcPr>
          <w:p w:rsidR="00213C5F" w:rsidRDefault="0043596B">
            <w:pPr>
              <w:jc w:val="center"/>
            </w:pPr>
            <w:r>
              <w:rPr>
                <w:color w:val="000000"/>
                <w:sz w:val="24"/>
              </w:rPr>
              <w:t>1.38%</w:t>
            </w:r>
          </w:p>
        </w:tc>
        <w:tc>
          <w:tcPr>
            <w:tcW w:w="1244" w:type="dxa"/>
            <w:vAlign w:val="center"/>
          </w:tcPr>
          <w:p w:rsidR="00213C5F" w:rsidRDefault="0043596B">
            <w:pPr>
              <w:jc w:val="center"/>
            </w:pPr>
            <w:r>
              <w:rPr>
                <w:color w:val="000000"/>
                <w:sz w:val="24"/>
              </w:rPr>
              <w:t>7.39%</w:t>
            </w:r>
          </w:p>
        </w:tc>
        <w:tc>
          <w:tcPr>
            <w:tcW w:w="1251" w:type="dxa"/>
            <w:vAlign w:val="center"/>
          </w:tcPr>
          <w:p w:rsidR="00213C5F" w:rsidRDefault="0043596B">
            <w:pPr>
              <w:jc w:val="center"/>
            </w:pPr>
            <w:r>
              <w:rPr>
                <w:color w:val="000000"/>
                <w:sz w:val="24"/>
              </w:rPr>
              <w:t>1.39%</w:t>
            </w:r>
          </w:p>
        </w:tc>
        <w:tc>
          <w:tcPr>
            <w:tcW w:w="1263" w:type="dxa"/>
            <w:vAlign w:val="center"/>
          </w:tcPr>
          <w:p w:rsidR="00213C5F" w:rsidRDefault="0043596B">
            <w:pPr>
              <w:jc w:val="center"/>
            </w:pPr>
            <w:r>
              <w:rPr>
                <w:color w:val="000000"/>
                <w:sz w:val="24"/>
              </w:rPr>
              <w:t>1.35%</w:t>
            </w:r>
          </w:p>
        </w:tc>
        <w:tc>
          <w:tcPr>
            <w:tcW w:w="1268" w:type="dxa"/>
            <w:vAlign w:val="center"/>
          </w:tcPr>
          <w:p w:rsidR="00213C5F" w:rsidRDefault="0043596B">
            <w:pPr>
              <w:jc w:val="center"/>
            </w:pPr>
            <w:r>
              <w:rPr>
                <w:color w:val="000000"/>
                <w:sz w:val="24"/>
              </w:rPr>
              <w:t>-0.01%</w:t>
            </w:r>
          </w:p>
        </w:tc>
      </w:tr>
      <w:tr w:rsidR="00213C5F">
        <w:trPr>
          <w:jc w:val="center"/>
        </w:trPr>
        <w:tc>
          <w:tcPr>
            <w:tcW w:w="1469" w:type="dxa"/>
            <w:vAlign w:val="center"/>
          </w:tcPr>
          <w:p w:rsidR="00213C5F" w:rsidRDefault="0043596B">
            <w:pPr>
              <w:jc w:val="left"/>
            </w:pPr>
            <w:r>
              <w:rPr>
                <w:color w:val="000000"/>
                <w:sz w:val="24"/>
              </w:rPr>
              <w:t>过去三年</w:t>
            </w:r>
          </w:p>
        </w:tc>
        <w:tc>
          <w:tcPr>
            <w:tcW w:w="1150" w:type="dxa"/>
            <w:vAlign w:val="center"/>
          </w:tcPr>
          <w:p w:rsidR="00213C5F" w:rsidRDefault="0043596B">
            <w:pPr>
              <w:jc w:val="center"/>
            </w:pPr>
            <w:r>
              <w:rPr>
                <w:color w:val="000000"/>
                <w:sz w:val="24"/>
              </w:rPr>
              <w:t>20.73%</w:t>
            </w:r>
          </w:p>
        </w:tc>
        <w:tc>
          <w:tcPr>
            <w:tcW w:w="1223" w:type="dxa"/>
            <w:vAlign w:val="center"/>
          </w:tcPr>
          <w:p w:rsidR="00213C5F" w:rsidRDefault="0043596B">
            <w:pPr>
              <w:jc w:val="center"/>
            </w:pPr>
            <w:r>
              <w:rPr>
                <w:color w:val="000000"/>
                <w:sz w:val="24"/>
              </w:rPr>
              <w:t>1.44%</w:t>
            </w:r>
          </w:p>
        </w:tc>
        <w:tc>
          <w:tcPr>
            <w:tcW w:w="1244" w:type="dxa"/>
            <w:vAlign w:val="center"/>
          </w:tcPr>
          <w:p w:rsidR="00213C5F" w:rsidRDefault="0043596B">
            <w:pPr>
              <w:jc w:val="center"/>
            </w:pPr>
            <w:r>
              <w:rPr>
                <w:color w:val="000000"/>
                <w:sz w:val="24"/>
              </w:rPr>
              <w:t>16.62%</w:t>
            </w:r>
          </w:p>
        </w:tc>
        <w:tc>
          <w:tcPr>
            <w:tcW w:w="1251" w:type="dxa"/>
            <w:vAlign w:val="center"/>
          </w:tcPr>
          <w:p w:rsidR="00213C5F" w:rsidRDefault="0043596B">
            <w:pPr>
              <w:jc w:val="center"/>
            </w:pPr>
            <w:r>
              <w:rPr>
                <w:color w:val="000000"/>
                <w:sz w:val="24"/>
              </w:rPr>
              <w:t>1.45%</w:t>
            </w:r>
          </w:p>
        </w:tc>
        <w:tc>
          <w:tcPr>
            <w:tcW w:w="1263" w:type="dxa"/>
            <w:vAlign w:val="center"/>
          </w:tcPr>
          <w:p w:rsidR="00213C5F" w:rsidRDefault="0043596B">
            <w:pPr>
              <w:jc w:val="center"/>
            </w:pPr>
            <w:r>
              <w:rPr>
                <w:color w:val="000000"/>
                <w:sz w:val="24"/>
              </w:rPr>
              <w:t>4.11%</w:t>
            </w:r>
          </w:p>
        </w:tc>
        <w:tc>
          <w:tcPr>
            <w:tcW w:w="1268" w:type="dxa"/>
            <w:vAlign w:val="center"/>
          </w:tcPr>
          <w:p w:rsidR="00213C5F" w:rsidRDefault="0043596B">
            <w:pPr>
              <w:jc w:val="center"/>
            </w:pPr>
            <w:r>
              <w:rPr>
                <w:color w:val="000000"/>
                <w:sz w:val="24"/>
              </w:rPr>
              <w:t>-0.01%</w:t>
            </w:r>
          </w:p>
        </w:tc>
      </w:tr>
      <w:tr w:rsidR="00213C5F">
        <w:trPr>
          <w:jc w:val="center"/>
        </w:trPr>
        <w:tc>
          <w:tcPr>
            <w:tcW w:w="1469" w:type="dxa"/>
            <w:vAlign w:val="center"/>
          </w:tcPr>
          <w:p w:rsidR="00213C5F" w:rsidRDefault="0043596B">
            <w:pPr>
              <w:jc w:val="left"/>
            </w:pPr>
            <w:r>
              <w:rPr>
                <w:color w:val="000000"/>
                <w:sz w:val="24"/>
              </w:rPr>
              <w:t>过去五年</w:t>
            </w:r>
          </w:p>
        </w:tc>
        <w:tc>
          <w:tcPr>
            <w:tcW w:w="1150" w:type="dxa"/>
            <w:vAlign w:val="center"/>
          </w:tcPr>
          <w:p w:rsidR="00213C5F" w:rsidRDefault="0043596B">
            <w:pPr>
              <w:jc w:val="center"/>
            </w:pPr>
            <w:r>
              <w:rPr>
                <w:color w:val="000000"/>
                <w:sz w:val="24"/>
              </w:rPr>
              <w:t>10.71%</w:t>
            </w:r>
          </w:p>
        </w:tc>
        <w:tc>
          <w:tcPr>
            <w:tcW w:w="1223" w:type="dxa"/>
            <w:vAlign w:val="center"/>
          </w:tcPr>
          <w:p w:rsidR="00213C5F" w:rsidRDefault="0043596B">
            <w:pPr>
              <w:jc w:val="center"/>
            </w:pPr>
            <w:r>
              <w:rPr>
                <w:color w:val="000000"/>
                <w:sz w:val="24"/>
              </w:rPr>
              <w:t>1.61%</w:t>
            </w:r>
          </w:p>
        </w:tc>
        <w:tc>
          <w:tcPr>
            <w:tcW w:w="1244" w:type="dxa"/>
            <w:vAlign w:val="center"/>
          </w:tcPr>
          <w:p w:rsidR="00213C5F" w:rsidRDefault="0043596B">
            <w:pPr>
              <w:jc w:val="center"/>
            </w:pPr>
            <w:r>
              <w:rPr>
                <w:color w:val="000000"/>
                <w:sz w:val="24"/>
              </w:rPr>
              <w:t>4.64%</w:t>
            </w:r>
          </w:p>
        </w:tc>
        <w:tc>
          <w:tcPr>
            <w:tcW w:w="1251" w:type="dxa"/>
            <w:vAlign w:val="center"/>
          </w:tcPr>
          <w:p w:rsidR="00213C5F" w:rsidRDefault="0043596B">
            <w:pPr>
              <w:jc w:val="center"/>
            </w:pPr>
            <w:r>
              <w:rPr>
                <w:color w:val="000000"/>
                <w:sz w:val="24"/>
              </w:rPr>
              <w:t>1.64%</w:t>
            </w:r>
          </w:p>
        </w:tc>
        <w:tc>
          <w:tcPr>
            <w:tcW w:w="1263" w:type="dxa"/>
            <w:vAlign w:val="center"/>
          </w:tcPr>
          <w:p w:rsidR="00213C5F" w:rsidRDefault="0043596B">
            <w:pPr>
              <w:jc w:val="center"/>
            </w:pPr>
            <w:r>
              <w:rPr>
                <w:color w:val="000000"/>
                <w:sz w:val="24"/>
              </w:rPr>
              <w:t>6.07%</w:t>
            </w:r>
          </w:p>
        </w:tc>
        <w:tc>
          <w:tcPr>
            <w:tcW w:w="1268" w:type="dxa"/>
            <w:vAlign w:val="center"/>
          </w:tcPr>
          <w:p w:rsidR="00213C5F" w:rsidRDefault="0043596B">
            <w:pPr>
              <w:jc w:val="center"/>
            </w:pPr>
            <w:r>
              <w:rPr>
                <w:color w:val="000000"/>
                <w:sz w:val="24"/>
              </w:rPr>
              <w:t>-0.03%</w:t>
            </w:r>
          </w:p>
        </w:tc>
      </w:tr>
      <w:tr w:rsidR="00213C5F">
        <w:trPr>
          <w:jc w:val="center"/>
        </w:trPr>
        <w:tc>
          <w:tcPr>
            <w:tcW w:w="1469" w:type="dxa"/>
            <w:vAlign w:val="center"/>
          </w:tcPr>
          <w:p w:rsidR="00213C5F" w:rsidRDefault="0043596B">
            <w:pPr>
              <w:jc w:val="left"/>
            </w:pPr>
            <w:r>
              <w:rPr>
                <w:color w:val="000000"/>
                <w:sz w:val="24"/>
              </w:rPr>
              <w:t>自基金合同生效起至今</w:t>
            </w:r>
          </w:p>
        </w:tc>
        <w:tc>
          <w:tcPr>
            <w:tcW w:w="1150" w:type="dxa"/>
            <w:vAlign w:val="center"/>
          </w:tcPr>
          <w:p w:rsidR="00213C5F" w:rsidRDefault="0043596B">
            <w:pPr>
              <w:jc w:val="center"/>
            </w:pPr>
            <w:r>
              <w:rPr>
                <w:color w:val="000000"/>
                <w:sz w:val="24"/>
              </w:rPr>
              <w:t>101.50%</w:t>
            </w:r>
          </w:p>
        </w:tc>
        <w:tc>
          <w:tcPr>
            <w:tcW w:w="1223" w:type="dxa"/>
            <w:vAlign w:val="center"/>
          </w:tcPr>
          <w:p w:rsidR="00213C5F" w:rsidRDefault="0043596B">
            <w:pPr>
              <w:jc w:val="center"/>
            </w:pPr>
            <w:r>
              <w:rPr>
                <w:color w:val="000000"/>
                <w:sz w:val="24"/>
              </w:rPr>
              <w:t>1.56%</w:t>
            </w:r>
          </w:p>
        </w:tc>
        <w:tc>
          <w:tcPr>
            <w:tcW w:w="1244" w:type="dxa"/>
            <w:vAlign w:val="center"/>
          </w:tcPr>
          <w:p w:rsidR="00213C5F" w:rsidRDefault="0043596B">
            <w:pPr>
              <w:jc w:val="center"/>
            </w:pPr>
            <w:r>
              <w:rPr>
                <w:color w:val="000000"/>
                <w:sz w:val="24"/>
              </w:rPr>
              <w:t>69.63%</w:t>
            </w:r>
          </w:p>
        </w:tc>
        <w:tc>
          <w:tcPr>
            <w:tcW w:w="1251" w:type="dxa"/>
            <w:vAlign w:val="center"/>
          </w:tcPr>
          <w:p w:rsidR="00213C5F" w:rsidRDefault="0043596B">
            <w:pPr>
              <w:jc w:val="center"/>
            </w:pPr>
            <w:r>
              <w:rPr>
                <w:color w:val="000000"/>
                <w:sz w:val="24"/>
              </w:rPr>
              <w:t>1.59%</w:t>
            </w:r>
          </w:p>
        </w:tc>
        <w:tc>
          <w:tcPr>
            <w:tcW w:w="1263" w:type="dxa"/>
            <w:vAlign w:val="center"/>
          </w:tcPr>
          <w:p w:rsidR="00213C5F" w:rsidRDefault="0043596B">
            <w:pPr>
              <w:jc w:val="center"/>
            </w:pPr>
            <w:r>
              <w:rPr>
                <w:color w:val="000000"/>
                <w:sz w:val="24"/>
              </w:rPr>
              <w:t>31.87%</w:t>
            </w:r>
          </w:p>
        </w:tc>
        <w:tc>
          <w:tcPr>
            <w:tcW w:w="1268" w:type="dxa"/>
            <w:vAlign w:val="center"/>
          </w:tcPr>
          <w:p w:rsidR="00213C5F" w:rsidRDefault="0043596B">
            <w:pPr>
              <w:jc w:val="center"/>
            </w:pPr>
            <w:r>
              <w:rPr>
                <w:color w:val="000000"/>
                <w:sz w:val="24"/>
              </w:rPr>
              <w:t>-0.03%</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深证</w:t>
      </w:r>
      <w:r w:rsidRPr="0036023B">
        <w:rPr>
          <w:sz w:val="24"/>
        </w:rPr>
        <w:t>300</w:t>
      </w:r>
      <w:r w:rsidRPr="0036023B">
        <w:rPr>
          <w:sz w:val="24"/>
        </w:rPr>
        <w:t>价值交易型开放式指数证券投资基金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2011</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22</w:t>
      </w:r>
      <w:r w:rsidR="005C0A04" w:rsidRPr="0036023B">
        <w:rPr>
          <w:color w:val="000000"/>
          <w:kern w:val="0"/>
          <w:sz w:val="24"/>
        </w:rPr>
        <w:t>日</w:t>
      </w:r>
      <w:r w:rsidRPr="0036023B">
        <w:rPr>
          <w:color w:val="000000"/>
          <w:kern w:val="0"/>
          <w:sz w:val="24"/>
        </w:rPr>
        <w:t>至</w:t>
      </w:r>
      <w:r w:rsidRPr="0036023B">
        <w:rPr>
          <w:color w:val="000000"/>
          <w:kern w:val="0"/>
          <w:sz w:val="24"/>
        </w:rPr>
        <w:t>2020</w:t>
      </w:r>
      <w:r w:rsidRPr="0036023B">
        <w:rPr>
          <w:color w:val="000000"/>
          <w:kern w:val="0"/>
          <w:sz w:val="24"/>
        </w:rPr>
        <w:t>年</w:t>
      </w:r>
      <w:r w:rsidRPr="0036023B">
        <w:rPr>
          <w:color w:val="000000"/>
          <w:kern w:val="0"/>
          <w:sz w:val="24"/>
        </w:rPr>
        <w:t>6</w:t>
      </w:r>
      <w:r w:rsidRPr="0036023B">
        <w:rPr>
          <w:color w:val="000000"/>
          <w:kern w:val="0"/>
          <w:sz w:val="24"/>
        </w:rPr>
        <w:t>月</w:t>
      </w:r>
      <w:r w:rsidRPr="0036023B">
        <w:rPr>
          <w:color w:val="000000"/>
          <w:kern w:val="0"/>
          <w:sz w:val="24"/>
        </w:rPr>
        <w:t>30</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CE3519" w:rsidRPr="0036023B" w:rsidRDefault="00CE3519" w:rsidP="0099526C">
      <w:pPr>
        <w:pStyle w:val="a5"/>
        <w:snapToGrid w:val="0"/>
        <w:spacing w:before="29" w:line="288" w:lineRule="auto"/>
        <w:rPr>
          <w:rFonts w:ascii="Times New Roman" w:hAnsi="Times New Roman"/>
          <w:color w:val="000000"/>
          <w:sz w:val="24"/>
          <w:szCs w:val="24"/>
        </w:rPr>
      </w:pPr>
    </w:p>
    <w:p w:rsidR="006C1D5C" w:rsidRPr="0036023B" w:rsidRDefault="006C1D5C" w:rsidP="0099526C">
      <w:pPr>
        <w:tabs>
          <w:tab w:val="left" w:pos="1800"/>
        </w:tabs>
        <w:spacing w:before="29" w:line="288" w:lineRule="auto"/>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213C5F">
        <w:trPr>
          <w:jc w:val="center"/>
        </w:trPr>
        <w:tc>
          <w:tcPr>
            <w:tcW w:w="846" w:type="dxa"/>
            <w:vAlign w:val="center"/>
          </w:tcPr>
          <w:p w:rsidR="00213C5F" w:rsidRDefault="0043596B">
            <w:pPr>
              <w:jc w:val="center"/>
            </w:pPr>
            <w:r>
              <w:rPr>
                <w:color w:val="000000"/>
                <w:sz w:val="24"/>
              </w:rPr>
              <w:t>蔡铮</w:t>
            </w:r>
          </w:p>
        </w:tc>
        <w:tc>
          <w:tcPr>
            <w:tcW w:w="845" w:type="dxa"/>
            <w:vAlign w:val="center"/>
          </w:tcPr>
          <w:p w:rsidR="00213C5F" w:rsidRDefault="0043596B">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）、交银创业板</w:t>
            </w:r>
            <w:r>
              <w:rPr>
                <w:color w:val="000000"/>
                <w:sz w:val="24"/>
              </w:rPr>
              <w:t>50</w:t>
            </w:r>
            <w:r>
              <w:rPr>
                <w:color w:val="000000"/>
                <w:sz w:val="24"/>
              </w:rPr>
              <w:t>指数的基金经理，公司量化投资副总监兼多元资产管理副总监</w:t>
            </w:r>
          </w:p>
        </w:tc>
        <w:tc>
          <w:tcPr>
            <w:tcW w:w="1549" w:type="dxa"/>
            <w:vAlign w:val="center"/>
          </w:tcPr>
          <w:p w:rsidR="00213C5F" w:rsidRDefault="0043596B">
            <w:pPr>
              <w:jc w:val="center"/>
            </w:pPr>
            <w:r>
              <w:rPr>
                <w:color w:val="000000"/>
                <w:sz w:val="24"/>
              </w:rPr>
              <w:t>2012-12-27</w:t>
            </w:r>
          </w:p>
        </w:tc>
        <w:tc>
          <w:tcPr>
            <w:tcW w:w="1548" w:type="dxa"/>
            <w:vAlign w:val="center"/>
          </w:tcPr>
          <w:p w:rsidR="00213C5F" w:rsidRDefault="0043596B">
            <w:pPr>
              <w:jc w:val="center"/>
            </w:pPr>
            <w:r>
              <w:rPr>
                <w:color w:val="000000"/>
                <w:sz w:val="24"/>
              </w:rPr>
              <w:t>-</w:t>
            </w:r>
          </w:p>
        </w:tc>
        <w:tc>
          <w:tcPr>
            <w:tcW w:w="1407" w:type="dxa"/>
            <w:vAlign w:val="center"/>
          </w:tcPr>
          <w:p w:rsidR="00213C5F" w:rsidRDefault="0043596B">
            <w:pPr>
              <w:jc w:val="center"/>
            </w:pPr>
            <w:r>
              <w:rPr>
                <w:color w:val="000000"/>
                <w:sz w:val="24"/>
              </w:rPr>
              <w:t>11</w:t>
            </w:r>
            <w:r>
              <w:rPr>
                <w:color w:val="000000"/>
                <w:sz w:val="24"/>
              </w:rPr>
              <w:t>年</w:t>
            </w:r>
          </w:p>
        </w:tc>
        <w:tc>
          <w:tcPr>
            <w:tcW w:w="2673" w:type="dxa"/>
            <w:vAlign w:val="center"/>
          </w:tcPr>
          <w:p w:rsidR="00213C5F" w:rsidRPr="00620FBE" w:rsidRDefault="00620FBE" w:rsidP="00722250">
            <w:r w:rsidRPr="00620FBE">
              <w:rPr>
                <w:rFonts w:hint="eastAsia"/>
                <w:color w:val="000000"/>
                <w:sz w:val="24"/>
              </w:rPr>
              <w:t>蔡铮先生，中国国籍，复旦大学电子工程硕士。历任瑞士银行香港分行分析员。</w:t>
            </w:r>
            <w:r w:rsidRPr="00620FBE">
              <w:rPr>
                <w:rFonts w:hint="eastAsia"/>
                <w:color w:val="000000"/>
                <w:sz w:val="24"/>
              </w:rPr>
              <w:t>2009</w:t>
            </w:r>
            <w:r w:rsidRPr="00620FBE">
              <w:rPr>
                <w:rFonts w:hint="eastAsia"/>
                <w:color w:val="000000"/>
                <w:sz w:val="24"/>
              </w:rPr>
              <w:t>年加入交银施罗德基金管理有限公司，历任投资研究部数量分析师、基金经理助理、量化投资部助理总经理、量化投资部副总经理。</w:t>
            </w:r>
            <w:r w:rsidRPr="00620FBE">
              <w:rPr>
                <w:rFonts w:hint="eastAsia"/>
                <w:color w:val="000000"/>
                <w:sz w:val="24"/>
              </w:rPr>
              <w:t>2012</w:t>
            </w:r>
            <w:r w:rsidRPr="00620FBE">
              <w:rPr>
                <w:rFonts w:hint="eastAsia"/>
                <w:color w:val="000000"/>
                <w:sz w:val="24"/>
              </w:rPr>
              <w:t>年</w:t>
            </w:r>
            <w:r w:rsidRPr="00620FBE">
              <w:rPr>
                <w:rFonts w:hint="eastAsia"/>
                <w:color w:val="000000"/>
                <w:sz w:val="24"/>
              </w:rPr>
              <w:t>12</w:t>
            </w:r>
            <w:r w:rsidRPr="00620FBE">
              <w:rPr>
                <w:rFonts w:hint="eastAsia"/>
                <w:color w:val="000000"/>
                <w:sz w:val="24"/>
              </w:rPr>
              <w:t>月</w:t>
            </w:r>
            <w:r w:rsidRPr="00620FBE">
              <w:rPr>
                <w:rFonts w:hint="eastAsia"/>
                <w:color w:val="000000"/>
                <w:sz w:val="24"/>
              </w:rPr>
              <w:t>27</w:t>
            </w:r>
            <w:r w:rsidRPr="00620FBE">
              <w:rPr>
                <w:rFonts w:hint="eastAsia"/>
                <w:color w:val="000000"/>
                <w:sz w:val="24"/>
              </w:rPr>
              <w:t>日至</w:t>
            </w:r>
            <w:r w:rsidRPr="00620FBE">
              <w:rPr>
                <w:rFonts w:hint="eastAsia"/>
                <w:color w:val="000000"/>
                <w:sz w:val="24"/>
              </w:rPr>
              <w:t>2015</w:t>
            </w:r>
            <w:r w:rsidRPr="00620FBE">
              <w:rPr>
                <w:rFonts w:hint="eastAsia"/>
                <w:color w:val="000000"/>
                <w:sz w:val="24"/>
              </w:rPr>
              <w:t>年</w:t>
            </w:r>
            <w:r w:rsidRPr="00620FBE">
              <w:rPr>
                <w:rFonts w:hint="eastAsia"/>
                <w:color w:val="000000"/>
                <w:sz w:val="24"/>
              </w:rPr>
              <w:t>6</w:t>
            </w:r>
            <w:r w:rsidRPr="00620FBE">
              <w:rPr>
                <w:rFonts w:hint="eastAsia"/>
                <w:color w:val="000000"/>
                <w:sz w:val="24"/>
              </w:rPr>
              <w:t>月</w:t>
            </w:r>
            <w:r w:rsidRPr="00620FBE">
              <w:rPr>
                <w:rFonts w:hint="eastAsia"/>
                <w:color w:val="000000"/>
                <w:sz w:val="24"/>
              </w:rPr>
              <w:t>30</w:t>
            </w:r>
            <w:r w:rsidRPr="00620FBE">
              <w:rPr>
                <w:rFonts w:hint="eastAsia"/>
                <w:color w:val="000000"/>
                <w:sz w:val="24"/>
              </w:rPr>
              <w:t>日担任交银施罗德沪深</w:t>
            </w:r>
            <w:r w:rsidRPr="00620FBE">
              <w:rPr>
                <w:rFonts w:hint="eastAsia"/>
                <w:color w:val="000000"/>
                <w:sz w:val="24"/>
              </w:rPr>
              <w:t>300</w:t>
            </w:r>
            <w:r w:rsidRPr="00620FBE">
              <w:rPr>
                <w:rFonts w:hint="eastAsia"/>
                <w:color w:val="000000"/>
                <w:sz w:val="24"/>
              </w:rPr>
              <w:t>行业分层等权重指数证券投资基金基金经理，</w:t>
            </w:r>
            <w:r w:rsidRPr="00620FBE">
              <w:rPr>
                <w:rFonts w:hint="eastAsia"/>
                <w:color w:val="000000"/>
                <w:sz w:val="24"/>
              </w:rPr>
              <w:t>2015</w:t>
            </w:r>
            <w:r w:rsidRPr="00620FBE">
              <w:rPr>
                <w:rFonts w:hint="eastAsia"/>
                <w:color w:val="000000"/>
                <w:sz w:val="24"/>
              </w:rPr>
              <w:t>年</w:t>
            </w:r>
            <w:r w:rsidRPr="00620FBE">
              <w:rPr>
                <w:rFonts w:hint="eastAsia"/>
                <w:color w:val="000000"/>
                <w:sz w:val="24"/>
              </w:rPr>
              <w:t>4</w:t>
            </w:r>
            <w:r w:rsidRPr="00620FBE">
              <w:rPr>
                <w:rFonts w:hint="eastAsia"/>
                <w:color w:val="000000"/>
                <w:sz w:val="24"/>
              </w:rPr>
              <w:t>月</w:t>
            </w:r>
            <w:r w:rsidRPr="00620FBE">
              <w:rPr>
                <w:rFonts w:hint="eastAsia"/>
                <w:color w:val="000000"/>
                <w:sz w:val="24"/>
              </w:rPr>
              <w:t>22</w:t>
            </w:r>
            <w:r w:rsidRPr="00620FBE">
              <w:rPr>
                <w:rFonts w:hint="eastAsia"/>
                <w:color w:val="000000"/>
                <w:sz w:val="24"/>
              </w:rPr>
              <w:t>日至</w:t>
            </w:r>
            <w:r w:rsidRPr="00620FBE">
              <w:rPr>
                <w:rFonts w:hint="eastAsia"/>
                <w:color w:val="000000"/>
                <w:sz w:val="24"/>
              </w:rPr>
              <w:t>2017</w:t>
            </w:r>
            <w:r w:rsidRPr="00620FBE">
              <w:rPr>
                <w:rFonts w:hint="eastAsia"/>
                <w:color w:val="000000"/>
                <w:sz w:val="24"/>
              </w:rPr>
              <w:t>年</w:t>
            </w:r>
            <w:r w:rsidRPr="00620FBE">
              <w:rPr>
                <w:rFonts w:hint="eastAsia"/>
                <w:color w:val="000000"/>
                <w:sz w:val="24"/>
              </w:rPr>
              <w:t>3</w:t>
            </w:r>
            <w:r w:rsidRPr="00620FBE">
              <w:rPr>
                <w:rFonts w:hint="eastAsia"/>
                <w:color w:val="000000"/>
                <w:sz w:val="24"/>
              </w:rPr>
              <w:t>月</w:t>
            </w:r>
            <w:r w:rsidRPr="00620FBE">
              <w:rPr>
                <w:rFonts w:hint="eastAsia"/>
                <w:color w:val="000000"/>
                <w:sz w:val="24"/>
              </w:rPr>
              <w:t>24</w:t>
            </w:r>
            <w:r w:rsidRPr="00620FBE">
              <w:rPr>
                <w:rFonts w:hint="eastAsia"/>
                <w:color w:val="000000"/>
                <w:sz w:val="24"/>
              </w:rPr>
              <w:t>日担任交银施罗德环球精选价值证券投资基金基金经理，</w:t>
            </w:r>
            <w:r w:rsidRPr="00620FBE">
              <w:rPr>
                <w:rFonts w:hint="eastAsia"/>
                <w:color w:val="000000"/>
                <w:sz w:val="24"/>
              </w:rPr>
              <w:t>2015</w:t>
            </w:r>
            <w:r w:rsidRPr="00620FBE">
              <w:rPr>
                <w:rFonts w:hint="eastAsia"/>
                <w:color w:val="000000"/>
                <w:sz w:val="24"/>
              </w:rPr>
              <w:t>年</w:t>
            </w:r>
            <w:r w:rsidRPr="00620FBE">
              <w:rPr>
                <w:rFonts w:hint="eastAsia"/>
                <w:color w:val="000000"/>
                <w:sz w:val="24"/>
              </w:rPr>
              <w:t>4</w:t>
            </w:r>
            <w:r w:rsidRPr="00620FBE">
              <w:rPr>
                <w:rFonts w:hint="eastAsia"/>
                <w:color w:val="000000"/>
                <w:sz w:val="24"/>
              </w:rPr>
              <w:t>月</w:t>
            </w:r>
            <w:r w:rsidRPr="00620FBE">
              <w:rPr>
                <w:rFonts w:hint="eastAsia"/>
                <w:color w:val="000000"/>
                <w:sz w:val="24"/>
              </w:rPr>
              <w:t>22</w:t>
            </w:r>
            <w:r w:rsidRPr="00620FBE">
              <w:rPr>
                <w:rFonts w:hint="eastAsia"/>
                <w:color w:val="000000"/>
                <w:sz w:val="24"/>
              </w:rPr>
              <w:t>日至</w:t>
            </w:r>
            <w:r w:rsidRPr="00620FBE">
              <w:rPr>
                <w:rFonts w:hint="eastAsia"/>
                <w:color w:val="000000"/>
                <w:sz w:val="24"/>
              </w:rPr>
              <w:t>2017</w:t>
            </w:r>
            <w:r w:rsidRPr="00620FBE">
              <w:rPr>
                <w:rFonts w:hint="eastAsia"/>
                <w:color w:val="000000"/>
                <w:sz w:val="24"/>
              </w:rPr>
              <w:t>年</w:t>
            </w:r>
            <w:r w:rsidRPr="00620FBE">
              <w:rPr>
                <w:rFonts w:hint="eastAsia"/>
                <w:color w:val="000000"/>
                <w:sz w:val="24"/>
              </w:rPr>
              <w:t>3</w:t>
            </w:r>
            <w:r w:rsidRPr="00620FBE">
              <w:rPr>
                <w:rFonts w:hint="eastAsia"/>
                <w:color w:val="000000"/>
                <w:sz w:val="24"/>
              </w:rPr>
              <w:t>月</w:t>
            </w:r>
            <w:r w:rsidRPr="00620FBE">
              <w:rPr>
                <w:rFonts w:hint="eastAsia"/>
                <w:color w:val="000000"/>
                <w:sz w:val="24"/>
              </w:rPr>
              <w:t>24</w:t>
            </w:r>
            <w:r w:rsidRPr="00620FBE">
              <w:rPr>
                <w:rFonts w:hint="eastAsia"/>
                <w:color w:val="000000"/>
                <w:sz w:val="24"/>
              </w:rPr>
              <w:t>日担任交银施罗德全球自然资源证券投资基金基金经理，</w:t>
            </w:r>
            <w:r w:rsidRPr="00620FBE">
              <w:rPr>
                <w:rFonts w:hint="eastAsia"/>
                <w:color w:val="000000"/>
                <w:sz w:val="24"/>
              </w:rPr>
              <w:t>2015</w:t>
            </w:r>
            <w:r w:rsidRPr="00620FBE">
              <w:rPr>
                <w:rFonts w:hint="eastAsia"/>
                <w:color w:val="000000"/>
                <w:sz w:val="24"/>
              </w:rPr>
              <w:t>年</w:t>
            </w:r>
            <w:r w:rsidRPr="00620FBE">
              <w:rPr>
                <w:rFonts w:hint="eastAsia"/>
                <w:color w:val="000000"/>
                <w:sz w:val="24"/>
              </w:rPr>
              <w:t>8</w:t>
            </w:r>
            <w:r w:rsidRPr="00620FBE">
              <w:rPr>
                <w:rFonts w:hint="eastAsia"/>
                <w:color w:val="000000"/>
                <w:sz w:val="24"/>
              </w:rPr>
              <w:t>月</w:t>
            </w:r>
            <w:r w:rsidRPr="00620FBE">
              <w:rPr>
                <w:rFonts w:hint="eastAsia"/>
                <w:color w:val="000000"/>
                <w:sz w:val="24"/>
              </w:rPr>
              <w:t>13</w:t>
            </w:r>
            <w:r w:rsidRPr="00620FBE">
              <w:rPr>
                <w:rFonts w:hint="eastAsia"/>
                <w:color w:val="000000"/>
                <w:sz w:val="24"/>
              </w:rPr>
              <w:t>日至</w:t>
            </w:r>
            <w:r w:rsidRPr="00620FBE">
              <w:rPr>
                <w:rFonts w:hint="eastAsia"/>
                <w:color w:val="000000"/>
                <w:sz w:val="24"/>
              </w:rPr>
              <w:t>2016</w:t>
            </w:r>
            <w:r w:rsidRPr="00620FBE">
              <w:rPr>
                <w:rFonts w:hint="eastAsia"/>
                <w:color w:val="000000"/>
                <w:sz w:val="24"/>
              </w:rPr>
              <w:t>年</w:t>
            </w:r>
            <w:r w:rsidRPr="00620FBE">
              <w:rPr>
                <w:rFonts w:hint="eastAsia"/>
                <w:color w:val="000000"/>
                <w:sz w:val="24"/>
              </w:rPr>
              <w:t>7</w:t>
            </w:r>
            <w:r w:rsidRPr="00620FBE">
              <w:rPr>
                <w:rFonts w:hint="eastAsia"/>
                <w:color w:val="000000"/>
                <w:sz w:val="24"/>
              </w:rPr>
              <w:t>月</w:t>
            </w:r>
            <w:r w:rsidRPr="00620FBE">
              <w:rPr>
                <w:rFonts w:hint="eastAsia"/>
                <w:color w:val="000000"/>
                <w:sz w:val="24"/>
              </w:rPr>
              <w:t>18</w:t>
            </w:r>
            <w:r w:rsidRPr="00620FBE">
              <w:rPr>
                <w:rFonts w:hint="eastAsia"/>
                <w:color w:val="000000"/>
                <w:sz w:val="24"/>
              </w:rPr>
              <w:t>日担任交银施罗德中证环境治理指数分级证券投资基金基金经理。</w:t>
            </w:r>
            <w:r w:rsidRPr="00620FBE">
              <w:rPr>
                <w:rFonts w:hint="eastAsia"/>
                <w:color w:val="000000"/>
                <w:sz w:val="24"/>
              </w:rPr>
              <w:t>2018</w:t>
            </w:r>
            <w:r w:rsidRPr="00620FBE">
              <w:rPr>
                <w:rFonts w:hint="eastAsia"/>
                <w:color w:val="000000"/>
                <w:sz w:val="24"/>
              </w:rPr>
              <w:t>年</w:t>
            </w:r>
            <w:r w:rsidRPr="00620FBE">
              <w:rPr>
                <w:rFonts w:hint="eastAsia"/>
                <w:color w:val="000000"/>
                <w:sz w:val="24"/>
              </w:rPr>
              <w:t>5</w:t>
            </w:r>
            <w:r w:rsidRPr="00620FBE">
              <w:rPr>
                <w:rFonts w:hint="eastAsia"/>
                <w:color w:val="000000"/>
                <w:sz w:val="24"/>
              </w:rPr>
              <w:t>月</w:t>
            </w:r>
            <w:r w:rsidRPr="00620FBE">
              <w:rPr>
                <w:rFonts w:hint="eastAsia"/>
                <w:color w:val="000000"/>
                <w:sz w:val="24"/>
              </w:rPr>
              <w:t>18</w:t>
            </w:r>
            <w:r w:rsidRPr="00620FBE">
              <w:rPr>
                <w:rFonts w:hint="eastAsia"/>
                <w:color w:val="000000"/>
                <w:sz w:val="24"/>
              </w:rPr>
              <w:t>日至</w:t>
            </w:r>
            <w:r w:rsidRPr="00620FBE">
              <w:rPr>
                <w:rFonts w:hint="eastAsia"/>
                <w:color w:val="000000"/>
                <w:sz w:val="24"/>
              </w:rPr>
              <w:t>2020</w:t>
            </w:r>
            <w:r w:rsidRPr="00620FBE">
              <w:rPr>
                <w:rFonts w:hint="eastAsia"/>
                <w:color w:val="000000"/>
                <w:sz w:val="24"/>
              </w:rPr>
              <w:t>年</w:t>
            </w:r>
            <w:r w:rsidR="00722250">
              <w:rPr>
                <w:color w:val="000000"/>
                <w:sz w:val="24"/>
              </w:rPr>
              <w:t>7</w:t>
            </w:r>
            <w:r w:rsidRPr="00620FBE">
              <w:rPr>
                <w:rFonts w:hint="eastAsia"/>
                <w:color w:val="000000"/>
                <w:sz w:val="24"/>
              </w:rPr>
              <w:t>月</w:t>
            </w:r>
            <w:r w:rsidRPr="00620FBE">
              <w:rPr>
                <w:rFonts w:hint="eastAsia"/>
                <w:color w:val="000000"/>
                <w:sz w:val="24"/>
              </w:rPr>
              <w:t>1</w:t>
            </w:r>
            <w:r w:rsidR="00722250">
              <w:rPr>
                <w:color w:val="000000"/>
                <w:sz w:val="24"/>
              </w:rPr>
              <w:t>7</w:t>
            </w:r>
            <w:bookmarkStart w:id="0" w:name="_GoBack"/>
            <w:bookmarkEnd w:id="0"/>
            <w:r w:rsidRPr="00620FBE">
              <w:rPr>
                <w:rFonts w:hint="eastAsia"/>
                <w:color w:val="000000"/>
                <w:sz w:val="24"/>
              </w:rPr>
              <w:t>日担任交银施罗德致远量化智投策略定期开放混合型证券投资基金的基金经理。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6023B">
          <w:rPr>
            <w:sz w:val="24"/>
          </w:rPr>
          <w:t>4.3.1</w:t>
        </w:r>
      </w:smartTag>
      <w:r w:rsidRPr="0036023B">
        <w:rPr>
          <w:sz w:val="24"/>
        </w:rPr>
        <w:t>公平交易制度的执行情况</w:t>
      </w:r>
    </w:p>
    <w:p w:rsidR="00213C5F" w:rsidRDefault="0043596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13C5F" w:rsidRDefault="0043596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13C5F" w:rsidRDefault="0043596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213C5F" w:rsidRDefault="0043596B">
      <w:pPr>
        <w:spacing w:before="29" w:line="288" w:lineRule="auto"/>
        <w:ind w:firstLineChars="200" w:firstLine="480"/>
        <w:rPr>
          <w:color w:val="000000"/>
          <w:sz w:val="24"/>
        </w:rPr>
      </w:pPr>
      <w:r>
        <w:rPr>
          <w:color w:val="000000"/>
          <w:sz w:val="24"/>
        </w:rPr>
        <w:t>2020</w:t>
      </w:r>
      <w:r>
        <w:rPr>
          <w:color w:val="000000"/>
          <w:sz w:val="24"/>
        </w:rPr>
        <w:t>年二季度，国内新冠疫情得到有效控制，各行各业已在五月份逐步复工复产，经济指标持续好转。二季度我国经济处于恢复阶段，货币环境仍然较为宽松，整体经济恢复速度较为温和。受益于宏观刺激政策发力，工业生产增速与结构继续改善，但需求不足对工业生产形成一定制约，同时制造业投资增长疲弱，基建地产投资相对强势，消费动力仍显不足。在此经济背景下，二季度</w:t>
      </w:r>
      <w:r>
        <w:rPr>
          <w:color w:val="000000"/>
          <w:sz w:val="24"/>
        </w:rPr>
        <w:t>A</w:t>
      </w:r>
      <w:r>
        <w:rPr>
          <w:color w:val="000000"/>
          <w:sz w:val="24"/>
        </w:rPr>
        <w:t>股市场风险偏好稳步回升，市场点位震荡上行。作为跟踪基准指数的指数基金，二季度基金总体呈现震荡上行的走势。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w:t>
      </w:r>
      <w:r w:rsidRPr="0036023B">
        <w:rPr>
          <w:color w:val="000000"/>
          <w:sz w:val="24"/>
        </w:rPr>
        <w:t>2020</w:t>
      </w:r>
      <w:r w:rsidRPr="0036023B">
        <w:rPr>
          <w:color w:val="000000"/>
          <w:sz w:val="24"/>
        </w:rPr>
        <w:t>年三季度，随着国内疫情防控向好形势持续巩固，企业复工复产深入推进，国内经济继续保持修复性增长。未来我国财政和货币政策仍将大概率保持积极，货币政策边际放松的力度减弱，财政政策或将成为经济刺激的主要着力点。国内资本市场各项金融改革政策有序推进，创业板注册制细则落地，科创板</w:t>
      </w:r>
      <w:r w:rsidRPr="0036023B">
        <w:rPr>
          <w:color w:val="000000"/>
          <w:sz w:val="24"/>
        </w:rPr>
        <w:t>50</w:t>
      </w:r>
      <w:r w:rsidRPr="0036023B">
        <w:rPr>
          <w:color w:val="000000"/>
          <w:sz w:val="24"/>
        </w:rPr>
        <w:t>指数即将发布，同时上证综指编制规则迎来较大调整。这一系列措施有望提振市场信心与情绪，吸引增量资金入场。总体而言，从中长期来看我们对</w:t>
      </w:r>
      <w:r w:rsidRPr="0036023B">
        <w:rPr>
          <w:color w:val="000000"/>
          <w:sz w:val="24"/>
        </w:rPr>
        <w:t>A</w:t>
      </w:r>
      <w:r w:rsidRPr="0036023B">
        <w:rPr>
          <w:color w:val="000000"/>
          <w:sz w:val="24"/>
        </w:rPr>
        <w:t>股市场仍维持谨慎乐观的看法。</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本基金（各类）份额净值及业绩表现请见</w:t>
      </w:r>
      <w:r w:rsidRPr="0036023B">
        <w:rPr>
          <w:color w:val="000000"/>
          <w:sz w:val="24"/>
        </w:rPr>
        <w:t>“3.1</w:t>
      </w:r>
      <w:r w:rsidRPr="0036023B">
        <w:rPr>
          <w:color w:val="000000"/>
          <w:sz w:val="24"/>
        </w:rPr>
        <w:t>主要财务指标</w:t>
      </w:r>
      <w:r w:rsidRPr="0036023B">
        <w:rPr>
          <w:color w:val="000000"/>
          <w:sz w:val="24"/>
        </w:rPr>
        <w:t xml:space="preserve">” </w:t>
      </w:r>
      <w:r w:rsidRPr="0036023B">
        <w:rPr>
          <w:color w:val="000000"/>
          <w:sz w:val="24"/>
        </w:rPr>
        <w:t>及</w:t>
      </w:r>
      <w:r w:rsidRPr="0036023B">
        <w:rPr>
          <w:color w:val="000000"/>
          <w:sz w:val="24"/>
        </w:rPr>
        <w:t xml:space="preserve">“3.2.1 </w:t>
      </w:r>
      <w:r w:rsidRPr="0036023B">
        <w:rPr>
          <w:color w:val="000000"/>
          <w:sz w:val="24"/>
        </w:rPr>
        <w:t>本报告期基金份额净值增长率及其与同期业绩比较基准收益率的比较</w:t>
      </w:r>
      <w:r w:rsidRPr="0036023B">
        <w:rPr>
          <w:color w:val="000000"/>
          <w:sz w:val="24"/>
        </w:rPr>
        <w:t>”</w:t>
      </w:r>
      <w:r w:rsidRPr="0036023B">
        <w:rPr>
          <w:color w:val="000000"/>
          <w:sz w:val="24"/>
        </w:rPr>
        <w:t>部分披露。</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AF2C17" w:rsidRDefault="00AF2C17" w:rsidP="00AF2C17">
      <w:pPr>
        <w:autoSpaceDE w:val="0"/>
        <w:autoSpaceDN w:val="0"/>
        <w:adjustRightInd w:val="0"/>
        <w:spacing w:line="360" w:lineRule="auto"/>
        <w:jc w:val="left"/>
        <w:rPr>
          <w:rFonts w:eastAsiaTheme="minorEastAsia"/>
          <w:b/>
          <w:color w:val="000000" w:themeColor="text1"/>
          <w:kern w:val="0"/>
          <w:sz w:val="24"/>
        </w:rPr>
      </w:pPr>
      <w:r w:rsidRPr="006D2F4A">
        <w:rPr>
          <w:rFonts w:eastAsiaTheme="minorEastAsia"/>
          <w:b/>
          <w:color w:val="000000" w:themeColor="text1"/>
          <w:kern w:val="0"/>
          <w:sz w:val="24"/>
        </w:rPr>
        <w:t xml:space="preserve">5.1 </w:t>
      </w:r>
      <w:r w:rsidRPr="006D2F4A">
        <w:rPr>
          <w:rFonts w:eastAsiaTheme="minorEastAsia"/>
          <w:b/>
          <w:color w:val="000000" w:themeColor="text1"/>
          <w:kern w:val="0"/>
          <w:sz w:val="24"/>
        </w:rPr>
        <w:t>报告期末基金资产组合情况</w:t>
      </w:r>
    </w:p>
    <w:p w:rsidR="00DE2AB9" w:rsidRPr="00DE2AB9" w:rsidRDefault="00CC1C8D" w:rsidP="00CC1C8D">
      <w:pPr>
        <w:autoSpaceDE w:val="0"/>
        <w:autoSpaceDN w:val="0"/>
        <w:adjustRightInd w:val="0"/>
        <w:spacing w:line="360" w:lineRule="auto"/>
        <w:jc w:val="right"/>
        <w:rPr>
          <w:rFonts w:eastAsiaTheme="minorEastAsia"/>
          <w:b/>
          <w:color w:val="000000" w:themeColor="text1"/>
          <w:kern w:val="0"/>
          <w:sz w:val="24"/>
        </w:rPr>
      </w:pPr>
      <w:r w:rsidRPr="00CC1C8D">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序号</w:t>
            </w:r>
          </w:p>
        </w:tc>
        <w:tc>
          <w:tcPr>
            <w:tcW w:w="2824"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项目</w:t>
            </w:r>
          </w:p>
        </w:tc>
        <w:tc>
          <w:tcPr>
            <w:tcW w:w="2552"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金额</w:t>
            </w:r>
          </w:p>
        </w:tc>
        <w:tc>
          <w:tcPr>
            <w:tcW w:w="2801"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占基金总资产的比例</w:t>
            </w: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1</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权益投资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66,488,227.87</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98.76</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其中：股票</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66,488,227.87</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98.76</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2</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ascii="宋体" w:hAnsi="宋体" w:hint="eastAsia"/>
                <w:sz w:val="24"/>
              </w:rPr>
              <w:t>基金投资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3</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固定收益投资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其中：债券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6D2F4A">
            <w:pPr>
              <w:autoSpaceDE w:val="0"/>
              <w:autoSpaceDN w:val="0"/>
              <w:adjustRightInd w:val="0"/>
              <w:spacing w:before="29" w:line="360" w:lineRule="auto"/>
              <w:ind w:left="17" w:firstLineChars="300" w:firstLine="720"/>
              <w:jc w:val="left"/>
              <w:rPr>
                <w:rFonts w:eastAsiaTheme="minorEastAsia"/>
                <w:color w:val="000000" w:themeColor="text1"/>
                <w:sz w:val="24"/>
              </w:rPr>
            </w:pPr>
            <w:r w:rsidRPr="006D2F4A">
              <w:rPr>
                <w:rFonts w:eastAsiaTheme="minorEastAsia"/>
                <w:color w:val="000000" w:themeColor="text1"/>
                <w:sz w:val="24"/>
              </w:rPr>
              <w:t>资产支持证券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4</w:t>
            </w:r>
          </w:p>
        </w:tc>
        <w:tc>
          <w:tcPr>
            <w:tcW w:w="2824" w:type="dxa"/>
            <w:vAlign w:val="center"/>
          </w:tcPr>
          <w:p w:rsidR="00AF2C17" w:rsidRPr="006D2F4A" w:rsidRDefault="00AF2C17" w:rsidP="002D2971">
            <w:pPr>
              <w:spacing w:before="29" w:line="360" w:lineRule="auto"/>
              <w:ind w:leftChars="50" w:left="105"/>
              <w:rPr>
                <w:rFonts w:eastAsiaTheme="minorEastAsia"/>
                <w:color w:val="000000" w:themeColor="text1"/>
                <w:sz w:val="24"/>
              </w:rPr>
            </w:pPr>
            <w:r w:rsidRPr="006D2F4A">
              <w:rPr>
                <w:rFonts w:eastAsiaTheme="minorEastAsia"/>
                <w:color w:val="000000" w:themeColor="text1"/>
                <w:sz w:val="24"/>
              </w:rPr>
              <w:t>贵金属投资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5</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金融衍生品投资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6</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其中：买断式回购的买入返售金融资产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7</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银行存款和结算备付金合计</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824,432.37</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1.22</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8</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其他各项资产</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13,278.56</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0.02</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9</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合计</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67,325,938.80</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5.2.1</w:t>
        </w:r>
      </w:smartTag>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318F0"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5.2.2</w:t>
        </w:r>
      </w:smartTag>
      <w:r w:rsidRPr="0036023B">
        <w:rPr>
          <w:b/>
          <w:color w:val="000000"/>
          <w:kern w:val="0"/>
          <w:sz w:val="24"/>
        </w:rPr>
        <w:t>指数投资按行业分类的股票投资组合</w:t>
      </w:r>
    </w:p>
    <w:p w:rsidR="00732048" w:rsidRPr="00DF2629" w:rsidRDefault="00732048" w:rsidP="00732048">
      <w:pPr>
        <w:autoSpaceDE w:val="0"/>
        <w:autoSpaceDN w:val="0"/>
        <w:adjustRightInd w:val="0"/>
        <w:spacing w:before="29" w:line="288" w:lineRule="auto"/>
        <w:jc w:val="right"/>
        <w:rPr>
          <w:b/>
          <w:color w:val="000000"/>
          <w:kern w:val="0"/>
          <w:sz w:val="24"/>
        </w:rPr>
      </w:pPr>
      <w:r w:rsidRPr="005312D8">
        <w:rPr>
          <w:color w:val="00000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F0255A" w:rsidP="0099526C">
            <w:pPr>
              <w:adjustRightInd w:val="0"/>
              <w:snapToGrid w:val="0"/>
              <w:spacing w:before="29" w:line="288" w:lineRule="auto"/>
              <w:jc w:val="center"/>
              <w:rPr>
                <w:sz w:val="24"/>
              </w:rPr>
            </w:pPr>
            <w:r>
              <w:rPr>
                <w:sz w:val="24"/>
              </w:rPr>
              <w:t>占基金资产净值比例</w:t>
            </w:r>
            <w:r>
              <w:rPr>
                <w:rFonts w:hint="eastAsia"/>
                <w:sz w:val="24"/>
              </w:rPr>
              <w:t>(</w:t>
            </w:r>
            <w:r>
              <w:rPr>
                <w:sz w:val="24"/>
              </w:rPr>
              <w:t>%</w:t>
            </w:r>
            <w:r>
              <w:rPr>
                <w:rFonts w:hint="eastAsia"/>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3,132,308.00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4.66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321,785.00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0.48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40,905,853.93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60.90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727,046.08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1.08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289,248.00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0.43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1,188,322.00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1.77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142,818.00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0.21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9,688,623.26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14.42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9,211,915.88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13.71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338,818.72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0.50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541,489.00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0.81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66,488,227.87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98.98</w:t>
            </w:r>
          </w:p>
        </w:tc>
      </w:tr>
    </w:tbl>
    <w:p w:rsidR="00BC47D5" w:rsidRPr="00BC47D5" w:rsidRDefault="00BC47D5" w:rsidP="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410CF9">
        <w:rPr>
          <w:rFonts w:hint="eastAsia"/>
          <w:b/>
          <w:color w:val="000000"/>
          <w:kern w:val="0"/>
          <w:sz w:val="24"/>
        </w:rPr>
        <w:t>港股通</w:t>
      </w:r>
      <w:r w:rsidRPr="00BC47D5">
        <w:rPr>
          <w:rFonts w:hint="eastAsia"/>
          <w:b/>
          <w:color w:val="000000"/>
          <w:kern w:val="0"/>
          <w:sz w:val="24"/>
        </w:rPr>
        <w:t>投资股票投资组合</w:t>
      </w:r>
    </w:p>
    <w:p w:rsidR="00BC47D5" w:rsidRPr="00497448" w:rsidRDefault="00BC47D5" w:rsidP="00BC47D5">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4318F0" w:rsidRPr="00BC47D5"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D585F" w:rsidRPr="0036023B">
        <w:rPr>
          <w:b/>
          <w:color w:val="000000"/>
          <w:kern w:val="0"/>
          <w:sz w:val="24"/>
        </w:rPr>
        <w:t>报告期末按公允价值占基金资产净值比例大小</w:t>
      </w:r>
      <w:r w:rsidR="00FA12AB">
        <w:rPr>
          <w:rFonts w:hint="eastAsia"/>
          <w:b/>
          <w:color w:val="000000"/>
          <w:kern w:val="0"/>
          <w:sz w:val="24"/>
        </w:rPr>
        <w:t>排序</w:t>
      </w:r>
      <w:r w:rsidR="009D585F" w:rsidRPr="0036023B">
        <w:rPr>
          <w:b/>
          <w:color w:val="000000"/>
          <w:kern w:val="0"/>
          <w:sz w:val="24"/>
        </w:rPr>
        <w:t>的股票投资明细</w:t>
      </w:r>
    </w:p>
    <w:p w:rsidR="00C22C7D" w:rsidRPr="0036023B" w:rsidRDefault="000625A6" w:rsidP="0099526C">
      <w:pPr>
        <w:spacing w:before="29" w:line="288" w:lineRule="auto"/>
        <w:rPr>
          <w:b/>
          <w:sz w:val="24"/>
        </w:rPr>
      </w:pPr>
      <w:r w:rsidRPr="0036023B">
        <w:rPr>
          <w:b/>
          <w:color w:val="000000"/>
          <w:kern w:val="0"/>
          <w:sz w:val="24"/>
        </w:rPr>
        <w:t>5.3.1</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213C5F">
        <w:trPr>
          <w:jc w:val="center"/>
        </w:trPr>
        <w:tc>
          <w:tcPr>
            <w:tcW w:w="850" w:type="dxa"/>
            <w:vAlign w:val="center"/>
          </w:tcPr>
          <w:p w:rsidR="00213C5F" w:rsidRDefault="0043596B">
            <w:pPr>
              <w:jc w:val="center"/>
            </w:pPr>
            <w:r>
              <w:rPr>
                <w:color w:val="000000"/>
                <w:sz w:val="24"/>
              </w:rPr>
              <w:t>1</w:t>
            </w:r>
          </w:p>
        </w:tc>
        <w:tc>
          <w:tcPr>
            <w:tcW w:w="1327" w:type="dxa"/>
            <w:vAlign w:val="center"/>
          </w:tcPr>
          <w:p w:rsidR="00213C5F" w:rsidRDefault="0043596B">
            <w:pPr>
              <w:jc w:val="center"/>
            </w:pPr>
            <w:r>
              <w:rPr>
                <w:color w:val="000000"/>
                <w:sz w:val="24"/>
              </w:rPr>
              <w:t>000333</w:t>
            </w:r>
          </w:p>
        </w:tc>
        <w:tc>
          <w:tcPr>
            <w:tcW w:w="1769" w:type="dxa"/>
            <w:vAlign w:val="center"/>
          </w:tcPr>
          <w:p w:rsidR="00213C5F" w:rsidRDefault="0043596B">
            <w:pPr>
              <w:jc w:val="center"/>
            </w:pPr>
            <w:r>
              <w:rPr>
                <w:color w:val="000000"/>
                <w:sz w:val="24"/>
              </w:rPr>
              <w:t>美的集团</w:t>
            </w:r>
          </w:p>
        </w:tc>
        <w:tc>
          <w:tcPr>
            <w:tcW w:w="1327" w:type="dxa"/>
            <w:vAlign w:val="center"/>
          </w:tcPr>
          <w:p w:rsidR="00213C5F" w:rsidRDefault="0043596B">
            <w:pPr>
              <w:jc w:val="right"/>
            </w:pPr>
            <w:r>
              <w:rPr>
                <w:color w:val="000000"/>
                <w:sz w:val="24"/>
              </w:rPr>
              <w:t>129,883</w:t>
            </w:r>
          </w:p>
        </w:tc>
        <w:tc>
          <w:tcPr>
            <w:tcW w:w="1915" w:type="dxa"/>
            <w:vAlign w:val="center"/>
          </w:tcPr>
          <w:p w:rsidR="00213C5F" w:rsidRDefault="0043596B">
            <w:pPr>
              <w:jc w:val="right"/>
            </w:pPr>
            <w:r>
              <w:rPr>
                <w:color w:val="000000"/>
                <w:sz w:val="24"/>
              </w:rPr>
              <w:t>7,765,704.57</w:t>
            </w:r>
          </w:p>
        </w:tc>
        <w:tc>
          <w:tcPr>
            <w:tcW w:w="1680" w:type="dxa"/>
            <w:vAlign w:val="center"/>
          </w:tcPr>
          <w:p w:rsidR="00213C5F" w:rsidRDefault="0043596B">
            <w:pPr>
              <w:jc w:val="right"/>
            </w:pPr>
            <w:r>
              <w:rPr>
                <w:color w:val="000000"/>
                <w:sz w:val="24"/>
              </w:rPr>
              <w:t>11.56</w:t>
            </w:r>
          </w:p>
        </w:tc>
      </w:tr>
      <w:tr w:rsidR="00213C5F">
        <w:trPr>
          <w:jc w:val="center"/>
        </w:trPr>
        <w:tc>
          <w:tcPr>
            <w:tcW w:w="850" w:type="dxa"/>
            <w:vAlign w:val="center"/>
          </w:tcPr>
          <w:p w:rsidR="00213C5F" w:rsidRDefault="0043596B">
            <w:pPr>
              <w:jc w:val="center"/>
            </w:pPr>
            <w:r>
              <w:rPr>
                <w:color w:val="000000"/>
                <w:sz w:val="24"/>
              </w:rPr>
              <w:t>2</w:t>
            </w:r>
          </w:p>
        </w:tc>
        <w:tc>
          <w:tcPr>
            <w:tcW w:w="1327" w:type="dxa"/>
            <w:vAlign w:val="center"/>
          </w:tcPr>
          <w:p w:rsidR="00213C5F" w:rsidRDefault="0043596B">
            <w:pPr>
              <w:jc w:val="center"/>
            </w:pPr>
            <w:r>
              <w:rPr>
                <w:color w:val="000000"/>
                <w:sz w:val="24"/>
              </w:rPr>
              <w:t>000651</w:t>
            </w:r>
          </w:p>
        </w:tc>
        <w:tc>
          <w:tcPr>
            <w:tcW w:w="1769" w:type="dxa"/>
            <w:vAlign w:val="center"/>
          </w:tcPr>
          <w:p w:rsidR="00213C5F" w:rsidRDefault="0043596B">
            <w:pPr>
              <w:jc w:val="center"/>
            </w:pPr>
            <w:r>
              <w:rPr>
                <w:color w:val="000000"/>
                <w:sz w:val="24"/>
              </w:rPr>
              <w:t>格力电器</w:t>
            </w:r>
          </w:p>
        </w:tc>
        <w:tc>
          <w:tcPr>
            <w:tcW w:w="1327" w:type="dxa"/>
            <w:vAlign w:val="center"/>
          </w:tcPr>
          <w:p w:rsidR="00213C5F" w:rsidRDefault="0043596B">
            <w:pPr>
              <w:jc w:val="right"/>
            </w:pPr>
            <w:r>
              <w:rPr>
                <w:color w:val="000000"/>
                <w:sz w:val="24"/>
              </w:rPr>
              <w:t>127,574</w:t>
            </w:r>
          </w:p>
        </w:tc>
        <w:tc>
          <w:tcPr>
            <w:tcW w:w="1915" w:type="dxa"/>
            <w:vAlign w:val="center"/>
          </w:tcPr>
          <w:p w:rsidR="00213C5F" w:rsidRDefault="0043596B">
            <w:pPr>
              <w:jc w:val="right"/>
            </w:pPr>
            <w:r>
              <w:rPr>
                <w:color w:val="000000"/>
                <w:sz w:val="24"/>
              </w:rPr>
              <w:t>7,216,861.18</w:t>
            </w:r>
          </w:p>
        </w:tc>
        <w:tc>
          <w:tcPr>
            <w:tcW w:w="1680" w:type="dxa"/>
            <w:vAlign w:val="center"/>
          </w:tcPr>
          <w:p w:rsidR="00213C5F" w:rsidRDefault="0043596B">
            <w:pPr>
              <w:jc w:val="right"/>
            </w:pPr>
            <w:r>
              <w:rPr>
                <w:color w:val="000000"/>
                <w:sz w:val="24"/>
              </w:rPr>
              <w:t>10.74</w:t>
            </w:r>
          </w:p>
        </w:tc>
      </w:tr>
      <w:tr w:rsidR="00213C5F">
        <w:trPr>
          <w:jc w:val="center"/>
        </w:trPr>
        <w:tc>
          <w:tcPr>
            <w:tcW w:w="850" w:type="dxa"/>
            <w:vAlign w:val="center"/>
          </w:tcPr>
          <w:p w:rsidR="00213C5F" w:rsidRDefault="0043596B">
            <w:pPr>
              <w:jc w:val="center"/>
            </w:pPr>
            <w:r>
              <w:rPr>
                <w:color w:val="000000"/>
                <w:sz w:val="24"/>
              </w:rPr>
              <w:t>3</w:t>
            </w:r>
          </w:p>
        </w:tc>
        <w:tc>
          <w:tcPr>
            <w:tcW w:w="1327" w:type="dxa"/>
            <w:vAlign w:val="center"/>
          </w:tcPr>
          <w:p w:rsidR="00213C5F" w:rsidRDefault="0043596B">
            <w:pPr>
              <w:jc w:val="center"/>
            </w:pPr>
            <w:r>
              <w:rPr>
                <w:color w:val="000000"/>
                <w:sz w:val="24"/>
              </w:rPr>
              <w:t>000002</w:t>
            </w:r>
          </w:p>
        </w:tc>
        <w:tc>
          <w:tcPr>
            <w:tcW w:w="1769" w:type="dxa"/>
            <w:vAlign w:val="center"/>
          </w:tcPr>
          <w:p w:rsidR="00213C5F" w:rsidRDefault="0043596B">
            <w:pPr>
              <w:jc w:val="center"/>
            </w:pPr>
            <w:r>
              <w:rPr>
                <w:color w:val="000000"/>
                <w:sz w:val="24"/>
              </w:rPr>
              <w:t>万科</w:t>
            </w:r>
            <w:r>
              <w:rPr>
                <w:color w:val="000000"/>
                <w:sz w:val="24"/>
              </w:rPr>
              <w:t>A</w:t>
            </w:r>
          </w:p>
        </w:tc>
        <w:tc>
          <w:tcPr>
            <w:tcW w:w="1327" w:type="dxa"/>
            <w:vAlign w:val="center"/>
          </w:tcPr>
          <w:p w:rsidR="00213C5F" w:rsidRDefault="0043596B">
            <w:pPr>
              <w:jc w:val="right"/>
            </w:pPr>
            <w:r>
              <w:rPr>
                <w:color w:val="000000"/>
                <w:sz w:val="24"/>
              </w:rPr>
              <w:t>176,800</w:t>
            </w:r>
          </w:p>
        </w:tc>
        <w:tc>
          <w:tcPr>
            <w:tcW w:w="1915" w:type="dxa"/>
            <w:vAlign w:val="center"/>
          </w:tcPr>
          <w:p w:rsidR="00213C5F" w:rsidRDefault="0043596B">
            <w:pPr>
              <w:jc w:val="right"/>
            </w:pPr>
            <w:r>
              <w:rPr>
                <w:color w:val="000000"/>
                <w:sz w:val="24"/>
              </w:rPr>
              <w:t>4,621,552.00</w:t>
            </w:r>
          </w:p>
        </w:tc>
        <w:tc>
          <w:tcPr>
            <w:tcW w:w="1680" w:type="dxa"/>
            <w:vAlign w:val="center"/>
          </w:tcPr>
          <w:p w:rsidR="00213C5F" w:rsidRDefault="0043596B">
            <w:pPr>
              <w:jc w:val="right"/>
            </w:pPr>
            <w:r>
              <w:rPr>
                <w:color w:val="000000"/>
                <w:sz w:val="24"/>
              </w:rPr>
              <w:t>6.88</w:t>
            </w:r>
          </w:p>
        </w:tc>
      </w:tr>
      <w:tr w:rsidR="00213C5F">
        <w:trPr>
          <w:jc w:val="center"/>
        </w:trPr>
        <w:tc>
          <w:tcPr>
            <w:tcW w:w="850" w:type="dxa"/>
            <w:vAlign w:val="center"/>
          </w:tcPr>
          <w:p w:rsidR="00213C5F" w:rsidRDefault="0043596B">
            <w:pPr>
              <w:jc w:val="center"/>
            </w:pPr>
            <w:r>
              <w:rPr>
                <w:color w:val="000000"/>
                <w:sz w:val="24"/>
              </w:rPr>
              <w:t>4</w:t>
            </w:r>
          </w:p>
        </w:tc>
        <w:tc>
          <w:tcPr>
            <w:tcW w:w="1327" w:type="dxa"/>
            <w:vAlign w:val="center"/>
          </w:tcPr>
          <w:p w:rsidR="00213C5F" w:rsidRDefault="0043596B">
            <w:pPr>
              <w:jc w:val="center"/>
            </w:pPr>
            <w:r>
              <w:rPr>
                <w:color w:val="000000"/>
                <w:sz w:val="24"/>
              </w:rPr>
              <w:t>000725</w:t>
            </w:r>
          </w:p>
        </w:tc>
        <w:tc>
          <w:tcPr>
            <w:tcW w:w="1769" w:type="dxa"/>
            <w:vAlign w:val="center"/>
          </w:tcPr>
          <w:p w:rsidR="00213C5F" w:rsidRDefault="0043596B">
            <w:pPr>
              <w:jc w:val="center"/>
            </w:pPr>
            <w:r>
              <w:rPr>
                <w:color w:val="000000"/>
                <w:sz w:val="24"/>
              </w:rPr>
              <w:t>京东方</w:t>
            </w:r>
            <w:r>
              <w:rPr>
                <w:color w:val="000000"/>
                <w:sz w:val="24"/>
              </w:rPr>
              <w:t>A</w:t>
            </w:r>
          </w:p>
        </w:tc>
        <w:tc>
          <w:tcPr>
            <w:tcW w:w="1327" w:type="dxa"/>
            <w:vAlign w:val="center"/>
          </w:tcPr>
          <w:p w:rsidR="00213C5F" w:rsidRDefault="0043596B">
            <w:pPr>
              <w:jc w:val="right"/>
            </w:pPr>
            <w:r>
              <w:rPr>
                <w:color w:val="000000"/>
                <w:sz w:val="24"/>
              </w:rPr>
              <w:t>710,685</w:t>
            </w:r>
          </w:p>
        </w:tc>
        <w:tc>
          <w:tcPr>
            <w:tcW w:w="1915" w:type="dxa"/>
            <w:vAlign w:val="center"/>
          </w:tcPr>
          <w:p w:rsidR="00213C5F" w:rsidRDefault="0043596B">
            <w:pPr>
              <w:jc w:val="right"/>
            </w:pPr>
            <w:r>
              <w:rPr>
                <w:color w:val="000000"/>
                <w:sz w:val="24"/>
              </w:rPr>
              <w:t>3,318,898.95</w:t>
            </w:r>
          </w:p>
        </w:tc>
        <w:tc>
          <w:tcPr>
            <w:tcW w:w="1680" w:type="dxa"/>
            <w:vAlign w:val="center"/>
          </w:tcPr>
          <w:p w:rsidR="00213C5F" w:rsidRDefault="0043596B">
            <w:pPr>
              <w:jc w:val="right"/>
            </w:pPr>
            <w:r>
              <w:rPr>
                <w:color w:val="000000"/>
                <w:sz w:val="24"/>
              </w:rPr>
              <w:t>4.94</w:t>
            </w:r>
          </w:p>
        </w:tc>
      </w:tr>
      <w:tr w:rsidR="00213C5F">
        <w:trPr>
          <w:jc w:val="center"/>
        </w:trPr>
        <w:tc>
          <w:tcPr>
            <w:tcW w:w="850" w:type="dxa"/>
            <w:vAlign w:val="center"/>
          </w:tcPr>
          <w:p w:rsidR="00213C5F" w:rsidRDefault="0043596B">
            <w:pPr>
              <w:jc w:val="center"/>
            </w:pPr>
            <w:r>
              <w:rPr>
                <w:color w:val="000000"/>
                <w:sz w:val="24"/>
              </w:rPr>
              <w:t>5</w:t>
            </w:r>
          </w:p>
        </w:tc>
        <w:tc>
          <w:tcPr>
            <w:tcW w:w="1327" w:type="dxa"/>
            <w:vAlign w:val="center"/>
          </w:tcPr>
          <w:p w:rsidR="00213C5F" w:rsidRDefault="0043596B">
            <w:pPr>
              <w:jc w:val="center"/>
            </w:pPr>
            <w:r>
              <w:rPr>
                <w:color w:val="000000"/>
                <w:sz w:val="24"/>
              </w:rPr>
              <w:t>000001</w:t>
            </w:r>
          </w:p>
        </w:tc>
        <w:tc>
          <w:tcPr>
            <w:tcW w:w="1769" w:type="dxa"/>
            <w:vAlign w:val="center"/>
          </w:tcPr>
          <w:p w:rsidR="00213C5F" w:rsidRDefault="0043596B">
            <w:pPr>
              <w:jc w:val="center"/>
            </w:pPr>
            <w:r>
              <w:rPr>
                <w:color w:val="000000"/>
                <w:sz w:val="24"/>
              </w:rPr>
              <w:t>平安银行</w:t>
            </w:r>
          </w:p>
        </w:tc>
        <w:tc>
          <w:tcPr>
            <w:tcW w:w="1327" w:type="dxa"/>
            <w:vAlign w:val="center"/>
          </w:tcPr>
          <w:p w:rsidR="00213C5F" w:rsidRDefault="0043596B">
            <w:pPr>
              <w:jc w:val="right"/>
            </w:pPr>
            <w:r>
              <w:rPr>
                <w:color w:val="000000"/>
                <w:sz w:val="24"/>
              </w:rPr>
              <w:t>229,694</w:t>
            </w:r>
          </w:p>
        </w:tc>
        <w:tc>
          <w:tcPr>
            <w:tcW w:w="1915" w:type="dxa"/>
            <w:vAlign w:val="center"/>
          </w:tcPr>
          <w:p w:rsidR="00213C5F" w:rsidRDefault="0043596B">
            <w:pPr>
              <w:jc w:val="right"/>
            </w:pPr>
            <w:r>
              <w:rPr>
                <w:color w:val="000000"/>
                <w:sz w:val="24"/>
              </w:rPr>
              <w:t>2,940,083.20</w:t>
            </w:r>
          </w:p>
        </w:tc>
        <w:tc>
          <w:tcPr>
            <w:tcW w:w="1680" w:type="dxa"/>
            <w:vAlign w:val="center"/>
          </w:tcPr>
          <w:p w:rsidR="00213C5F" w:rsidRDefault="0043596B">
            <w:pPr>
              <w:jc w:val="right"/>
            </w:pPr>
            <w:r>
              <w:rPr>
                <w:color w:val="000000"/>
                <w:sz w:val="24"/>
              </w:rPr>
              <w:t>4.38</w:t>
            </w:r>
          </w:p>
        </w:tc>
      </w:tr>
      <w:tr w:rsidR="00213C5F">
        <w:trPr>
          <w:jc w:val="center"/>
        </w:trPr>
        <w:tc>
          <w:tcPr>
            <w:tcW w:w="850" w:type="dxa"/>
            <w:vAlign w:val="center"/>
          </w:tcPr>
          <w:p w:rsidR="00213C5F" w:rsidRDefault="0043596B">
            <w:pPr>
              <w:jc w:val="center"/>
            </w:pPr>
            <w:r>
              <w:rPr>
                <w:color w:val="000000"/>
                <w:sz w:val="24"/>
              </w:rPr>
              <w:t>6</w:t>
            </w:r>
          </w:p>
        </w:tc>
        <w:tc>
          <w:tcPr>
            <w:tcW w:w="1327" w:type="dxa"/>
            <w:vAlign w:val="center"/>
          </w:tcPr>
          <w:p w:rsidR="00213C5F" w:rsidRDefault="0043596B">
            <w:pPr>
              <w:jc w:val="center"/>
            </w:pPr>
            <w:r>
              <w:rPr>
                <w:color w:val="000000"/>
                <w:sz w:val="24"/>
              </w:rPr>
              <w:t>300498</w:t>
            </w:r>
          </w:p>
        </w:tc>
        <w:tc>
          <w:tcPr>
            <w:tcW w:w="1769" w:type="dxa"/>
            <w:vAlign w:val="center"/>
          </w:tcPr>
          <w:p w:rsidR="00213C5F" w:rsidRDefault="0043596B">
            <w:pPr>
              <w:jc w:val="center"/>
            </w:pPr>
            <w:r>
              <w:rPr>
                <w:color w:val="000000"/>
                <w:sz w:val="24"/>
              </w:rPr>
              <w:t>温氏股份</w:t>
            </w:r>
          </w:p>
        </w:tc>
        <w:tc>
          <w:tcPr>
            <w:tcW w:w="1327" w:type="dxa"/>
            <w:vAlign w:val="center"/>
          </w:tcPr>
          <w:p w:rsidR="00213C5F" w:rsidRDefault="0043596B">
            <w:pPr>
              <w:jc w:val="right"/>
            </w:pPr>
            <w:r>
              <w:rPr>
                <w:color w:val="000000"/>
                <w:sz w:val="24"/>
              </w:rPr>
              <w:t>125,060</w:t>
            </w:r>
          </w:p>
        </w:tc>
        <w:tc>
          <w:tcPr>
            <w:tcW w:w="1915" w:type="dxa"/>
            <w:vAlign w:val="center"/>
          </w:tcPr>
          <w:p w:rsidR="00213C5F" w:rsidRDefault="0043596B">
            <w:pPr>
              <w:jc w:val="right"/>
            </w:pPr>
            <w:r>
              <w:rPr>
                <w:color w:val="000000"/>
                <w:sz w:val="24"/>
              </w:rPr>
              <w:t>2,726,308.00</w:t>
            </w:r>
          </w:p>
        </w:tc>
        <w:tc>
          <w:tcPr>
            <w:tcW w:w="1680" w:type="dxa"/>
            <w:vAlign w:val="center"/>
          </w:tcPr>
          <w:p w:rsidR="00213C5F" w:rsidRDefault="0043596B">
            <w:pPr>
              <w:jc w:val="right"/>
            </w:pPr>
            <w:r>
              <w:rPr>
                <w:color w:val="000000"/>
                <w:sz w:val="24"/>
              </w:rPr>
              <w:t>4.06</w:t>
            </w:r>
          </w:p>
        </w:tc>
      </w:tr>
      <w:tr w:rsidR="00213C5F">
        <w:trPr>
          <w:jc w:val="center"/>
        </w:trPr>
        <w:tc>
          <w:tcPr>
            <w:tcW w:w="850" w:type="dxa"/>
            <w:vAlign w:val="center"/>
          </w:tcPr>
          <w:p w:rsidR="00213C5F" w:rsidRDefault="0043596B">
            <w:pPr>
              <w:jc w:val="center"/>
            </w:pPr>
            <w:r>
              <w:rPr>
                <w:color w:val="000000"/>
                <w:sz w:val="24"/>
              </w:rPr>
              <w:t>7</w:t>
            </w:r>
          </w:p>
        </w:tc>
        <w:tc>
          <w:tcPr>
            <w:tcW w:w="1327" w:type="dxa"/>
            <w:vAlign w:val="center"/>
          </w:tcPr>
          <w:p w:rsidR="00213C5F" w:rsidRDefault="0043596B">
            <w:pPr>
              <w:jc w:val="center"/>
            </w:pPr>
            <w:r>
              <w:rPr>
                <w:color w:val="000000"/>
                <w:sz w:val="24"/>
              </w:rPr>
              <w:t>000100</w:t>
            </w:r>
          </w:p>
        </w:tc>
        <w:tc>
          <w:tcPr>
            <w:tcW w:w="1769" w:type="dxa"/>
            <w:vAlign w:val="center"/>
          </w:tcPr>
          <w:p w:rsidR="00213C5F" w:rsidRDefault="0043596B">
            <w:pPr>
              <w:jc w:val="center"/>
            </w:pPr>
            <w:r>
              <w:rPr>
                <w:color w:val="000000"/>
                <w:sz w:val="24"/>
              </w:rPr>
              <w:t>TCL</w:t>
            </w:r>
            <w:r>
              <w:rPr>
                <w:color w:val="000000"/>
                <w:sz w:val="24"/>
              </w:rPr>
              <w:t>科技</w:t>
            </w:r>
          </w:p>
        </w:tc>
        <w:tc>
          <w:tcPr>
            <w:tcW w:w="1327" w:type="dxa"/>
            <w:vAlign w:val="center"/>
          </w:tcPr>
          <w:p w:rsidR="00213C5F" w:rsidRDefault="0043596B">
            <w:pPr>
              <w:jc w:val="right"/>
            </w:pPr>
            <w:r>
              <w:rPr>
                <w:color w:val="000000"/>
                <w:sz w:val="24"/>
              </w:rPr>
              <w:t>316,200</w:t>
            </w:r>
          </w:p>
        </w:tc>
        <w:tc>
          <w:tcPr>
            <w:tcW w:w="1915" w:type="dxa"/>
            <w:vAlign w:val="center"/>
          </w:tcPr>
          <w:p w:rsidR="00213C5F" w:rsidRDefault="0043596B">
            <w:pPr>
              <w:jc w:val="right"/>
            </w:pPr>
            <w:r>
              <w:rPr>
                <w:color w:val="000000"/>
                <w:sz w:val="24"/>
              </w:rPr>
              <w:t>1,960,440.00</w:t>
            </w:r>
          </w:p>
        </w:tc>
        <w:tc>
          <w:tcPr>
            <w:tcW w:w="1680" w:type="dxa"/>
            <w:vAlign w:val="center"/>
          </w:tcPr>
          <w:p w:rsidR="00213C5F" w:rsidRDefault="0043596B">
            <w:pPr>
              <w:jc w:val="right"/>
            </w:pPr>
            <w:r>
              <w:rPr>
                <w:color w:val="000000"/>
                <w:sz w:val="24"/>
              </w:rPr>
              <w:t>2.92</w:t>
            </w:r>
          </w:p>
        </w:tc>
      </w:tr>
      <w:tr w:rsidR="00213C5F">
        <w:trPr>
          <w:jc w:val="center"/>
        </w:trPr>
        <w:tc>
          <w:tcPr>
            <w:tcW w:w="850" w:type="dxa"/>
            <w:vAlign w:val="center"/>
          </w:tcPr>
          <w:p w:rsidR="00213C5F" w:rsidRDefault="0043596B">
            <w:pPr>
              <w:jc w:val="center"/>
            </w:pPr>
            <w:r>
              <w:rPr>
                <w:color w:val="000000"/>
                <w:sz w:val="24"/>
              </w:rPr>
              <w:t>8</w:t>
            </w:r>
          </w:p>
        </w:tc>
        <w:tc>
          <w:tcPr>
            <w:tcW w:w="1327" w:type="dxa"/>
            <w:vAlign w:val="center"/>
          </w:tcPr>
          <w:p w:rsidR="00213C5F" w:rsidRDefault="0043596B">
            <w:pPr>
              <w:jc w:val="center"/>
            </w:pPr>
            <w:r>
              <w:rPr>
                <w:color w:val="000000"/>
                <w:sz w:val="24"/>
              </w:rPr>
              <w:t>002142</w:t>
            </w:r>
          </w:p>
        </w:tc>
        <w:tc>
          <w:tcPr>
            <w:tcW w:w="1769" w:type="dxa"/>
            <w:vAlign w:val="center"/>
          </w:tcPr>
          <w:p w:rsidR="00213C5F" w:rsidRDefault="0043596B">
            <w:pPr>
              <w:jc w:val="center"/>
            </w:pPr>
            <w:r>
              <w:rPr>
                <w:color w:val="000000"/>
                <w:sz w:val="24"/>
              </w:rPr>
              <w:t>宁波银行</w:t>
            </w:r>
          </w:p>
        </w:tc>
        <w:tc>
          <w:tcPr>
            <w:tcW w:w="1327" w:type="dxa"/>
            <w:vAlign w:val="center"/>
          </w:tcPr>
          <w:p w:rsidR="00213C5F" w:rsidRDefault="0043596B">
            <w:pPr>
              <w:jc w:val="right"/>
            </w:pPr>
            <w:r>
              <w:rPr>
                <w:color w:val="000000"/>
                <w:sz w:val="24"/>
              </w:rPr>
              <w:t>68,158</w:t>
            </w:r>
          </w:p>
        </w:tc>
        <w:tc>
          <w:tcPr>
            <w:tcW w:w="1915" w:type="dxa"/>
            <w:vAlign w:val="center"/>
          </w:tcPr>
          <w:p w:rsidR="00213C5F" w:rsidRDefault="0043596B">
            <w:pPr>
              <w:jc w:val="right"/>
            </w:pPr>
            <w:r>
              <w:rPr>
                <w:color w:val="000000"/>
                <w:sz w:val="24"/>
              </w:rPr>
              <w:t>1,790,510.66</w:t>
            </w:r>
          </w:p>
        </w:tc>
        <w:tc>
          <w:tcPr>
            <w:tcW w:w="1680" w:type="dxa"/>
            <w:vAlign w:val="center"/>
          </w:tcPr>
          <w:p w:rsidR="00213C5F" w:rsidRDefault="0043596B">
            <w:pPr>
              <w:jc w:val="right"/>
            </w:pPr>
            <w:r>
              <w:rPr>
                <w:color w:val="000000"/>
                <w:sz w:val="24"/>
              </w:rPr>
              <w:t>2.67</w:t>
            </w:r>
          </w:p>
        </w:tc>
      </w:tr>
      <w:tr w:rsidR="00213C5F">
        <w:trPr>
          <w:jc w:val="center"/>
        </w:trPr>
        <w:tc>
          <w:tcPr>
            <w:tcW w:w="850" w:type="dxa"/>
            <w:vAlign w:val="center"/>
          </w:tcPr>
          <w:p w:rsidR="00213C5F" w:rsidRDefault="0043596B">
            <w:pPr>
              <w:jc w:val="center"/>
            </w:pPr>
            <w:r>
              <w:rPr>
                <w:color w:val="000000"/>
                <w:sz w:val="24"/>
              </w:rPr>
              <w:t>9</w:t>
            </w:r>
          </w:p>
        </w:tc>
        <w:tc>
          <w:tcPr>
            <w:tcW w:w="1327" w:type="dxa"/>
            <w:vAlign w:val="center"/>
          </w:tcPr>
          <w:p w:rsidR="00213C5F" w:rsidRDefault="0043596B">
            <w:pPr>
              <w:jc w:val="center"/>
            </w:pPr>
            <w:r>
              <w:rPr>
                <w:color w:val="000000"/>
                <w:sz w:val="24"/>
              </w:rPr>
              <w:t>000338</w:t>
            </w:r>
          </w:p>
        </w:tc>
        <w:tc>
          <w:tcPr>
            <w:tcW w:w="1769" w:type="dxa"/>
            <w:vAlign w:val="center"/>
          </w:tcPr>
          <w:p w:rsidR="00213C5F" w:rsidRDefault="0043596B">
            <w:pPr>
              <w:jc w:val="center"/>
            </w:pPr>
            <w:r>
              <w:rPr>
                <w:color w:val="000000"/>
                <w:sz w:val="24"/>
              </w:rPr>
              <w:t>潍柴动力</w:t>
            </w:r>
          </w:p>
        </w:tc>
        <w:tc>
          <w:tcPr>
            <w:tcW w:w="1327" w:type="dxa"/>
            <w:vAlign w:val="center"/>
          </w:tcPr>
          <w:p w:rsidR="00213C5F" w:rsidRDefault="0043596B">
            <w:pPr>
              <w:jc w:val="right"/>
            </w:pPr>
            <w:r>
              <w:rPr>
                <w:color w:val="000000"/>
                <w:sz w:val="24"/>
              </w:rPr>
              <w:t>117,356</w:t>
            </w:r>
          </w:p>
        </w:tc>
        <w:tc>
          <w:tcPr>
            <w:tcW w:w="1915" w:type="dxa"/>
            <w:vAlign w:val="center"/>
          </w:tcPr>
          <w:p w:rsidR="00213C5F" w:rsidRDefault="0043596B">
            <w:pPr>
              <w:jc w:val="right"/>
            </w:pPr>
            <w:r>
              <w:rPr>
                <w:color w:val="000000"/>
                <w:sz w:val="24"/>
              </w:rPr>
              <w:t>1,610,124.32</w:t>
            </w:r>
          </w:p>
        </w:tc>
        <w:tc>
          <w:tcPr>
            <w:tcW w:w="1680" w:type="dxa"/>
            <w:vAlign w:val="center"/>
          </w:tcPr>
          <w:p w:rsidR="00213C5F" w:rsidRDefault="0043596B">
            <w:pPr>
              <w:jc w:val="right"/>
            </w:pPr>
            <w:r>
              <w:rPr>
                <w:color w:val="000000"/>
                <w:sz w:val="24"/>
              </w:rPr>
              <w:t>2.40</w:t>
            </w:r>
          </w:p>
        </w:tc>
      </w:tr>
      <w:tr w:rsidR="00213C5F">
        <w:trPr>
          <w:jc w:val="center"/>
        </w:trPr>
        <w:tc>
          <w:tcPr>
            <w:tcW w:w="850" w:type="dxa"/>
            <w:vAlign w:val="center"/>
          </w:tcPr>
          <w:p w:rsidR="00213C5F" w:rsidRDefault="0043596B">
            <w:pPr>
              <w:jc w:val="center"/>
            </w:pPr>
            <w:r>
              <w:rPr>
                <w:color w:val="000000"/>
                <w:sz w:val="24"/>
              </w:rPr>
              <w:t>10</w:t>
            </w:r>
          </w:p>
        </w:tc>
        <w:tc>
          <w:tcPr>
            <w:tcW w:w="1327" w:type="dxa"/>
            <w:vAlign w:val="center"/>
          </w:tcPr>
          <w:p w:rsidR="00213C5F" w:rsidRDefault="0043596B">
            <w:pPr>
              <w:jc w:val="center"/>
            </w:pPr>
            <w:r>
              <w:rPr>
                <w:color w:val="000000"/>
                <w:sz w:val="24"/>
              </w:rPr>
              <w:t>002304</w:t>
            </w:r>
          </w:p>
        </w:tc>
        <w:tc>
          <w:tcPr>
            <w:tcW w:w="1769" w:type="dxa"/>
            <w:vAlign w:val="center"/>
          </w:tcPr>
          <w:p w:rsidR="00213C5F" w:rsidRDefault="0043596B">
            <w:pPr>
              <w:jc w:val="center"/>
            </w:pPr>
            <w:r>
              <w:rPr>
                <w:color w:val="000000"/>
                <w:sz w:val="24"/>
              </w:rPr>
              <w:t>洋河股份</w:t>
            </w:r>
          </w:p>
        </w:tc>
        <w:tc>
          <w:tcPr>
            <w:tcW w:w="1327" w:type="dxa"/>
            <w:vAlign w:val="center"/>
          </w:tcPr>
          <w:p w:rsidR="00213C5F" w:rsidRDefault="0043596B">
            <w:pPr>
              <w:jc w:val="right"/>
            </w:pPr>
            <w:r>
              <w:rPr>
                <w:color w:val="000000"/>
                <w:sz w:val="24"/>
              </w:rPr>
              <w:t>14,498</w:t>
            </w:r>
          </w:p>
        </w:tc>
        <w:tc>
          <w:tcPr>
            <w:tcW w:w="1915" w:type="dxa"/>
            <w:vAlign w:val="center"/>
          </w:tcPr>
          <w:p w:rsidR="00213C5F" w:rsidRDefault="0043596B">
            <w:pPr>
              <w:jc w:val="right"/>
            </w:pPr>
            <w:r>
              <w:rPr>
                <w:color w:val="000000"/>
                <w:sz w:val="24"/>
              </w:rPr>
              <w:t>1,524,319.72</w:t>
            </w:r>
          </w:p>
        </w:tc>
        <w:tc>
          <w:tcPr>
            <w:tcW w:w="1680" w:type="dxa"/>
            <w:vAlign w:val="center"/>
          </w:tcPr>
          <w:p w:rsidR="00213C5F" w:rsidRDefault="0043596B">
            <w:pPr>
              <w:jc w:val="right"/>
            </w:pPr>
            <w:r>
              <w:rPr>
                <w:color w:val="000000"/>
                <w:sz w:val="24"/>
              </w:rPr>
              <w:t>2.27</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Pr="0036023B" w:rsidRDefault="000625A6" w:rsidP="0099526C">
      <w:pPr>
        <w:spacing w:before="29" w:line="288" w:lineRule="auto"/>
        <w:rPr>
          <w:b/>
          <w:sz w:val="24"/>
        </w:rPr>
      </w:pPr>
      <w:r w:rsidRPr="0036023B">
        <w:rPr>
          <w:b/>
          <w:color w:val="000000"/>
          <w:kern w:val="0"/>
          <w:sz w:val="24"/>
        </w:rPr>
        <w:t>5.3.2</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66704D"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0625A6" w:rsidRPr="0036023B" w:rsidRDefault="000625A6" w:rsidP="0099526C">
      <w:pPr>
        <w:autoSpaceDE w:val="0"/>
        <w:autoSpaceDN w:val="0"/>
        <w:adjustRightInd w:val="0"/>
        <w:spacing w:before="29" w:line="288" w:lineRule="auto"/>
        <w:jc w:val="left"/>
        <w:rPr>
          <w:color w:val="000000"/>
          <w:sz w:val="24"/>
        </w:rPr>
      </w:pPr>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220542" w:rsidRPr="0036023B">
        <w:rPr>
          <w:b/>
          <w:color w:val="000000"/>
          <w:kern w:val="0"/>
          <w:sz w:val="24"/>
        </w:rPr>
        <w:t>投资组合报告附注</w:t>
      </w:r>
    </w:p>
    <w:p w:rsidR="008119CB" w:rsidRPr="00EC36C5" w:rsidRDefault="008119CB" w:rsidP="00806B3B">
      <w:pPr>
        <w:autoSpaceDE w:val="0"/>
        <w:autoSpaceDN w:val="0"/>
        <w:adjustRightInd w:val="0"/>
        <w:spacing w:before="29" w:line="288" w:lineRule="auto"/>
        <w:jc w:val="left"/>
        <w:rPr>
          <w:b/>
          <w:color w:val="000000"/>
          <w:kern w:val="0"/>
          <w:sz w:val="24"/>
        </w:rPr>
      </w:pPr>
      <w:r w:rsidRPr="00EC36C5">
        <w:rPr>
          <w:b/>
          <w:color w:val="000000"/>
          <w:kern w:val="0"/>
          <w:sz w:val="24"/>
        </w:rPr>
        <w:t>5.11.1</w:t>
      </w:r>
      <w:r w:rsidR="007C3B9D">
        <w:rPr>
          <w:b/>
          <w:color w:val="000000"/>
          <w:kern w:val="0"/>
          <w:sz w:val="24"/>
        </w:rPr>
        <w:t xml:space="preserve"> </w:t>
      </w:r>
      <w:r w:rsidRPr="007C3B9D">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EC36C5" w:rsidRDefault="008119CB" w:rsidP="00806B3B">
      <w:pPr>
        <w:autoSpaceDE w:val="0"/>
        <w:autoSpaceDN w:val="0"/>
        <w:adjustRightInd w:val="0"/>
        <w:spacing w:before="29" w:line="288" w:lineRule="auto"/>
        <w:jc w:val="left"/>
        <w:rPr>
          <w:b/>
          <w:color w:val="000000"/>
          <w:kern w:val="0"/>
          <w:sz w:val="24"/>
        </w:rPr>
      </w:pPr>
      <w:r w:rsidRPr="00EC36C5">
        <w:rPr>
          <w:b/>
          <w:color w:val="000000"/>
          <w:kern w:val="0"/>
          <w:sz w:val="24"/>
        </w:rPr>
        <w:t>5.11.2</w:t>
      </w:r>
      <w:r w:rsidR="00D57792">
        <w:rPr>
          <w:b/>
          <w:color w:val="000000"/>
          <w:kern w:val="0"/>
          <w:sz w:val="24"/>
        </w:rPr>
        <w:t xml:space="preserve"> </w:t>
      </w:r>
      <w:r w:rsidRPr="007C3B9D">
        <w:rPr>
          <w:color w:val="000000"/>
          <w:kern w:val="0"/>
          <w:sz w:val="24"/>
        </w:rPr>
        <w:t>本基金投资的前十名股票中，没有超出基金合同规定的备选股票库之外的股票。</w:t>
      </w:r>
    </w:p>
    <w:p w:rsidR="00220542" w:rsidRPr="00EC36C5" w:rsidRDefault="004C5189" w:rsidP="0099526C">
      <w:pPr>
        <w:autoSpaceDE w:val="0"/>
        <w:autoSpaceDN w:val="0"/>
        <w:adjustRightInd w:val="0"/>
        <w:spacing w:before="29" w:line="288" w:lineRule="auto"/>
        <w:jc w:val="left"/>
        <w:rPr>
          <w:b/>
          <w:color w:val="000000"/>
          <w:kern w:val="0"/>
          <w:sz w:val="24"/>
        </w:rPr>
      </w:pPr>
      <w:r w:rsidRPr="00EC36C5">
        <w:rPr>
          <w:b/>
          <w:color w:val="000000"/>
          <w:kern w:val="0"/>
          <w:sz w:val="24"/>
        </w:rPr>
        <w:t>5.11.3</w:t>
      </w:r>
      <w:r w:rsidR="00D57792">
        <w:rPr>
          <w:b/>
          <w:color w:val="000000"/>
          <w:kern w:val="0"/>
          <w:sz w:val="24"/>
        </w:rPr>
        <w:t xml:space="preserve"> </w:t>
      </w:r>
      <w:r w:rsidR="00220542" w:rsidRPr="00EC36C5">
        <w:rPr>
          <w:b/>
          <w:color w:val="000000"/>
          <w:kern w:val="0"/>
          <w:sz w:val="24"/>
        </w:rPr>
        <w:t>其他资产构成</w:t>
      </w:r>
    </w:p>
    <w:p w:rsidR="00144652" w:rsidRPr="0036023B" w:rsidRDefault="00144652" w:rsidP="00144652">
      <w:pPr>
        <w:autoSpaceDE w:val="0"/>
        <w:autoSpaceDN w:val="0"/>
        <w:adjustRightInd w:val="0"/>
        <w:spacing w:before="29" w:line="288" w:lineRule="auto"/>
        <w:jc w:val="right"/>
        <w:rPr>
          <w:color w:val="000000"/>
          <w:kern w:val="0"/>
          <w:sz w:val="24"/>
        </w:rPr>
      </w:pPr>
      <w:r w:rsidRPr="00144652">
        <w:rPr>
          <w:rFonts w:hint="eastAsia"/>
          <w:color w:val="000000"/>
          <w:kern w:val="0"/>
          <w:sz w:val="24"/>
        </w:rPr>
        <w:t>金额单位：人民币元</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13,114.41</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164.15</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13,278.56</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F379E1" w:rsidRDefault="004C5189" w:rsidP="0099526C">
      <w:pPr>
        <w:autoSpaceDE w:val="0"/>
        <w:autoSpaceDN w:val="0"/>
        <w:adjustRightInd w:val="0"/>
        <w:spacing w:before="29" w:line="288" w:lineRule="auto"/>
        <w:jc w:val="left"/>
        <w:rPr>
          <w:b/>
          <w:color w:val="000000"/>
          <w:kern w:val="0"/>
          <w:sz w:val="24"/>
        </w:rPr>
      </w:pPr>
      <w:r w:rsidRPr="00F379E1">
        <w:rPr>
          <w:b/>
          <w:color w:val="000000"/>
          <w:kern w:val="0"/>
          <w:sz w:val="24"/>
        </w:rPr>
        <w:t>5.11.4</w:t>
      </w:r>
      <w:r w:rsidR="00220542" w:rsidRPr="00F379E1">
        <w:rPr>
          <w:b/>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CF3CDE" w:rsidRPr="00F379E1" w:rsidRDefault="00CF3CDE" w:rsidP="0099526C">
      <w:pPr>
        <w:spacing w:before="29" w:line="288" w:lineRule="auto"/>
        <w:rPr>
          <w:b/>
          <w:color w:val="000000"/>
          <w:kern w:val="0"/>
          <w:sz w:val="24"/>
        </w:rPr>
      </w:pPr>
      <w:r w:rsidRPr="00F379E1">
        <w:rPr>
          <w:b/>
          <w:color w:val="000000"/>
          <w:kern w:val="0"/>
          <w:sz w:val="24"/>
        </w:rPr>
        <w:t>5.11.5</w:t>
      </w:r>
      <w:r w:rsidR="004917B4" w:rsidRPr="00F379E1">
        <w:rPr>
          <w:b/>
          <w:color w:val="000000"/>
          <w:kern w:val="0"/>
          <w:sz w:val="24"/>
        </w:rPr>
        <w:t>报告期末投资的股票存在流通受限情况的说明</w:t>
      </w:r>
    </w:p>
    <w:p w:rsidR="005D44E4" w:rsidRPr="00F379E1" w:rsidRDefault="00CF3CDE" w:rsidP="0099526C">
      <w:pPr>
        <w:spacing w:before="29" w:line="288" w:lineRule="auto"/>
        <w:rPr>
          <w:b/>
          <w:color w:val="000000"/>
          <w:kern w:val="0"/>
          <w:sz w:val="24"/>
        </w:rPr>
      </w:pPr>
      <w:r w:rsidRPr="00F379E1">
        <w:rPr>
          <w:b/>
          <w:color w:val="000000"/>
          <w:kern w:val="0"/>
          <w:sz w:val="24"/>
        </w:rPr>
        <w:t>5.11.</w:t>
      </w:r>
      <w:r w:rsidR="004C5189" w:rsidRPr="00F379E1">
        <w:rPr>
          <w:b/>
          <w:color w:val="000000"/>
          <w:kern w:val="0"/>
          <w:sz w:val="24"/>
        </w:rPr>
        <w:t>5</w:t>
      </w:r>
      <w:r w:rsidR="005D44E4" w:rsidRPr="00F379E1">
        <w:rPr>
          <w:b/>
          <w:color w:val="000000"/>
          <w:kern w:val="0"/>
          <w:sz w:val="24"/>
        </w:rPr>
        <w:t>.</w:t>
      </w:r>
      <w:r w:rsidR="004C5189" w:rsidRPr="00F379E1">
        <w:rPr>
          <w:b/>
          <w:color w:val="000000"/>
          <w:kern w:val="0"/>
          <w:sz w:val="24"/>
        </w:rPr>
        <w:t>1</w:t>
      </w:r>
      <w:r w:rsidR="00C51C36" w:rsidRPr="00F379E1">
        <w:rPr>
          <w:b/>
          <w:bCs/>
          <w:color w:val="000000"/>
          <w:sz w:val="24"/>
        </w:rPr>
        <w:t>报告</w:t>
      </w:r>
      <w:r w:rsidR="00874F4B" w:rsidRPr="00F379E1">
        <w:rPr>
          <w:b/>
          <w:sz w:val="24"/>
        </w:rPr>
        <w:t>期末指数投资前十名股票中存在流通受限情况的说明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本基金本报告期末指数投资前十名股票中不存在流通受限情况。</w:t>
      </w:r>
    </w:p>
    <w:p w:rsidR="00EC32B2" w:rsidRPr="0036023B" w:rsidRDefault="00EC32B2" w:rsidP="0099526C">
      <w:pPr>
        <w:autoSpaceDE w:val="0"/>
        <w:autoSpaceDN w:val="0"/>
        <w:adjustRightInd w:val="0"/>
        <w:spacing w:before="29" w:line="288" w:lineRule="auto"/>
        <w:jc w:val="left"/>
        <w:rPr>
          <w:color w:val="000000"/>
          <w:sz w:val="24"/>
        </w:rPr>
      </w:pPr>
    </w:p>
    <w:p w:rsidR="005D44E4" w:rsidRPr="00F379E1" w:rsidRDefault="00CF3CDE" w:rsidP="0099526C">
      <w:pPr>
        <w:spacing w:before="29" w:line="288" w:lineRule="auto"/>
        <w:rPr>
          <w:b/>
          <w:sz w:val="24"/>
        </w:rPr>
      </w:pPr>
      <w:r w:rsidRPr="00F379E1">
        <w:rPr>
          <w:b/>
          <w:color w:val="000000"/>
          <w:kern w:val="0"/>
          <w:sz w:val="24"/>
        </w:rPr>
        <w:t>5.11.</w:t>
      </w:r>
      <w:r w:rsidR="004C5189" w:rsidRPr="00F379E1">
        <w:rPr>
          <w:b/>
          <w:color w:val="000000"/>
          <w:kern w:val="0"/>
          <w:sz w:val="24"/>
        </w:rPr>
        <w:t>5.2</w:t>
      </w:r>
      <w:r w:rsidR="000F191F" w:rsidRPr="00F379E1">
        <w:rPr>
          <w:b/>
          <w:bCs/>
          <w:color w:val="000000"/>
          <w:sz w:val="24"/>
        </w:rPr>
        <w:t>报告</w:t>
      </w:r>
      <w:r w:rsidR="005D44E4" w:rsidRPr="00F379E1">
        <w:rPr>
          <w:b/>
          <w:sz w:val="24"/>
        </w:rPr>
        <w:t>期末积极投资前五名股票中存在流通受限情况的说明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D1A45" w:rsidRPr="0036023B" w:rsidRDefault="004D1A45" w:rsidP="0099526C">
      <w:pPr>
        <w:spacing w:before="29" w:line="288" w:lineRule="auto"/>
        <w:rPr>
          <w:bCs/>
          <w:color w:val="000000"/>
          <w:sz w:val="24"/>
        </w:rPr>
      </w:pPr>
    </w:p>
    <w:p w:rsidR="00220542" w:rsidRPr="00F379E1" w:rsidRDefault="004C5189" w:rsidP="0099526C">
      <w:pPr>
        <w:spacing w:before="29" w:line="288" w:lineRule="auto"/>
        <w:rPr>
          <w:b/>
          <w:color w:val="000000"/>
          <w:sz w:val="24"/>
        </w:rPr>
      </w:pPr>
      <w:r w:rsidRPr="00F379E1">
        <w:rPr>
          <w:b/>
          <w:color w:val="000000"/>
          <w:sz w:val="24"/>
        </w:rPr>
        <w:t>5.11</w:t>
      </w:r>
      <w:r w:rsidR="00220542" w:rsidRPr="00F379E1">
        <w:rPr>
          <w:b/>
          <w:color w:val="000000"/>
          <w:sz w:val="24"/>
        </w:rPr>
        <w:t>.</w:t>
      </w:r>
      <w:r w:rsidRPr="00F379E1">
        <w:rPr>
          <w:b/>
          <w:bCs/>
          <w:color w:val="000000"/>
          <w:sz w:val="24"/>
        </w:rPr>
        <w:t>6</w:t>
      </w:r>
      <w:r w:rsidR="00504285" w:rsidRPr="00F379E1">
        <w:rPr>
          <w:b/>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55680B" w:rsidP="00722EDF">
      <w:pPr>
        <w:pStyle w:val="1"/>
        <w:spacing w:beforeLines="100" w:before="312" w:afterLines="100" w:after="312" w:line="288" w:lineRule="auto"/>
        <w:jc w:val="center"/>
        <w:rPr>
          <w:color w:val="000000"/>
          <w:kern w:val="0"/>
          <w:sz w:val="24"/>
          <w:szCs w:val="24"/>
        </w:rPr>
      </w:pPr>
      <w:r w:rsidRPr="00C51B4E">
        <w:rPr>
          <w:rFonts w:eastAsiaTheme="minorEastAsia"/>
          <w:color w:val="000000" w:themeColor="text1"/>
          <w:kern w:val="0"/>
          <w:sz w:val="21"/>
          <w:szCs w:val="21"/>
        </w:rPr>
        <w:t>§6</w:t>
      </w:r>
      <w:r w:rsidR="00220542" w:rsidRPr="0036023B">
        <w:rPr>
          <w:color w:val="000000"/>
          <w:kern w:val="0"/>
          <w:sz w:val="24"/>
          <w:szCs w:val="24"/>
        </w:rPr>
        <w:t xml:space="preserve">  </w:t>
      </w:r>
      <w:r w:rsidR="00220542"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35,329,693</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2,000,000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33,329,693</w:t>
            </w:r>
          </w:p>
        </w:tc>
      </w:tr>
    </w:tbl>
    <w:p w:rsidR="00AA1D9A" w:rsidRDefault="00AA1D9A" w:rsidP="0099526C">
      <w:pPr>
        <w:autoSpaceDE w:val="0"/>
        <w:autoSpaceDN w:val="0"/>
        <w:adjustRightInd w:val="0"/>
        <w:spacing w:before="29" w:line="288" w:lineRule="auto"/>
        <w:jc w:val="left"/>
        <w:rPr>
          <w:color w:val="000000"/>
          <w:sz w:val="24"/>
        </w:rPr>
      </w:pPr>
    </w:p>
    <w:p w:rsidR="00FC2DA1" w:rsidRPr="00306E46" w:rsidRDefault="0055680B" w:rsidP="00722EDF">
      <w:pPr>
        <w:pStyle w:val="1"/>
        <w:tabs>
          <w:tab w:val="center" w:pos="4156"/>
          <w:tab w:val="right" w:pos="8312"/>
        </w:tabs>
        <w:spacing w:beforeLines="100" w:before="312" w:afterLines="100" w:after="312" w:line="288" w:lineRule="auto"/>
        <w:jc w:val="center"/>
        <w:rPr>
          <w:sz w:val="24"/>
          <w:szCs w:val="24"/>
        </w:rPr>
      </w:pPr>
      <w:r>
        <w:rPr>
          <w:rFonts w:eastAsiaTheme="minorEastAsia"/>
          <w:color w:val="000000"/>
          <w:kern w:val="0"/>
          <w:sz w:val="24"/>
          <w:szCs w:val="24"/>
        </w:rPr>
        <w:t>§</w:t>
      </w:r>
      <w:r w:rsidR="00FC2DA1" w:rsidRPr="00306E46">
        <w:rPr>
          <w:rFonts w:eastAsiaTheme="minorEastAsia"/>
          <w:color w:val="000000"/>
          <w:kern w:val="0"/>
          <w:sz w:val="24"/>
          <w:szCs w:val="24"/>
        </w:rPr>
        <w:t xml:space="preserve">7  </w:t>
      </w:r>
      <w:r w:rsidR="00FC2DA1"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本报告期内未发生基金管理人运用固有资金投资本基金的情况。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BF00F0" w:rsidRDefault="00BF00F0" w:rsidP="00722EDF">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BF00F0" w:rsidRDefault="00BF00F0" w:rsidP="00BF00F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BF00F0" w:rsidTr="00BF00F0">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BF00F0" w:rsidTr="00BF00F0">
        <w:tc>
          <w:tcPr>
            <w:tcW w:w="993" w:type="dxa"/>
            <w:vMerge/>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213C5F">
        <w:tc>
          <w:tcPr>
            <w:tcW w:w="992" w:type="dxa"/>
            <w:vMerge w:val="restart"/>
          </w:tcPr>
          <w:p w:rsidR="00213C5F" w:rsidRDefault="00213C5F"/>
          <w:p w:rsidR="00213C5F" w:rsidRDefault="0043596B">
            <w:r>
              <w:rPr>
                <w:rFonts w:ascii="宋体" w:hAnsi="宋体" w:hint="eastAsia"/>
                <w:kern w:val="0"/>
                <w:szCs w:val="21"/>
              </w:rPr>
              <w:t>交银施罗德深证300价值交易型开放式指数证券投资基金联接基金</w:t>
            </w:r>
          </w:p>
        </w:tc>
        <w:tc>
          <w:tcPr>
            <w:tcW w:w="991" w:type="dxa"/>
            <w:vAlign w:val="center"/>
          </w:tcPr>
          <w:p w:rsidR="00213C5F" w:rsidRDefault="0043596B">
            <w:pPr>
              <w:jc w:val="center"/>
            </w:pPr>
            <w:r>
              <w:rPr>
                <w:rFonts w:ascii="宋体" w:hAnsi="宋体" w:hint="eastAsia"/>
                <w:bCs/>
                <w:color w:val="000000"/>
                <w:kern w:val="0"/>
                <w:szCs w:val="21"/>
              </w:rPr>
              <w:t>1</w:t>
            </w:r>
          </w:p>
        </w:tc>
        <w:tc>
          <w:tcPr>
            <w:tcW w:w="1843" w:type="dxa"/>
            <w:vAlign w:val="center"/>
          </w:tcPr>
          <w:p w:rsidR="00213C5F" w:rsidRDefault="0043596B">
            <w:pPr>
              <w:jc w:val="center"/>
            </w:pPr>
            <w:r>
              <w:rPr>
                <w:rFonts w:ascii="宋体" w:hAnsi="宋体" w:hint="eastAsia"/>
                <w:bCs/>
                <w:color w:val="000000"/>
                <w:kern w:val="0"/>
                <w:szCs w:val="21"/>
              </w:rPr>
              <w:t>2020/4/1-2020/6/30</w:t>
            </w:r>
          </w:p>
        </w:tc>
        <w:tc>
          <w:tcPr>
            <w:tcW w:w="851" w:type="dxa"/>
            <w:vAlign w:val="center"/>
          </w:tcPr>
          <w:p w:rsidR="00213C5F" w:rsidRDefault="0043596B">
            <w:pPr>
              <w:jc w:val="center"/>
            </w:pPr>
            <w:r>
              <w:rPr>
                <w:rFonts w:ascii="宋体" w:hAnsi="宋体" w:hint="eastAsia"/>
                <w:bCs/>
                <w:color w:val="000000"/>
                <w:kern w:val="0"/>
                <w:szCs w:val="21"/>
              </w:rPr>
              <w:t>31,802,500.00</w:t>
            </w:r>
          </w:p>
        </w:tc>
        <w:tc>
          <w:tcPr>
            <w:tcW w:w="850" w:type="dxa"/>
            <w:vAlign w:val="center"/>
          </w:tcPr>
          <w:p w:rsidR="00213C5F" w:rsidRDefault="0043596B">
            <w:pPr>
              <w:jc w:val="center"/>
            </w:pPr>
            <w:r>
              <w:rPr>
                <w:rFonts w:ascii="宋体" w:hAnsi="宋体" w:hint="eastAsia"/>
                <w:bCs/>
                <w:color w:val="000000"/>
                <w:kern w:val="0"/>
                <w:szCs w:val="21"/>
              </w:rPr>
              <w:t>-</w:t>
            </w:r>
          </w:p>
        </w:tc>
        <w:tc>
          <w:tcPr>
            <w:tcW w:w="1134" w:type="dxa"/>
            <w:vAlign w:val="center"/>
          </w:tcPr>
          <w:p w:rsidR="00213C5F" w:rsidRDefault="0043596B">
            <w:pPr>
              <w:jc w:val="center"/>
            </w:pPr>
            <w:r>
              <w:rPr>
                <w:rFonts w:ascii="宋体" w:hAnsi="宋体" w:hint="eastAsia"/>
                <w:bCs/>
                <w:color w:val="000000"/>
                <w:kern w:val="0"/>
                <w:szCs w:val="21"/>
              </w:rPr>
              <w:t>1,000,000.00</w:t>
            </w:r>
          </w:p>
        </w:tc>
        <w:tc>
          <w:tcPr>
            <w:tcW w:w="1419" w:type="dxa"/>
            <w:vAlign w:val="center"/>
          </w:tcPr>
          <w:p w:rsidR="00213C5F" w:rsidRDefault="0043596B">
            <w:pPr>
              <w:jc w:val="center"/>
            </w:pPr>
            <w:r>
              <w:rPr>
                <w:rFonts w:ascii="宋体" w:hAnsi="宋体" w:hint="eastAsia"/>
                <w:bCs/>
                <w:color w:val="000000"/>
                <w:kern w:val="0"/>
                <w:szCs w:val="21"/>
              </w:rPr>
              <w:t>30,802,500.00</w:t>
            </w:r>
          </w:p>
        </w:tc>
        <w:tc>
          <w:tcPr>
            <w:tcW w:w="1130" w:type="dxa"/>
            <w:vAlign w:val="center"/>
          </w:tcPr>
          <w:p w:rsidR="00213C5F" w:rsidRDefault="0043596B">
            <w:pPr>
              <w:jc w:val="center"/>
            </w:pPr>
            <w:r>
              <w:rPr>
                <w:rFonts w:ascii="宋体" w:hAnsi="宋体" w:hint="eastAsia"/>
                <w:bCs/>
                <w:color w:val="000000"/>
                <w:kern w:val="0"/>
                <w:szCs w:val="21"/>
              </w:rPr>
              <w:t>92.42%</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left"/>
              <w:rPr>
                <w:rFonts w:ascii="宋体" w:hAnsi="宋体"/>
                <w:kern w:val="0"/>
                <w:szCs w:val="21"/>
              </w:rPr>
            </w:pPr>
            <w:r>
              <w:rPr>
                <w:rFonts w:ascii="宋体" w:hAnsi="宋体" w:hint="eastAsia"/>
                <w:kern w:val="0"/>
                <w:szCs w:val="21"/>
              </w:rPr>
              <w:t>本基金是交银施罗德深证300价值交易型开放式指数证券投资基金联接基金的目标ETF。交银施罗德深证300价值交易型开放式指数证券投资基金联接基金遵循指数化投资理念，以目标ETF为主要投资对象，正常情况下投资于目标ETF的资产比例不低于基金资产净值的90%。本基金本报告期内除上述联接基金外未出现单一投资者持有基金份额比例超过基金总份额20%的情况。</w:t>
            </w:r>
          </w:p>
        </w:tc>
      </w:tr>
    </w:tbl>
    <w:p w:rsidR="00BF00F0" w:rsidRDefault="00BF00F0" w:rsidP="00BF00F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8.2 影响投资者决策的其他重要信息</w:t>
      </w:r>
    </w:p>
    <w:p w:rsidR="00BF00F0" w:rsidRDefault="00BF00F0" w:rsidP="00BF00F0">
      <w:pPr>
        <w:spacing w:line="360" w:lineRule="auto"/>
        <w:ind w:firstLineChars="200" w:firstLine="420"/>
        <w:rPr>
          <w:rFonts w:ascii="宋体" w:hAnsi="宋体"/>
          <w:color w:val="000000"/>
          <w:szCs w:val="21"/>
        </w:rPr>
      </w:pPr>
      <w:r>
        <w:rPr>
          <w:rFonts w:ascii="宋体" w:hAnsi="宋体" w:hint="eastAsia"/>
          <w:color w:val="000000"/>
          <w:szCs w:val="21"/>
        </w:rPr>
        <w:t>根据深圳证券信息有限公司下发的《关于调整境内A股ETF指数使用收费的通知函》，本基金管理人经与基金托管人中国农业银行股份有限公司协商一致，并报中国证券监督管理委员会备案，自2020年二季度起调整本基金的标的指数许可使用费，并对本基金的基金合同、托管协议和招募说明书作相应修改。详情请查阅本基金管理人于2020年5月25日发布的《交银施罗德基金管理有限公司关于调整深证300价值交易型开放式指数证券投资基金标的指数许可使用费并修改法律文件的公告》。</w:t>
      </w:r>
    </w:p>
    <w:p w:rsidR="00BF5A17" w:rsidRPr="0036023B" w:rsidRDefault="00BF5A17" w:rsidP="0099526C">
      <w:pPr>
        <w:spacing w:before="29" w:line="288" w:lineRule="auto"/>
        <w:ind w:firstLineChars="200" w:firstLine="480"/>
        <w:rPr>
          <w:color w:val="000000"/>
          <w:sz w:val="24"/>
        </w:rPr>
      </w:pPr>
    </w:p>
    <w:p w:rsidR="00981CE6" w:rsidRPr="00405A85"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9</w:t>
      </w:r>
      <w:r w:rsidR="00871325">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1</w:t>
      </w:r>
      <w:r w:rsidR="00220542" w:rsidRPr="0036023B">
        <w:rPr>
          <w:b/>
          <w:color w:val="000000"/>
          <w:sz w:val="24"/>
        </w:rPr>
        <w:t>备查文件目录</w:t>
      </w:r>
    </w:p>
    <w:p w:rsidR="00213C5F" w:rsidRDefault="0043596B">
      <w:pPr>
        <w:spacing w:before="29" w:line="288" w:lineRule="auto"/>
        <w:ind w:firstLineChars="200" w:firstLine="480"/>
        <w:rPr>
          <w:color w:val="000000"/>
          <w:sz w:val="24"/>
        </w:rPr>
      </w:pPr>
      <w:r>
        <w:rPr>
          <w:color w:val="000000"/>
          <w:sz w:val="24"/>
        </w:rPr>
        <w:t>1</w:t>
      </w:r>
      <w:r>
        <w:rPr>
          <w:color w:val="000000"/>
          <w:sz w:val="24"/>
        </w:rPr>
        <w:t>、中国证监会核准深证</w:t>
      </w:r>
      <w:r>
        <w:rPr>
          <w:color w:val="000000"/>
          <w:sz w:val="24"/>
        </w:rPr>
        <w:t>300</w:t>
      </w:r>
      <w:r>
        <w:rPr>
          <w:color w:val="000000"/>
          <w:sz w:val="24"/>
        </w:rPr>
        <w:t>价值交易型开放式指数证券投资基金募集的文件；</w:t>
      </w:r>
    </w:p>
    <w:p w:rsidR="00213C5F" w:rsidRDefault="0043596B">
      <w:pPr>
        <w:spacing w:before="29" w:line="288" w:lineRule="auto"/>
        <w:ind w:firstLineChars="200" w:firstLine="480"/>
        <w:rPr>
          <w:color w:val="000000"/>
          <w:sz w:val="24"/>
        </w:rPr>
      </w:pPr>
      <w:r>
        <w:rPr>
          <w:color w:val="000000"/>
          <w:sz w:val="24"/>
        </w:rPr>
        <w:t>2</w:t>
      </w:r>
      <w:r>
        <w:rPr>
          <w:color w:val="000000"/>
          <w:sz w:val="24"/>
        </w:rPr>
        <w:t>、《深证</w:t>
      </w:r>
      <w:r>
        <w:rPr>
          <w:color w:val="000000"/>
          <w:sz w:val="24"/>
        </w:rPr>
        <w:t>300</w:t>
      </w:r>
      <w:r>
        <w:rPr>
          <w:color w:val="000000"/>
          <w:sz w:val="24"/>
        </w:rPr>
        <w:t>价值交易型开放式指数证券投资基金基金合同》；</w:t>
      </w:r>
      <w:r>
        <w:rPr>
          <w:color w:val="000000"/>
          <w:sz w:val="24"/>
        </w:rPr>
        <w:t xml:space="preserve"> </w:t>
      </w:r>
    </w:p>
    <w:p w:rsidR="00213C5F" w:rsidRDefault="0043596B">
      <w:pPr>
        <w:spacing w:before="29" w:line="288" w:lineRule="auto"/>
        <w:ind w:firstLineChars="200" w:firstLine="480"/>
        <w:rPr>
          <w:color w:val="000000"/>
          <w:sz w:val="24"/>
        </w:rPr>
      </w:pPr>
      <w:r>
        <w:rPr>
          <w:color w:val="000000"/>
          <w:sz w:val="24"/>
        </w:rPr>
        <w:t>3</w:t>
      </w:r>
      <w:r>
        <w:rPr>
          <w:color w:val="000000"/>
          <w:sz w:val="24"/>
        </w:rPr>
        <w:t>、《深证</w:t>
      </w:r>
      <w:r>
        <w:rPr>
          <w:color w:val="000000"/>
          <w:sz w:val="24"/>
        </w:rPr>
        <w:t>300</w:t>
      </w:r>
      <w:r>
        <w:rPr>
          <w:color w:val="000000"/>
          <w:sz w:val="24"/>
        </w:rPr>
        <w:t>价值交易型开放式指数证券投资基金招募说明书》；</w:t>
      </w:r>
    </w:p>
    <w:p w:rsidR="00213C5F" w:rsidRDefault="0043596B">
      <w:pPr>
        <w:spacing w:before="29" w:line="288" w:lineRule="auto"/>
        <w:ind w:firstLineChars="200" w:firstLine="480"/>
        <w:rPr>
          <w:color w:val="000000"/>
          <w:sz w:val="24"/>
        </w:rPr>
      </w:pPr>
      <w:r>
        <w:rPr>
          <w:color w:val="000000"/>
          <w:sz w:val="24"/>
        </w:rPr>
        <w:t>4</w:t>
      </w:r>
      <w:r>
        <w:rPr>
          <w:color w:val="000000"/>
          <w:sz w:val="24"/>
        </w:rPr>
        <w:t>、《深证</w:t>
      </w:r>
      <w:r>
        <w:rPr>
          <w:color w:val="000000"/>
          <w:sz w:val="24"/>
        </w:rPr>
        <w:t>300</w:t>
      </w:r>
      <w:r>
        <w:rPr>
          <w:color w:val="000000"/>
          <w:sz w:val="24"/>
        </w:rPr>
        <w:t>价值交易型开放式指数证券投资基金托管协议》；</w:t>
      </w:r>
    </w:p>
    <w:p w:rsidR="00213C5F" w:rsidRDefault="0043596B">
      <w:pPr>
        <w:spacing w:before="29" w:line="288" w:lineRule="auto"/>
        <w:ind w:firstLineChars="200" w:firstLine="480"/>
        <w:rPr>
          <w:color w:val="000000"/>
          <w:sz w:val="24"/>
        </w:rPr>
      </w:pPr>
      <w:r>
        <w:rPr>
          <w:color w:val="000000"/>
          <w:sz w:val="24"/>
        </w:rPr>
        <w:t>5</w:t>
      </w:r>
      <w:r>
        <w:rPr>
          <w:color w:val="000000"/>
          <w:sz w:val="24"/>
        </w:rPr>
        <w:t>、关于申请募集深证</w:t>
      </w:r>
      <w:r>
        <w:rPr>
          <w:color w:val="000000"/>
          <w:sz w:val="24"/>
        </w:rPr>
        <w:t>300</w:t>
      </w:r>
      <w:r>
        <w:rPr>
          <w:color w:val="000000"/>
          <w:sz w:val="24"/>
        </w:rPr>
        <w:t>价值交易型开放式指数证券投资基金之法律意见书；</w:t>
      </w:r>
    </w:p>
    <w:p w:rsidR="00213C5F" w:rsidRDefault="0043596B">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213C5F" w:rsidRDefault="0043596B">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、报告期内深证</w:t>
      </w:r>
      <w:r w:rsidRPr="0036023B">
        <w:rPr>
          <w:color w:val="000000"/>
          <w:sz w:val="24"/>
        </w:rPr>
        <w:t>300</w:t>
      </w:r>
      <w:r w:rsidRPr="0036023B">
        <w:rPr>
          <w:color w:val="000000"/>
          <w:sz w:val="24"/>
        </w:rPr>
        <w:t>价值交易型开放式指数证券投资基金在指定报刊上各项公告的原稿。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2</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3</w:t>
      </w:r>
      <w:r w:rsidR="00220542" w:rsidRPr="0036023B">
        <w:rPr>
          <w:b/>
          <w:color w:val="000000"/>
          <w:sz w:val="24"/>
        </w:rPr>
        <w:t>查阅方式</w:t>
      </w:r>
    </w:p>
    <w:p w:rsidR="00213C5F" w:rsidRDefault="0043596B">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96B" w:rsidRDefault="0043596B">
      <w:r>
        <w:separator/>
      </w:r>
    </w:p>
  </w:endnote>
  <w:endnote w:type="continuationSeparator" w:id="0">
    <w:p w:rsidR="0043596B" w:rsidRDefault="0043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F9387F">
      <w:rPr>
        <w:kern w:val="0"/>
        <w:szCs w:val="21"/>
      </w:rPr>
      <w:fldChar w:fldCharType="begin"/>
    </w:r>
    <w:r>
      <w:rPr>
        <w:kern w:val="0"/>
        <w:szCs w:val="21"/>
      </w:rPr>
      <w:instrText xml:space="preserve"> PAGE </w:instrText>
    </w:r>
    <w:r w:rsidR="00F9387F">
      <w:rPr>
        <w:kern w:val="0"/>
        <w:szCs w:val="21"/>
      </w:rPr>
      <w:fldChar w:fldCharType="separate"/>
    </w:r>
    <w:r w:rsidR="00722250">
      <w:rPr>
        <w:noProof/>
        <w:kern w:val="0"/>
        <w:szCs w:val="21"/>
      </w:rPr>
      <w:t>5</w:t>
    </w:r>
    <w:r w:rsidR="00F9387F">
      <w:rPr>
        <w:kern w:val="0"/>
        <w:szCs w:val="21"/>
      </w:rPr>
      <w:fldChar w:fldCharType="end"/>
    </w:r>
    <w:r>
      <w:rPr>
        <w:rFonts w:hint="eastAsia"/>
        <w:kern w:val="0"/>
        <w:szCs w:val="21"/>
      </w:rPr>
      <w:t>页共</w:t>
    </w:r>
    <w:r w:rsidR="00F9387F">
      <w:rPr>
        <w:kern w:val="0"/>
        <w:szCs w:val="21"/>
      </w:rPr>
      <w:fldChar w:fldCharType="begin"/>
    </w:r>
    <w:r>
      <w:rPr>
        <w:kern w:val="0"/>
        <w:szCs w:val="21"/>
      </w:rPr>
      <w:instrText xml:space="preserve"> NUMPAGES </w:instrText>
    </w:r>
    <w:r w:rsidR="00F9387F">
      <w:rPr>
        <w:kern w:val="0"/>
        <w:szCs w:val="21"/>
      </w:rPr>
      <w:fldChar w:fldCharType="separate"/>
    </w:r>
    <w:r w:rsidR="00722250">
      <w:rPr>
        <w:noProof/>
        <w:kern w:val="0"/>
        <w:szCs w:val="21"/>
      </w:rPr>
      <w:t>13</w:t>
    </w:r>
    <w:r w:rsidR="00F9387F">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F9387F">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96B" w:rsidRDefault="0043596B">
      <w:r>
        <w:separator/>
      </w:r>
    </w:p>
  </w:footnote>
  <w:footnote w:type="continuationSeparator" w:id="0">
    <w:p w:rsidR="0043596B" w:rsidRDefault="00435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6C6FBF" w:rsidRDefault="006C6FBF" w:rsidP="006C6FBF">
    <w:pPr>
      <w:pStyle w:val="a9"/>
      <w:pBdr>
        <w:bottom w:val="single" w:sz="6" w:space="0" w:color="auto"/>
      </w:pBdr>
      <w:ind w:firstLine="480"/>
      <w:jc w:val="right"/>
      <w:rPr>
        <w:sz w:val="24"/>
        <w:szCs w:val="24"/>
      </w:rPr>
    </w:pPr>
    <w:r w:rsidRPr="003E676C">
      <w:rPr>
        <w:sz w:val="24"/>
        <w:szCs w:val="24"/>
      </w:rPr>
      <w:t>深证</w:t>
    </w:r>
    <w:r w:rsidRPr="003E676C">
      <w:rPr>
        <w:sz w:val="24"/>
        <w:szCs w:val="24"/>
      </w:rPr>
      <w:t>300</w:t>
    </w:r>
    <w:r w:rsidRPr="003E676C">
      <w:rPr>
        <w:sz w:val="24"/>
        <w:szCs w:val="24"/>
      </w:rPr>
      <w:t>价值交易型开放式指数证券投资基金</w:t>
    </w:r>
    <w:r w:rsidRPr="003E676C">
      <w:rPr>
        <w:sz w:val="24"/>
        <w:szCs w:val="24"/>
      </w:rPr>
      <w:t>2020</w:t>
    </w:r>
    <w:r w:rsidRPr="003E676C">
      <w:rPr>
        <w:sz w:val="24"/>
        <w:szCs w:val="24"/>
      </w:rPr>
      <w:t>年第</w:t>
    </w:r>
    <w:r w:rsidRPr="003E676C">
      <w:rPr>
        <w:sz w:val="24"/>
        <w:szCs w:val="24"/>
      </w:rPr>
      <w:t>2</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59D"/>
    <w:rsid w:val="0007171B"/>
    <w:rsid w:val="00072E4F"/>
    <w:rsid w:val="00074E9F"/>
    <w:rsid w:val="00076B5E"/>
    <w:rsid w:val="00081D05"/>
    <w:rsid w:val="00082088"/>
    <w:rsid w:val="000820A8"/>
    <w:rsid w:val="000821B1"/>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8C"/>
    <w:rsid w:val="000B0CB4"/>
    <w:rsid w:val="000B3E43"/>
    <w:rsid w:val="000B5072"/>
    <w:rsid w:val="000B5CC0"/>
    <w:rsid w:val="000B77D2"/>
    <w:rsid w:val="000C1723"/>
    <w:rsid w:val="000C1B20"/>
    <w:rsid w:val="000C4107"/>
    <w:rsid w:val="000C45E7"/>
    <w:rsid w:val="000D01F4"/>
    <w:rsid w:val="000D0572"/>
    <w:rsid w:val="000D1519"/>
    <w:rsid w:val="000D1C87"/>
    <w:rsid w:val="000D475F"/>
    <w:rsid w:val="000D606F"/>
    <w:rsid w:val="000D76C9"/>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652"/>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6B2"/>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3C5F"/>
    <w:rsid w:val="00214463"/>
    <w:rsid w:val="00214756"/>
    <w:rsid w:val="00215CF2"/>
    <w:rsid w:val="00217171"/>
    <w:rsid w:val="00217DC2"/>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405"/>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4D11"/>
    <w:rsid w:val="00305084"/>
    <w:rsid w:val="00306E46"/>
    <w:rsid w:val="00310086"/>
    <w:rsid w:val="00311FC0"/>
    <w:rsid w:val="00312A19"/>
    <w:rsid w:val="00312FE8"/>
    <w:rsid w:val="0031358C"/>
    <w:rsid w:val="00313AE2"/>
    <w:rsid w:val="00313E2A"/>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465"/>
    <w:rsid w:val="003B57D3"/>
    <w:rsid w:val="003C11EC"/>
    <w:rsid w:val="003C1F58"/>
    <w:rsid w:val="003C5482"/>
    <w:rsid w:val="003C606C"/>
    <w:rsid w:val="003C6C58"/>
    <w:rsid w:val="003C792F"/>
    <w:rsid w:val="003D124B"/>
    <w:rsid w:val="003D18F3"/>
    <w:rsid w:val="003D78B5"/>
    <w:rsid w:val="003E0E56"/>
    <w:rsid w:val="003E244F"/>
    <w:rsid w:val="003E4B22"/>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0CF9"/>
    <w:rsid w:val="004113B4"/>
    <w:rsid w:val="004143D6"/>
    <w:rsid w:val="00414827"/>
    <w:rsid w:val="00414ECB"/>
    <w:rsid w:val="00416C10"/>
    <w:rsid w:val="00420355"/>
    <w:rsid w:val="00424EF3"/>
    <w:rsid w:val="004268BB"/>
    <w:rsid w:val="00431047"/>
    <w:rsid w:val="004318F0"/>
    <w:rsid w:val="00431B86"/>
    <w:rsid w:val="00435368"/>
    <w:rsid w:val="0043596B"/>
    <w:rsid w:val="004408EC"/>
    <w:rsid w:val="004419E2"/>
    <w:rsid w:val="00441E6A"/>
    <w:rsid w:val="0044398D"/>
    <w:rsid w:val="00443C8F"/>
    <w:rsid w:val="00452481"/>
    <w:rsid w:val="004525C2"/>
    <w:rsid w:val="004532FE"/>
    <w:rsid w:val="00453DFA"/>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253"/>
    <w:rsid w:val="004D3D96"/>
    <w:rsid w:val="004D4E22"/>
    <w:rsid w:val="004D650F"/>
    <w:rsid w:val="004E2133"/>
    <w:rsid w:val="004E5AB9"/>
    <w:rsid w:val="004E60FB"/>
    <w:rsid w:val="004E7821"/>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5680B"/>
    <w:rsid w:val="00560C94"/>
    <w:rsid w:val="0056291C"/>
    <w:rsid w:val="00565A63"/>
    <w:rsid w:val="00565DD9"/>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0FBE"/>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26EE"/>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BF"/>
    <w:rsid w:val="006C6FC6"/>
    <w:rsid w:val="006D2F4A"/>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250"/>
    <w:rsid w:val="0072280F"/>
    <w:rsid w:val="00722B5E"/>
    <w:rsid w:val="00722EDF"/>
    <w:rsid w:val="00723845"/>
    <w:rsid w:val="0072708F"/>
    <w:rsid w:val="0073174A"/>
    <w:rsid w:val="00732048"/>
    <w:rsid w:val="00732D1D"/>
    <w:rsid w:val="00736034"/>
    <w:rsid w:val="0073681C"/>
    <w:rsid w:val="00740469"/>
    <w:rsid w:val="00741EBE"/>
    <w:rsid w:val="00742ADC"/>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3B9D"/>
    <w:rsid w:val="007C45FA"/>
    <w:rsid w:val="007C751E"/>
    <w:rsid w:val="007D021A"/>
    <w:rsid w:val="007D0E53"/>
    <w:rsid w:val="007D28C9"/>
    <w:rsid w:val="007D3CC8"/>
    <w:rsid w:val="007D62F9"/>
    <w:rsid w:val="007D63A4"/>
    <w:rsid w:val="007E1AA2"/>
    <w:rsid w:val="007E4C1F"/>
    <w:rsid w:val="007E4C29"/>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3069"/>
    <w:rsid w:val="00844112"/>
    <w:rsid w:val="008456C9"/>
    <w:rsid w:val="0084611D"/>
    <w:rsid w:val="00846E4A"/>
    <w:rsid w:val="00847BEF"/>
    <w:rsid w:val="00850C62"/>
    <w:rsid w:val="00853DB0"/>
    <w:rsid w:val="00862022"/>
    <w:rsid w:val="00862ECC"/>
    <w:rsid w:val="00863011"/>
    <w:rsid w:val="00865075"/>
    <w:rsid w:val="0086748F"/>
    <w:rsid w:val="008704AB"/>
    <w:rsid w:val="00871325"/>
    <w:rsid w:val="00872CE4"/>
    <w:rsid w:val="00872EDC"/>
    <w:rsid w:val="00873E36"/>
    <w:rsid w:val="00874F4B"/>
    <w:rsid w:val="0087539B"/>
    <w:rsid w:val="00877B62"/>
    <w:rsid w:val="00880199"/>
    <w:rsid w:val="00881015"/>
    <w:rsid w:val="008810B0"/>
    <w:rsid w:val="008813D6"/>
    <w:rsid w:val="008819B6"/>
    <w:rsid w:val="00881AAC"/>
    <w:rsid w:val="008836B7"/>
    <w:rsid w:val="00883D97"/>
    <w:rsid w:val="008841D3"/>
    <w:rsid w:val="0088709F"/>
    <w:rsid w:val="00887DE6"/>
    <w:rsid w:val="00894C2A"/>
    <w:rsid w:val="00897708"/>
    <w:rsid w:val="008978D6"/>
    <w:rsid w:val="00897D88"/>
    <w:rsid w:val="008A12CB"/>
    <w:rsid w:val="008A1B92"/>
    <w:rsid w:val="008A2F16"/>
    <w:rsid w:val="008A2F59"/>
    <w:rsid w:val="008B1823"/>
    <w:rsid w:val="008B1B29"/>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16F02"/>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A7168"/>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4879"/>
    <w:rsid w:val="00A05ACE"/>
    <w:rsid w:val="00A078CB"/>
    <w:rsid w:val="00A14AE3"/>
    <w:rsid w:val="00A16675"/>
    <w:rsid w:val="00A2034F"/>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6DFA"/>
    <w:rsid w:val="00A77C69"/>
    <w:rsid w:val="00A829DE"/>
    <w:rsid w:val="00A83953"/>
    <w:rsid w:val="00A846A9"/>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2C17"/>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BB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0F0"/>
    <w:rsid w:val="00BF0F8F"/>
    <w:rsid w:val="00BF13D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1C8D"/>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07F09"/>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57792"/>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6E9A"/>
    <w:rsid w:val="00DB769A"/>
    <w:rsid w:val="00DB7B69"/>
    <w:rsid w:val="00DC01A8"/>
    <w:rsid w:val="00DC02EC"/>
    <w:rsid w:val="00DC0B9E"/>
    <w:rsid w:val="00DC234A"/>
    <w:rsid w:val="00DC41E4"/>
    <w:rsid w:val="00DC5116"/>
    <w:rsid w:val="00DC77DD"/>
    <w:rsid w:val="00DC7C77"/>
    <w:rsid w:val="00DD2417"/>
    <w:rsid w:val="00DD34F1"/>
    <w:rsid w:val="00DD4C12"/>
    <w:rsid w:val="00DD7EA2"/>
    <w:rsid w:val="00DE00F2"/>
    <w:rsid w:val="00DE117F"/>
    <w:rsid w:val="00DE2AB9"/>
    <w:rsid w:val="00DE401C"/>
    <w:rsid w:val="00DF1ED6"/>
    <w:rsid w:val="00DF2629"/>
    <w:rsid w:val="00DF5357"/>
    <w:rsid w:val="00DF5794"/>
    <w:rsid w:val="00DF63FA"/>
    <w:rsid w:val="00DF7927"/>
    <w:rsid w:val="00E00A1C"/>
    <w:rsid w:val="00E012CC"/>
    <w:rsid w:val="00E02B71"/>
    <w:rsid w:val="00E02DEB"/>
    <w:rsid w:val="00E042A1"/>
    <w:rsid w:val="00E04CE6"/>
    <w:rsid w:val="00E0528A"/>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40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12F2"/>
    <w:rsid w:val="00E82AB3"/>
    <w:rsid w:val="00E82DAC"/>
    <w:rsid w:val="00E8342F"/>
    <w:rsid w:val="00E839DB"/>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36C5"/>
    <w:rsid w:val="00EC42D0"/>
    <w:rsid w:val="00EC5CE0"/>
    <w:rsid w:val="00EC638F"/>
    <w:rsid w:val="00ED48AC"/>
    <w:rsid w:val="00EE224C"/>
    <w:rsid w:val="00EE4874"/>
    <w:rsid w:val="00EE4A8C"/>
    <w:rsid w:val="00EE674E"/>
    <w:rsid w:val="00EE79A6"/>
    <w:rsid w:val="00EF2689"/>
    <w:rsid w:val="00EF6111"/>
    <w:rsid w:val="00F005A0"/>
    <w:rsid w:val="00F0255A"/>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379E1"/>
    <w:rsid w:val="00F402AF"/>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87F"/>
    <w:rsid w:val="00F93D49"/>
    <w:rsid w:val="00F953AA"/>
    <w:rsid w:val="00F954D9"/>
    <w:rsid w:val="00F97B71"/>
    <w:rsid w:val="00FA12AB"/>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19D"/>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F34EC24E-838A-491A-A28A-E663BF7C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uiPriority w:val="99"/>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05023465">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13</Pages>
  <Words>1159</Words>
  <Characters>6612</Characters>
  <Application>Microsoft Office Word</Application>
  <DocSecurity>0</DocSecurity>
  <Lines>55</Lines>
  <Paragraphs>15</Paragraphs>
  <ScaleCrop>false</ScaleCrop>
  <Company>TRT. Ltd. Co.</Company>
  <LinksUpToDate>false</LinksUpToDate>
  <CharactersWithSpaces>7756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416</cp:revision>
  <cp:lastPrinted>2007-07-19T00:46:00Z</cp:lastPrinted>
  <dcterms:created xsi:type="dcterms:W3CDTF">2012-11-21T04:46:00Z</dcterms:created>
  <dcterms:modified xsi:type="dcterms:W3CDTF">2020-07-17T05:52:00Z</dcterms:modified>
</cp:coreProperties>
</file>