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交银施罗德境尚收益债券型证券投资基金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交银境尚收益债券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2017年3月3日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3,949,355,920.96</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在严格控制风险的前提下,力求获得高于业绩基准的投资收益。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pPr>
              <w:adjustRightInd w:val="0"/>
              <w:spacing w:before="29" w:line="288" w:lineRule="auto"/>
              <w:ind w:left="17"/>
              <w:jc w:val="left"/>
              <w:rPr>
                <w:color w:val="000000"/>
                <w:sz w:val="24"/>
              </w:rPr>
            </w:pPr>
            <w:r>
              <w:rPr>
                <w:color w:val="000000"/>
                <w:kern w:val="0"/>
                <w:sz w:val="24"/>
              </w:rPr>
              <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封闭期内业绩比较基准：两年期银行定期存款税后收益率+1.25%。</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开放期内业绩比较基准：中债综合全价指数收益率。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交银境尚收益债券A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交银境尚收益债券C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519784</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3,949,039,222.73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316,698.23</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注：本基金自2019年3月5日起转为开放式运作。 </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交银境尚收益债券A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交银境尚收益债券C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33,806,980.49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29,740.08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-5,899,630.12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-3,632.88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-0.0011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4,101,195,264.63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328,436.07</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1.0385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1.0371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交银境尚收益债券A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-0.10%</w:t>
            </w:r>
          </w:p>
        </w:tc>
        <w:tc>
          <w:tcPr>
            <w:vAlign w:val="center"/>
          </w:tcPr>
          <w:p>
            <w:pPr>
              <w:jc w:val="center"/>
            </w:pPr>
            <w:r>
              <w:rPr>
                <w:color w:val="000000"/>
                <w:sz w:val="24"/>
              </w:rPr>
              <w:t>0.07%</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0.94%</w:t>
            </w:r>
          </w:p>
        </w:tc>
        <w:tc>
          <w:tcPr>
            <w:vAlign w:val="center"/>
          </w:tcPr>
          <w:p>
            <w:pPr>
              <w:jc w:val="center"/>
            </w:pPr>
            <w:r>
              <w:rPr>
                <w:color w:val="000000"/>
                <w:sz w:val="24"/>
              </w:rPr>
              <w:t>-0.05%</w:t>
            </w:r>
          </w:p>
        </w:tc>
      </w:tr>
      <w:tr>
        <w:tc>
          <w:tcPr>
            <w:vAlign w:val="center"/>
          </w:tcPr>
          <w:p>
            <w:pPr>
              <w:jc w:val="left"/>
            </w:pPr>
            <w:r>
              <w:rPr>
                <w:color w:val="000000"/>
                <w:sz w:val="24"/>
              </w:rPr>
              <w:t>过去六个月</w:t>
            </w:r>
          </w:p>
        </w:tc>
        <w:tc>
          <w:tcPr>
            <w:vAlign w:val="center"/>
          </w:tcPr>
          <w:p>
            <w:pPr>
              <w:jc w:val="center"/>
            </w:pPr>
            <w:r>
              <w:rPr>
                <w:color w:val="000000"/>
                <w:sz w:val="24"/>
              </w:rPr>
              <w:t>2.48%</w:t>
            </w:r>
          </w:p>
        </w:tc>
        <w:tc>
          <w:tcPr>
            <w:vAlign w:val="center"/>
          </w:tcPr>
          <w:p>
            <w:pPr>
              <w:jc w:val="center"/>
            </w:pPr>
            <w:r>
              <w:rPr>
                <w:color w:val="000000"/>
                <w:sz w:val="24"/>
              </w:rPr>
              <w:t>0.12%</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1.69%</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4.65%</w:t>
            </w:r>
          </w:p>
        </w:tc>
        <w:tc>
          <w:tcPr>
            <w:vAlign w:val="center"/>
          </w:tcPr>
          <w:p>
            <w:pPr>
              <w:jc w:val="center"/>
            </w:pPr>
            <w:r>
              <w:rPr>
                <w:color w:val="000000"/>
                <w:sz w:val="24"/>
              </w:rPr>
              <w:t>0.10%</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2.78%</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14.45%</w:t>
            </w:r>
          </w:p>
        </w:tc>
        <w:tc>
          <w:tcPr>
            <w:vAlign w:val="center"/>
          </w:tcPr>
          <w:p>
            <w:pPr>
              <w:jc w:val="center"/>
            </w:pPr>
            <w:r>
              <w:rPr>
                <w:color w:val="000000"/>
                <w:sz w:val="24"/>
              </w:rPr>
              <w:t>0.07%</w:t>
            </w:r>
          </w:p>
        </w:tc>
        <w:tc>
          <w:tcPr>
            <w:vAlign w:val="center"/>
          </w:tcPr>
          <w:p>
            <w:pPr>
              <w:jc w:val="center"/>
            </w:pPr>
            <w:r>
              <w:rPr>
                <w:color w:val="000000"/>
                <w:sz w:val="24"/>
              </w:rPr>
              <w:t>7.48%</w:t>
            </w:r>
          </w:p>
        </w:tc>
        <w:tc>
          <w:tcPr>
            <w:vAlign w:val="center"/>
          </w:tcPr>
          <w:p>
            <w:pPr>
              <w:jc w:val="center"/>
            </w:pPr>
            <w:r>
              <w:rPr>
                <w:color w:val="000000"/>
                <w:sz w:val="24"/>
              </w:rPr>
              <w:t>0.05%</w:t>
            </w:r>
          </w:p>
        </w:tc>
        <w:tc>
          <w:tcPr>
            <w:vAlign w:val="center"/>
          </w:tcPr>
          <w:p>
            <w:pPr>
              <w:jc w:val="center"/>
            </w:pPr>
            <w:r>
              <w:rPr>
                <w:color w:val="000000"/>
                <w:sz w:val="24"/>
              </w:rPr>
              <w:t>6.97%</w:t>
            </w:r>
          </w:p>
        </w:tc>
        <w:tc>
          <w:tcPr>
            <w:vAlign w:val="center"/>
          </w:tcPr>
          <w:p>
            <w:pPr>
              <w:jc w:val="center"/>
            </w:pPr>
            <w:r>
              <w:rPr>
                <w:color w:val="000000"/>
                <w:sz w:val="24"/>
              </w:rPr>
              <w:t>0.02%</w:t>
            </w:r>
          </w:p>
        </w:tc>
      </w:tr>
      <w:tr>
        <w:tc>
          <w:tcPr>
            <w:vAlign w:val="center"/>
          </w:tcPr>
          <w:p>
            <w:pPr>
              <w:jc w:val="left"/>
            </w:pPr>
            <w:r>
              <w:rPr>
                <w:color w:val="000000"/>
                <w:sz w:val="24"/>
              </w:rPr>
              <w:t>自基金合同生效起至今</w:t>
            </w:r>
          </w:p>
        </w:tc>
        <w:tc>
          <w:tcPr>
            <w:vAlign w:val="center"/>
          </w:tcPr>
          <w:p>
            <w:pPr>
              <w:jc w:val="center"/>
            </w:pPr>
            <w:r>
              <w:rPr>
                <w:color w:val="000000"/>
                <w:sz w:val="24"/>
              </w:rPr>
              <w:t>15.50%</w:t>
            </w:r>
          </w:p>
        </w:tc>
        <w:tc>
          <w:tcPr>
            <w:vAlign w:val="center"/>
          </w:tcPr>
          <w:p>
            <w:pPr>
              <w:jc w:val="center"/>
            </w:pPr>
            <w:r>
              <w:rPr>
                <w:color w:val="000000"/>
                <w:sz w:val="24"/>
              </w:rPr>
              <w:t>0.07%</w:t>
            </w:r>
          </w:p>
        </w:tc>
        <w:tc>
          <w:tcPr>
            <w:vAlign w:val="center"/>
          </w:tcPr>
          <w:p>
            <w:pPr>
              <w:jc w:val="center"/>
            </w:pPr>
            <w:r>
              <w:rPr>
                <w:color w:val="000000"/>
                <w:sz w:val="24"/>
              </w:rPr>
              <w:t>8.68%</w:t>
            </w:r>
          </w:p>
        </w:tc>
        <w:tc>
          <w:tcPr>
            <w:vAlign w:val="center"/>
          </w:tcPr>
          <w:p>
            <w:pPr>
              <w:jc w:val="center"/>
            </w:pPr>
            <w:r>
              <w:rPr>
                <w:color w:val="000000"/>
                <w:sz w:val="24"/>
              </w:rPr>
              <w:t>0.05%</w:t>
            </w:r>
          </w:p>
        </w:tc>
        <w:tc>
          <w:tcPr>
            <w:vAlign w:val="center"/>
          </w:tcPr>
          <w:p>
            <w:pPr>
              <w:jc w:val="center"/>
            </w:pPr>
            <w:r>
              <w:rPr>
                <w:color w:val="000000"/>
                <w:sz w:val="24"/>
              </w:rPr>
              <w:t>6.82%</w:t>
            </w:r>
          </w:p>
        </w:tc>
        <w:tc>
          <w:tcPr>
            <w:vAlign w:val="center"/>
          </w:tcPr>
          <w:p>
            <w:pPr>
              <w:jc w:val="center"/>
            </w:pPr>
            <w:r>
              <w:rPr>
                <w:color w:val="000000"/>
                <w:sz w:val="24"/>
              </w:rPr>
              <w:t>0.02%</w:t>
            </w:r>
          </w:p>
        </w:tc>
      </w:tr>
    </w:tbl>
    <w:p w:rsidP="007C14DF" w:rsidR="009238DB" w:rsidRDefault="004425E8" w:rsidRPr="007F52FA">
      <w:pPr>
        <w:autoSpaceDE w:val="0"/>
        <w:autoSpaceDN w:val="0"/>
        <w:adjustRightInd w:val="0"/>
        <w:spacing w:before="29" w:line="288" w:lineRule="auto"/>
        <w:jc w:val="left"/>
        <w:rPr>
          <w:color w:val="000000"/>
          <w:sz w:val="24"/>
        </w:rPr>
      </w:pPr>
      <w:r w:rsidRPr="007F52FA">
        <w:rPr>
          <w:color w:val="000000"/>
          <w:sz w:val="24"/>
        </w:rPr>
        <w:t/>
      </w:r>
      <w:r w:rsidR="00243122" w:rsidRPr="007F52FA">
        <w:rPr>
          <w:color w:val="000000"/>
          <w:sz w:val="24"/>
        </w:rPr>
        <w:t/>
      </w:r>
      <w:r w:rsidR="0042785F" w:rsidRPr="007F52FA">
        <w:rPr>
          <w:color w:val="000000"/>
          <w:sz w:val="24"/>
        </w:rPr>
        <w:t/>
      </w:r>
      <w:r w:rsidR="00243122" w:rsidRPr="007F52FA">
        <w:rPr>
          <w:color w:val="000000"/>
          <w:sz w:val="24"/>
        </w:rPr>
        <w:t/>
      </w:r>
      <w:r w:rsidRPr="007F52FA">
        <w:rPr>
          <w:color w:val="000000"/>
          <w:sz w:val="24"/>
        </w:rPr>
        <w:t>注：本基金自2019年3月5日起转为开放式运作，本基金的业绩比较基准由“两年期银行定期存款税后收益率+1.25%”变更为“中债综合全价指数收益率”，3.2.2同。</w:t>
      </w:r>
    </w:p>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交银境尚收益债券C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-0.23%</w:t>
            </w:r>
          </w:p>
        </w:tc>
        <w:tc>
          <w:tcPr>
            <w:vAlign w:val="center"/>
          </w:tcPr>
          <w:p>
            <w:pPr>
              <w:jc w:val="center"/>
            </w:pPr>
            <w:r>
              <w:rPr>
                <w:color w:val="000000"/>
                <w:sz w:val="24"/>
              </w:rPr>
              <w:t>0.07%</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0.81%</w:t>
            </w:r>
          </w:p>
        </w:tc>
        <w:tc>
          <w:tcPr>
            <w:vAlign w:val="center"/>
          </w:tcPr>
          <w:p>
            <w:pPr>
              <w:jc w:val="center"/>
            </w:pPr>
            <w:r>
              <w:rPr>
                <w:color w:val="000000"/>
                <w:sz w:val="24"/>
              </w:rPr>
              <w:t>-0.05%</w:t>
            </w:r>
          </w:p>
        </w:tc>
      </w:tr>
      <w:tr>
        <w:tc>
          <w:tcPr>
            <w:vAlign w:val="center"/>
          </w:tcPr>
          <w:p>
            <w:pPr>
              <w:jc w:val="left"/>
            </w:pPr>
            <w:r>
              <w:rPr>
                <w:color w:val="000000"/>
                <w:sz w:val="24"/>
              </w:rPr>
              <w:t>过去六个月</w:t>
            </w:r>
          </w:p>
        </w:tc>
        <w:tc>
          <w:tcPr>
            <w:vAlign w:val="center"/>
          </w:tcPr>
          <w:p>
            <w:pPr>
              <w:jc w:val="center"/>
            </w:pPr>
            <w:r>
              <w:rPr>
                <w:color w:val="000000"/>
                <w:sz w:val="24"/>
              </w:rPr>
              <w:t>2.19%</w:t>
            </w:r>
          </w:p>
        </w:tc>
        <w:tc>
          <w:tcPr>
            <w:vAlign w:val="center"/>
          </w:tcPr>
          <w:p>
            <w:pPr>
              <w:jc w:val="center"/>
            </w:pPr>
            <w:r>
              <w:rPr>
                <w:color w:val="000000"/>
                <w:sz w:val="24"/>
              </w:rPr>
              <w:t>0.12%</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1.40%</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4.03%</w:t>
            </w:r>
          </w:p>
        </w:tc>
        <w:tc>
          <w:tcPr>
            <w:vAlign w:val="center"/>
          </w:tcPr>
          <w:p>
            <w:pPr>
              <w:jc w:val="center"/>
            </w:pPr>
            <w:r>
              <w:rPr>
                <w:color w:val="000000"/>
                <w:sz w:val="24"/>
              </w:rPr>
              <w:t>0.10%</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2.16%</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12.41%</w:t>
            </w:r>
          </w:p>
        </w:tc>
        <w:tc>
          <w:tcPr>
            <w:vAlign w:val="center"/>
          </w:tcPr>
          <w:p>
            <w:pPr>
              <w:jc w:val="center"/>
            </w:pPr>
            <w:r>
              <w:rPr>
                <w:color w:val="000000"/>
                <w:sz w:val="24"/>
              </w:rPr>
              <w:t>0.07%</w:t>
            </w:r>
          </w:p>
        </w:tc>
        <w:tc>
          <w:tcPr>
            <w:vAlign w:val="center"/>
          </w:tcPr>
          <w:p>
            <w:pPr>
              <w:jc w:val="center"/>
            </w:pPr>
            <w:r>
              <w:rPr>
                <w:color w:val="000000"/>
                <w:sz w:val="24"/>
              </w:rPr>
              <w:t>7.48%</w:t>
            </w:r>
          </w:p>
        </w:tc>
        <w:tc>
          <w:tcPr>
            <w:vAlign w:val="center"/>
          </w:tcPr>
          <w:p>
            <w:pPr>
              <w:jc w:val="center"/>
            </w:pPr>
            <w:r>
              <w:rPr>
                <w:color w:val="000000"/>
                <w:sz w:val="24"/>
              </w:rPr>
              <w:t>0.05%</w:t>
            </w:r>
          </w:p>
        </w:tc>
        <w:tc>
          <w:tcPr>
            <w:vAlign w:val="center"/>
          </w:tcPr>
          <w:p>
            <w:pPr>
              <w:jc w:val="center"/>
            </w:pPr>
            <w:r>
              <w:rPr>
                <w:color w:val="000000"/>
                <w:sz w:val="24"/>
              </w:rPr>
              <w:t>4.93%</w:t>
            </w:r>
          </w:p>
        </w:tc>
        <w:tc>
          <w:tcPr>
            <w:vAlign w:val="center"/>
          </w:tcPr>
          <w:p>
            <w:pPr>
              <w:jc w:val="center"/>
            </w:pPr>
            <w:r>
              <w:rPr>
                <w:color w:val="000000"/>
                <w:sz w:val="24"/>
              </w:rPr>
              <w:t>0.02%</w:t>
            </w:r>
          </w:p>
        </w:tc>
      </w:tr>
      <w:tr>
        <w:tc>
          <w:tcPr>
            <w:vAlign w:val="center"/>
          </w:tcPr>
          <w:p>
            <w:pPr>
              <w:jc w:val="left"/>
            </w:pPr>
            <w:r>
              <w:rPr>
                <w:color w:val="000000"/>
                <w:sz w:val="24"/>
              </w:rPr>
              <w:t>自基金合同生效起至今</w:t>
            </w:r>
          </w:p>
        </w:tc>
        <w:tc>
          <w:tcPr>
            <w:vAlign w:val="center"/>
          </w:tcPr>
          <w:p>
            <w:pPr>
              <w:jc w:val="center"/>
            </w:pPr>
            <w:r>
              <w:rPr>
                <w:color w:val="000000"/>
                <w:sz w:val="24"/>
              </w:rPr>
              <w:t>13.21%</w:t>
            </w:r>
          </w:p>
        </w:tc>
        <w:tc>
          <w:tcPr>
            <w:vAlign w:val="center"/>
          </w:tcPr>
          <w:p>
            <w:pPr>
              <w:jc w:val="center"/>
            </w:pPr>
            <w:r>
              <w:rPr>
                <w:color w:val="000000"/>
                <w:sz w:val="24"/>
              </w:rPr>
              <w:t>0.07%</w:t>
            </w:r>
          </w:p>
        </w:tc>
        <w:tc>
          <w:tcPr>
            <w:vAlign w:val="center"/>
          </w:tcPr>
          <w:p>
            <w:pPr>
              <w:jc w:val="center"/>
            </w:pPr>
            <w:r>
              <w:rPr>
                <w:color w:val="000000"/>
                <w:sz w:val="24"/>
              </w:rPr>
              <w:t>8.68%</w:t>
            </w:r>
          </w:p>
        </w:tc>
        <w:tc>
          <w:tcPr>
            <w:vAlign w:val="center"/>
          </w:tcPr>
          <w:p>
            <w:pPr>
              <w:jc w:val="center"/>
            </w:pPr>
            <w:r>
              <w:rPr>
                <w:color w:val="000000"/>
                <w:sz w:val="24"/>
              </w:rPr>
              <w:t>0.05%</w:t>
            </w:r>
          </w:p>
        </w:tc>
        <w:tc>
          <w:tcPr>
            <w:vAlign w:val="center"/>
          </w:tcPr>
          <w:p>
            <w:pPr>
              <w:jc w:val="center"/>
            </w:pPr>
            <w:r>
              <w:rPr>
                <w:color w:val="000000"/>
                <w:sz w:val="24"/>
              </w:rPr>
              <w:t>4.53%</w:t>
            </w:r>
          </w:p>
        </w:tc>
        <w:tc>
          <w:tcPr>
            <w:vAlign w:val="center"/>
          </w:tcPr>
          <w:p>
            <w:pPr>
              <w:jc w:val="center"/>
            </w:pPr>
            <w:r>
              <w:rPr>
                <w:color w:val="000000"/>
                <w:sz w:val="24"/>
              </w:rPr>
              <w:t>0.02%</w:t>
            </w:r>
          </w:p>
        </w:tc>
      </w:tr>
    </w:tbl>
    <w:p w:rsidP="007C14DF" w:rsidR="00E73221" w:rsidRDefault="00E73221" w:rsidRPr="007F52FA">
      <w:pPr>
        <w:autoSpaceDE w:val="0"/>
        <w:autoSpaceDN w:val="0"/>
        <w:adjustRightInd w:val="0"/>
        <w:spacing w:before="29" w:line="288" w:lineRule="auto"/>
        <w:jc w:val="left"/>
        <w:rPr>
          <w:color w:val="000000"/>
          <w:sz w:val="24"/>
        </w:rPr>
      </w:pPr>
      <w:r w:rsidRPr="007F52FA">
        <w:rPr>
          <w:color w:val="000000"/>
          <w:sz w:val="24"/>
        </w:rPr>
        <w:t/>
      </w:r>
      <w:r w:rsidR="004D614E" w:rsidRPr="007F52FA">
        <w:rPr>
          <w:color w:val="000000"/>
          <w:sz w:val="24"/>
        </w:rPr>
        <w:t/>
      </w:r>
      <w:r w:rsidR="00FE7FBD" w:rsidRPr="007F52FA">
        <w:rPr>
          <w:color w:val="000000"/>
          <w:sz w:val="24"/>
        </w:rPr>
        <w:t>注：本基金自2019年3月5日起转为开放式运作，本基金的业绩比较基准由“两年期银行定期存款税后收益率+1.25%”变更为“中债综合全价指数收益率”，3.2.2同。</w:t>
      </w:r>
    </w:p>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交银施罗德境尚收益债券型证券投资基金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2017年3月3日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交银境尚收益债券C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2017-03-03</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止6月30日，一年国债和十年国债分别收于2.18%和2.82%，较一季度末分别上行49bp和23bp。</w:t>
      </w:r>
    </w:p>
    <w:p>
      <w:pPr>
        <w:spacing w:before="29" w:line="288" w:lineRule="auto"/>
        <w:ind w:firstLine="480" w:firstLineChars="200"/>
        <w:rPr>
          <w:color w:val="000000"/>
          <w:sz w:val="24"/>
        </w:rPr>
      </w:pPr>
      <w:r>
        <w:rPr>
          <w:color w:val="000000"/>
          <w:sz w:val="24"/>
        </w:rPr>
        <w:t>基金操作方面，本基金以高等级中短久期信用债策略为主，以1-3年高等级信用债为底仓，同时择机配置了部分中短端利率债，控制整体组合久期。由于资金成本相对较低，本基金适度运用杠杆操作增厚组合收益。</w:t>
      </w:r>
    </w:p>
    <w:p>
      <w:pPr>
        <w:spacing w:before="29" w:line="288" w:lineRule="auto"/>
        <w:ind w:firstLine="480" w:firstLineChars="200"/>
        <w:rPr>
          <w:color w:val="000000"/>
          <w:sz w:val="24"/>
        </w:rPr>
      </w:pPr>
      <w:r>
        <w:rPr>
          <w:color w:val="000000"/>
          <w:sz w:val="24"/>
        </w:rPr>
        <w:t>展望2020年三季度，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P="007C14DF" w:rsidR="00952A72" w:rsidRDefault="00323F25" w:rsidRPr="007F52FA">
      <w:pPr>
        <w:spacing w:before="29" w:line="288" w:lineRule="auto"/>
        <w:ind w:firstLine="480" w:firstLineChars="200"/>
        <w:rPr>
          <w:color w:val="000000"/>
          <w:sz w:val="24"/>
        </w:rPr>
      </w:pPr>
      <w:r w:rsidRPr="007F52FA">
        <w:rPr>
          <w:color w:val="00000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4,337,766,000.00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4,337,766,000.00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548,805.40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44,798,076.85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4,383,112,882.25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2,020,769,000.00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49.27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1,577,542,000.00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38.46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309,876,000.00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7.56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1,567,266,000.00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38.21</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439,855,000.00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10.72</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4,337,766,000.00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105.76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200201</w:t>
            </w:r>
          </w:p>
        </w:tc>
        <w:tc>
          <w:tcPr>
            <w:vAlign w:val="center"/>
          </w:tcPr>
          <w:p>
            <w:pPr>
              <w:jc w:val="center"/>
            </w:pPr>
            <w:r>
              <w:rPr>
                <w:color w:val="000000"/>
                <w:sz w:val="24"/>
              </w:rPr>
              <w:t>20国开01</w:t>
            </w:r>
          </w:p>
        </w:tc>
        <w:tc>
          <w:tcPr>
            <w:vAlign w:val="center"/>
          </w:tcPr>
          <w:p>
            <w:pPr>
              <w:jc w:val="right"/>
            </w:pPr>
            <w:r>
              <w:rPr>
                <w:color w:val="000000"/>
                <w:sz w:val="24"/>
              </w:rPr>
              <w:t>4,300,000</w:t>
            </w:r>
          </w:p>
        </w:tc>
        <w:tc>
          <w:tcPr>
            <w:vAlign w:val="center"/>
          </w:tcPr>
          <w:p>
            <w:pPr>
              <w:jc w:val="right"/>
            </w:pPr>
            <w:r>
              <w:rPr>
                <w:color w:val="000000"/>
                <w:sz w:val="24"/>
              </w:rPr>
              <w:t>430,602,000.00</w:t>
            </w:r>
          </w:p>
        </w:tc>
        <w:tc>
          <w:tcPr>
            <w:vAlign w:val="center"/>
          </w:tcPr>
          <w:p>
            <w:pPr>
              <w:jc w:val="right"/>
            </w:pPr>
            <w:r>
              <w:rPr>
                <w:color w:val="000000"/>
                <w:sz w:val="24"/>
              </w:rPr>
              <w:t>10.50</w:t>
            </w:r>
          </w:p>
        </w:tc>
      </w:tr>
      <w:tr>
        <w:tc>
          <w:tcPr>
            <w:vAlign w:val="center"/>
          </w:tcPr>
          <w:p>
            <w:pPr>
              <w:jc w:val="center"/>
            </w:pPr>
            <w:r>
              <w:rPr>
                <w:color w:val="000000"/>
                <w:sz w:val="24"/>
              </w:rPr>
              <w:t>2</w:t>
            </w:r>
          </w:p>
        </w:tc>
        <w:tc>
          <w:tcPr>
            <w:vAlign w:val="center"/>
          </w:tcPr>
          <w:p>
            <w:pPr>
              <w:jc w:val="center"/>
            </w:pPr>
            <w:r>
              <w:rPr>
                <w:color w:val="000000"/>
                <w:sz w:val="24"/>
              </w:rPr>
              <w:t>190306</w:t>
            </w:r>
          </w:p>
        </w:tc>
        <w:tc>
          <w:tcPr>
            <w:vAlign w:val="center"/>
          </w:tcPr>
          <w:p>
            <w:pPr>
              <w:jc w:val="center"/>
            </w:pPr>
            <w:r>
              <w:rPr>
                <w:color w:val="000000"/>
                <w:sz w:val="24"/>
              </w:rPr>
              <w:t>19进出06</w:t>
            </w:r>
          </w:p>
        </w:tc>
        <w:tc>
          <w:tcPr>
            <w:vAlign w:val="center"/>
          </w:tcPr>
          <w:p>
            <w:pPr>
              <w:jc w:val="right"/>
            </w:pPr>
            <w:r>
              <w:rPr>
                <w:color w:val="000000"/>
                <w:sz w:val="24"/>
              </w:rPr>
              <w:t>2,600,000</w:t>
            </w:r>
          </w:p>
        </w:tc>
        <w:tc>
          <w:tcPr>
            <w:vAlign w:val="center"/>
          </w:tcPr>
          <w:p>
            <w:pPr>
              <w:jc w:val="right"/>
            </w:pPr>
            <w:r>
              <w:rPr>
                <w:color w:val="000000"/>
                <w:sz w:val="24"/>
              </w:rPr>
              <w:t>263,952,000.00</w:t>
            </w:r>
          </w:p>
        </w:tc>
        <w:tc>
          <w:tcPr>
            <w:vAlign w:val="center"/>
          </w:tcPr>
          <w:p>
            <w:pPr>
              <w:jc w:val="right"/>
            </w:pPr>
            <w:r>
              <w:rPr>
                <w:color w:val="000000"/>
                <w:sz w:val="24"/>
              </w:rPr>
              <w:t>6.44</w:t>
            </w:r>
          </w:p>
        </w:tc>
      </w:tr>
      <w:tr>
        <w:tc>
          <w:tcPr>
            <w:vAlign w:val="center"/>
          </w:tcPr>
          <w:p>
            <w:pPr>
              <w:jc w:val="center"/>
            </w:pPr>
            <w:r>
              <w:rPr>
                <w:color w:val="000000"/>
                <w:sz w:val="24"/>
              </w:rPr>
              <w:t>3</w:t>
            </w:r>
          </w:p>
        </w:tc>
        <w:tc>
          <w:tcPr>
            <w:vAlign w:val="center"/>
          </w:tcPr>
          <w:p>
            <w:pPr>
              <w:jc w:val="center"/>
            </w:pPr>
            <w:r>
              <w:rPr>
                <w:color w:val="000000"/>
                <w:sz w:val="24"/>
              </w:rPr>
              <w:t>112010127</w:t>
            </w:r>
          </w:p>
        </w:tc>
        <w:tc>
          <w:tcPr>
            <w:vAlign w:val="center"/>
          </w:tcPr>
          <w:p>
            <w:pPr>
              <w:jc w:val="center"/>
            </w:pPr>
            <w:r>
              <w:rPr>
                <w:color w:val="000000"/>
                <w:sz w:val="24"/>
              </w:rPr>
              <w:t>20兴业银行CD127</w:t>
            </w:r>
          </w:p>
        </w:tc>
        <w:tc>
          <w:tcPr>
            <w:vAlign w:val="center"/>
          </w:tcPr>
          <w:p>
            <w:pPr>
              <w:jc w:val="right"/>
            </w:pPr>
            <w:r>
              <w:rPr>
                <w:color w:val="000000"/>
                <w:sz w:val="24"/>
              </w:rPr>
              <w:t>2,500,000</w:t>
            </w:r>
          </w:p>
        </w:tc>
        <w:tc>
          <w:tcPr>
            <w:vAlign w:val="center"/>
          </w:tcPr>
          <w:p>
            <w:pPr>
              <w:jc w:val="right"/>
            </w:pPr>
            <w:r>
              <w:rPr>
                <w:color w:val="000000"/>
                <w:sz w:val="24"/>
              </w:rPr>
              <w:t>244,375,000.00</w:t>
            </w:r>
          </w:p>
        </w:tc>
        <w:tc>
          <w:tcPr>
            <w:vAlign w:val="center"/>
          </w:tcPr>
          <w:p>
            <w:pPr>
              <w:jc w:val="right"/>
            </w:pPr>
            <w:r>
              <w:rPr>
                <w:color w:val="000000"/>
                <w:sz w:val="24"/>
              </w:rPr>
              <w:t>5.96</w:t>
            </w:r>
          </w:p>
        </w:tc>
      </w:tr>
      <w:tr>
        <w:tc>
          <w:tcPr>
            <w:vAlign w:val="center"/>
          </w:tcPr>
          <w:p>
            <w:pPr>
              <w:jc w:val="center"/>
            </w:pPr>
            <w:r>
              <w:rPr>
                <w:color w:val="000000"/>
                <w:sz w:val="24"/>
              </w:rPr>
              <w:t>4</w:t>
            </w:r>
          </w:p>
        </w:tc>
        <w:tc>
          <w:tcPr>
            <w:vAlign w:val="center"/>
          </w:tcPr>
          <w:p>
            <w:pPr>
              <w:jc w:val="center"/>
            </w:pPr>
            <w:r>
              <w:rPr>
                <w:color w:val="000000"/>
                <w:sz w:val="24"/>
              </w:rPr>
              <w:t>1728010</w:t>
            </w:r>
          </w:p>
        </w:tc>
        <w:tc>
          <w:tcPr>
            <w:vAlign w:val="center"/>
          </w:tcPr>
          <w:p>
            <w:pPr>
              <w:jc w:val="center"/>
            </w:pPr>
            <w:r>
              <w:rPr>
                <w:color w:val="000000"/>
                <w:sz w:val="24"/>
              </w:rPr>
              <w:t>17平安银行债</w:t>
            </w:r>
          </w:p>
        </w:tc>
        <w:tc>
          <w:tcPr>
            <w:vAlign w:val="center"/>
          </w:tcPr>
          <w:p>
            <w:pPr>
              <w:jc w:val="right"/>
            </w:pPr>
            <w:r>
              <w:rPr>
                <w:color w:val="000000"/>
                <w:sz w:val="24"/>
              </w:rPr>
              <w:t>2,300,000</w:t>
            </w:r>
          </w:p>
        </w:tc>
        <w:tc>
          <w:tcPr>
            <w:vAlign w:val="center"/>
          </w:tcPr>
          <w:p>
            <w:pPr>
              <w:jc w:val="right"/>
            </w:pPr>
            <w:r>
              <w:rPr>
                <w:color w:val="000000"/>
                <w:sz w:val="24"/>
              </w:rPr>
              <w:t>232,093,000.00</w:t>
            </w:r>
          </w:p>
        </w:tc>
        <w:tc>
          <w:tcPr>
            <w:vAlign w:val="center"/>
          </w:tcPr>
          <w:p>
            <w:pPr>
              <w:jc w:val="right"/>
            </w:pPr>
            <w:r>
              <w:rPr>
                <w:color w:val="000000"/>
                <w:sz w:val="24"/>
              </w:rPr>
              <w:t>5.66</w:t>
            </w:r>
          </w:p>
        </w:tc>
      </w:tr>
      <w:tr>
        <w:tc>
          <w:tcPr>
            <w:vAlign w:val="center"/>
          </w:tcPr>
          <w:p>
            <w:pPr>
              <w:jc w:val="center"/>
            </w:pPr>
            <w:r>
              <w:rPr>
                <w:color w:val="000000"/>
                <w:sz w:val="24"/>
              </w:rPr>
              <w:t>5</w:t>
            </w:r>
          </w:p>
        </w:tc>
        <w:tc>
          <w:tcPr>
            <w:vAlign w:val="center"/>
          </w:tcPr>
          <w:p>
            <w:pPr>
              <w:jc w:val="center"/>
            </w:pPr>
            <w:r>
              <w:rPr>
                <w:color w:val="000000"/>
                <w:sz w:val="24"/>
              </w:rPr>
              <w:t>180211</w:t>
            </w:r>
          </w:p>
        </w:tc>
        <w:tc>
          <w:tcPr>
            <w:vAlign w:val="center"/>
          </w:tcPr>
          <w:p>
            <w:pPr>
              <w:jc w:val="center"/>
            </w:pPr>
            <w:r>
              <w:rPr>
                <w:color w:val="000000"/>
                <w:sz w:val="24"/>
              </w:rPr>
              <w:t>18国开11</w:t>
            </w:r>
          </w:p>
        </w:tc>
        <w:tc>
          <w:tcPr>
            <w:vAlign w:val="center"/>
          </w:tcPr>
          <w:p>
            <w:pPr>
              <w:jc w:val="right"/>
            </w:pPr>
            <w:r>
              <w:rPr>
                <w:color w:val="000000"/>
                <w:sz w:val="24"/>
              </w:rPr>
              <w:t>2,000,000</w:t>
            </w:r>
          </w:p>
        </w:tc>
        <w:tc>
          <w:tcPr>
            <w:vAlign w:val="center"/>
          </w:tcPr>
          <w:p>
            <w:pPr>
              <w:jc w:val="right"/>
            </w:pPr>
            <w:r>
              <w:rPr>
                <w:color w:val="000000"/>
                <w:sz w:val="24"/>
              </w:rPr>
              <w:t>205,660,000.00</w:t>
            </w:r>
          </w:p>
        </w:tc>
        <w:tc>
          <w:tcPr>
            <w:vAlign w:val="center"/>
          </w:tcPr>
          <w:p>
            <w:pPr>
              <w:jc w:val="right"/>
            </w:pPr>
            <w:r>
              <w:rPr>
                <w:color w:val="000000"/>
                <w:sz w:val="24"/>
              </w:rPr>
              <w:t>5.01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2,892.87</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44,793,179.56</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2,004.42</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44,798,076.85</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交银境尚收益债券A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交银境尚收益债券C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5,552,247,956.97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7,734,752.72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177,232.52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85,933.62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1,603,385,966.76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7,503,988.11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3,949,039,222.73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316,698.23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2,756,591,932.37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1,600,000,000.00</w:t>
            </w:r>
          </w:p>
        </w:tc>
        <w:tc>
          <w:tcPr>
            <w:vAlign w:val="center"/>
          </w:tcPr>
          <w:p>
            <w:pPr>
              <w:jc w:val="center"/>
            </w:pPr>
            <w:r>
              <w:rPr>
                <w:rFonts w:ascii="宋体" w:hAnsi="宋体" w:hint="eastAsia"/>
                <w:color w:val="000000"/>
                <w:kern w:val="0"/>
                <w:szCs w:val="21"/>
              </w:rPr>
              <w:t>1,156,591,932.37</w:t>
            </w:r>
          </w:p>
        </w:tc>
        <w:tc>
          <w:tcPr>
            <w:vAlign w:val="center"/>
          </w:tcPr>
          <w:p>
            <w:pPr>
              <w:jc w:val="center"/>
            </w:pPr>
            <w:r>
              <w:rPr>
                <w:rFonts w:ascii="宋体" w:hAnsi="宋体" w:hint="eastAsia"/>
                <w:color w:val="000000"/>
                <w:kern w:val="0"/>
                <w:szCs w:val="21"/>
              </w:rPr>
              <w:t>29.29%</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2,756,591,932.37</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2,756,591,932.37</w:t>
            </w:r>
          </w:p>
        </w:tc>
        <w:tc>
          <w:tcPr>
            <w:vAlign w:val="center"/>
          </w:tcPr>
          <w:p>
            <w:pPr>
              <w:jc w:val="center"/>
            </w:pPr>
            <w:r>
              <w:rPr>
                <w:rFonts w:ascii="宋体" w:hAnsi="宋体" w:hint="eastAsia"/>
                <w:color w:val="000000"/>
                <w:kern w:val="0"/>
                <w:szCs w:val="21"/>
              </w:rPr>
              <w:t>69.80%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1、中国证监会准予交银施罗德境尚收益债券型证券投资基金募集注册的文件；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2、《交银施罗德境尚收益债券型证券投资基金基金合同》；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3、《交银施罗德境尚收益债券型证券投资基金招募说明书》；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4、《交银施罗德境尚收益债券型证券投资基金托管协议》；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5、关于申请募集注册交银施罗德境尚收益债券型证券投资基金的法律意见书；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8、报告期内交银施罗德境尚收益债券型证券投资基金在指定报刊上各项公告的原稿。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交银施罗德境尚收益债券型证券投资基金2020年第2季度报告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