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125,284,284.13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1,120,377.08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718,868.66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132,920,608.93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1.061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0.57%</w:t>
            </w:r>
          </w:p>
        </w:tc>
        <w:tc>
          <w:tcPr>
            <w:vAlign w:val="center"/>
          </w:tcPr>
          <w:p>
            <w:pPr>
              <w:jc w:val="center"/>
            </w:pPr>
            <w:r>
              <w:rPr>
                <w:color w:val="000000"/>
                <w:sz w:val="24"/>
                <w:szCs w:val="24"/>
              </w:rPr>
              <w:t>0.16%</w:t>
            </w:r>
          </w:p>
        </w:tc>
        <w:tc>
          <w:tcPr>
            <w:vAlign w:val="center"/>
          </w:tcPr>
          <w:p>
            <w:pPr>
              <w:jc w:val="center"/>
            </w:pPr>
            <w:r>
              <w:rPr>
                <w:color w:val="000000"/>
                <w:sz w:val="24"/>
                <w:szCs w:val="24"/>
              </w:rPr>
              <w:t>-1.04%</w:t>
            </w:r>
          </w:p>
        </w:tc>
        <w:tc>
          <w:tcPr>
            <w:vAlign w:val="center"/>
          </w:tcPr>
          <w:p>
            <w:pPr>
              <w:jc w:val="center"/>
            </w:pPr>
            <w:r>
              <w:rPr>
                <w:color w:val="000000"/>
                <w:sz w:val="24"/>
                <w:szCs w:val="24"/>
              </w:rPr>
              <w:t>0.12%</w:t>
            </w:r>
          </w:p>
        </w:tc>
        <w:tc>
          <w:tcPr>
            <w:vAlign w:val="center"/>
          </w:tcPr>
          <w:p>
            <w:pPr>
              <w:jc w:val="center"/>
            </w:pPr>
            <w:r>
              <w:rPr>
                <w:color w:val="000000"/>
                <w:sz w:val="24"/>
                <w:szCs w:val="24"/>
              </w:rPr>
              <w:t>1.61%</w:t>
            </w:r>
          </w:p>
        </w:tc>
        <w:tc>
          <w:tcPr>
            <w:vAlign w:val="center"/>
          </w:tcPr>
          <w:p>
            <w:pPr>
              <w:jc w:val="center"/>
            </w:pPr>
            <w:r>
              <w:rPr>
                <w:color w:val="000000"/>
                <w:sz w:val="24"/>
                <w:szCs w:val="24"/>
              </w:rPr>
              <w:t>0.04%</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0.57%</w:t>
            </w:r>
          </w:p>
        </w:tc>
        <w:tc>
          <w:tcPr>
            <w:vAlign w:val="center"/>
          </w:tcPr>
          <w:p>
            <w:pPr>
              <w:jc w:val="center"/>
            </w:pPr>
            <w:r>
              <w:rPr>
                <w:color w:val="000000"/>
                <w:sz w:val="24"/>
                <w:szCs w:val="24"/>
              </w:rPr>
              <w:t>0.20%</w:t>
            </w:r>
          </w:p>
        </w:tc>
        <w:tc>
          <w:tcPr>
            <w:vAlign w:val="center"/>
          </w:tcPr>
          <w:p>
            <w:pPr>
              <w:jc w:val="center"/>
            </w:pPr>
            <w:r>
              <w:rPr>
                <w:color w:val="000000"/>
                <w:sz w:val="24"/>
                <w:szCs w:val="24"/>
              </w:rPr>
              <w:t>0.79%</w:t>
            </w:r>
          </w:p>
        </w:tc>
        <w:tc>
          <w:tcPr>
            <w:vAlign w:val="center"/>
          </w:tcPr>
          <w:p>
            <w:pPr>
              <w:jc w:val="center"/>
            </w:pPr>
            <w:r>
              <w:rPr>
                <w:color w:val="000000"/>
                <w:sz w:val="24"/>
                <w:szCs w:val="24"/>
              </w:rPr>
              <w:t>0.11%</w:t>
            </w:r>
          </w:p>
        </w:tc>
        <w:tc>
          <w:tcPr>
            <w:vAlign w:val="center"/>
          </w:tcPr>
          <w:p>
            <w:pPr>
              <w:jc w:val="center"/>
            </w:pPr>
            <w:r>
              <w:rPr>
                <w:color w:val="000000"/>
                <w:sz w:val="24"/>
                <w:szCs w:val="24"/>
              </w:rPr>
              <w:t>-0.22%</w:t>
            </w:r>
          </w:p>
        </w:tc>
        <w:tc>
          <w:tcPr>
            <w:vAlign w:val="center"/>
          </w:tcPr>
          <w:p>
            <w:pPr>
              <w:jc w:val="center"/>
            </w:pPr>
            <w:r>
              <w:rPr>
                <w:color w:val="000000"/>
                <w:sz w:val="24"/>
                <w:szCs w:val="24"/>
              </w:rPr>
              <w:t>0.09%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3.71%</w:t>
            </w:r>
          </w:p>
        </w:tc>
        <w:tc>
          <w:tcPr>
            <w:vAlign w:val="center"/>
          </w:tcPr>
          <w:p>
            <w:pPr>
              <w:jc w:val="center"/>
            </w:pPr>
            <w:r>
              <w:rPr>
                <w:color w:val="000000"/>
                <w:sz w:val="24"/>
                <w:szCs w:val="24"/>
              </w:rPr>
              <w:t>0.19%</w:t>
            </w:r>
          </w:p>
        </w:tc>
        <w:tc>
          <w:tcPr>
            <w:vAlign w:val="center"/>
          </w:tcPr>
          <w:p>
            <w:pPr>
              <w:jc w:val="center"/>
            </w:pPr>
            <w:r>
              <w:rPr>
                <w:color w:val="000000"/>
                <w:sz w:val="24"/>
                <w:szCs w:val="24"/>
              </w:rPr>
              <w:t>1.87%</w:t>
            </w:r>
          </w:p>
        </w:tc>
        <w:tc>
          <w:tcPr>
            <w:vAlign w:val="center"/>
          </w:tcPr>
          <w:p>
            <w:pPr>
              <w:jc w:val="center"/>
            </w:pPr>
            <w:r>
              <w:rPr>
                <w:color w:val="000000"/>
                <w:sz w:val="24"/>
                <w:szCs w:val="24"/>
              </w:rPr>
              <w:t>0.08%</w:t>
            </w:r>
          </w:p>
        </w:tc>
        <w:tc>
          <w:tcPr>
            <w:vAlign w:val="center"/>
          </w:tcPr>
          <w:p>
            <w:pPr>
              <w:jc w:val="center"/>
            </w:pPr>
            <w:r>
              <w:rPr>
                <w:color w:val="000000"/>
                <w:sz w:val="24"/>
                <w:szCs w:val="24"/>
              </w:rPr>
              <w:t>1.84%</w:t>
            </w:r>
          </w:p>
        </w:tc>
        <w:tc>
          <w:tcPr>
            <w:vAlign w:val="center"/>
          </w:tcPr>
          <w:p>
            <w:pPr>
              <w:jc w:val="center"/>
            </w:pPr>
            <w:r>
              <w:rPr>
                <w:color w:val="000000"/>
                <w:sz w:val="24"/>
                <w:szCs w:val="24"/>
              </w:rPr>
              <w:t>0.11%</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4.33%</w:t>
            </w:r>
          </w:p>
        </w:tc>
        <w:tc>
          <w:tcPr>
            <w:vAlign w:val="center"/>
          </w:tcPr>
          <w:p>
            <w:pPr>
              <w:jc w:val="center"/>
            </w:pPr>
            <w:r>
              <w:rPr>
                <w:color w:val="000000"/>
                <w:sz w:val="24"/>
                <w:szCs w:val="24"/>
              </w:rPr>
              <w:t>0.18%</w:t>
            </w:r>
          </w:p>
        </w:tc>
        <w:tc>
          <w:tcPr>
            <w:vAlign w:val="center"/>
          </w:tcPr>
          <w:p>
            <w:pPr>
              <w:jc w:val="center"/>
            </w:pPr>
            <w:r>
              <w:rPr>
                <w:color w:val="000000"/>
                <w:sz w:val="24"/>
                <w:szCs w:val="24"/>
              </w:rPr>
              <w:t>5.13%</w:t>
            </w:r>
          </w:p>
        </w:tc>
        <w:tc>
          <w:tcPr>
            <w:vAlign w:val="center"/>
          </w:tcPr>
          <w:p>
            <w:pPr>
              <w:jc w:val="center"/>
            </w:pPr>
            <w:r>
              <w:rPr>
                <w:color w:val="000000"/>
                <w:sz w:val="24"/>
                <w:szCs w:val="24"/>
              </w:rPr>
              <w:t>0.07%</w:t>
            </w:r>
          </w:p>
        </w:tc>
        <w:tc>
          <w:tcPr>
            <w:vAlign w:val="center"/>
          </w:tcPr>
          <w:p>
            <w:pPr>
              <w:jc w:val="center"/>
            </w:pPr>
            <w:r>
              <w:rPr>
                <w:color w:val="000000"/>
                <w:sz w:val="24"/>
                <w:szCs w:val="24"/>
              </w:rPr>
              <w:t>-0.80%</w:t>
            </w:r>
          </w:p>
        </w:tc>
        <w:tc>
          <w:tcPr>
            <w:vAlign w:val="center"/>
          </w:tcPr>
          <w:p>
            <w:pPr>
              <w:jc w:val="center"/>
            </w:pPr>
            <w:r>
              <w:rPr>
                <w:color w:val="000000"/>
                <w:sz w:val="24"/>
                <w:szCs w:val="24"/>
              </w:rPr>
              <w:t>0.11%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交银安心收益债券、交银荣鑫灵活配置混合的基金经理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国内外复工复产令经济基本面缓步改善，季初市场对于货币政策的宽松预期也随着后期资金面的边际趋紧而不断降温。债市收益率呈V型走势。四月上中旬，海外疫情及宽松的货币环境令债市收益率继续下行，中短端下行尤为明显；此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pPr>
        <w:spacing w:before="29" w:line="288" w:lineRule="auto"/>
        <w:ind w:firstLine="480" w:firstLineChars="200"/>
        <w:rPr>
          <w:color w:val="000000"/>
          <w:sz w:val="24"/>
          <w:szCs w:val="24"/>
        </w:rPr>
      </w:pPr>
      <w:r>
        <w:rPr>
          <w:color w:val="000000"/>
          <w:sz w:val="24"/>
          <w:szCs w:val="24"/>
        </w:rPr>
        <w:t>二季度受益疫情阶段缓解，海内外权益市场均经历了一轮明显反弹。国内市场方面，由于流动性宽裕带来确定性赛道的高估值溢价，消费和医药领涨，科技板块也在海外疫情缓解后出现较为明显的反弹。从板块表现看，二季度餐饮旅游、白酒、饮料、电子以及医药领涨；周期相关的石油化工等板块相对弱势。</w:t>
      </w:r>
    </w:p>
    <w:p>
      <w:pPr>
        <w:spacing w:before="29" w:line="288" w:lineRule="auto"/>
        <w:ind w:firstLine="480" w:firstLineChars="200"/>
        <w:rPr>
          <w:color w:val="000000"/>
          <w:sz w:val="24"/>
          <w:szCs w:val="24"/>
        </w:rPr>
      </w:pPr>
      <w:r>
        <w:rPr>
          <w:color w:val="000000"/>
          <w:sz w:val="24"/>
          <w:szCs w:val="24"/>
        </w:rPr>
        <w:t>我们认为，二季度疫情对于全球经济的冲击将逐步体现，政策大概率维持相对宽松，不过复工复产带来的经济恢复情况也会带来逆周期调控政策的相继变化。在基金操作中，债券部分我们维持中短久期债券的主仓位配置，对长端利率进行波段操作。权益方面，组合仓位提升到中高水平，并以地产等低估值品种打底，同时将持仓结构调整得更加均衡。组合继续积极参与转债和权益一级申购，以增厚组合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从历史经验看，疫情往往存在二次冲击，但是对于经济的冲击存在一定变数。目前的逆周期调控政策以稳为主，经济大幅向上的可能较低，债券预计将维持震荡。组合将继续以中短久期品种作为底仓，以获取稳定的票息收益，并根据市场变化动态调整组合久期。权益方面，我们维持稳健品种的底仓配置，并持续关注高景气赛道的个股机会。我们将继续积极参加权益及转债的一级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17,089,769.98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17,089,769.98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115,531,830.92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115,531,830.92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1,226,521.54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2,036,651.55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135,884,773.99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594,405.00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7,299,514.15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818,417.00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2,619,716.50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699,941.00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3,130,029.74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445,468.59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1,482,278.00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17,089,769.98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119,741</w:t>
            </w:r>
          </w:p>
        </w:tc>
        <w:tc>
          <w:tcPr>
            <w:vAlign w:val="center"/>
          </w:tcPr>
          <w:p>
            <w:pPr>
              <w:jc w:val="right"/>
            </w:pPr>
            <w:r>
              <w:rPr>
                <w:color w:val="000000"/>
                <w:sz w:val="24"/>
                <w:szCs w:val="24"/>
              </w:rPr>
              <w:t>3,130,029.74</w:t>
            </w:r>
          </w:p>
        </w:tc>
        <w:tc>
          <w:tcPr>
            <w:vAlign w:val="center"/>
          </w:tcPr>
          <w:p>
            <w:pPr>
              <w:jc w:val="right"/>
            </w:pPr>
            <w:r>
              <w:rPr>
                <w:color w:val="000000"/>
                <w:sz w:val="24"/>
                <w:szCs w:val="24"/>
              </w:rPr>
              <w:t>2.35</w:t>
            </w:r>
          </w:p>
        </w:tc>
      </w:tr>
      <w:tr>
        <w:tc>
          <w:tcPr>
            <w:vAlign w:val="center"/>
          </w:tcPr>
          <w:p>
            <w:pPr>
              <w:jc w:val="center"/>
            </w:pPr>
            <w:r>
              <w:rPr>
                <w:color w:val="000000"/>
                <w:sz w:val="24"/>
                <w:szCs w:val="24"/>
              </w:rPr>
              <w:t>2</w:t>
            </w:r>
          </w:p>
        </w:tc>
        <w:tc>
          <w:tcPr>
            <w:vAlign w:val="center"/>
          </w:tcPr>
          <w:p>
            <w:pPr>
              <w:jc w:val="center"/>
            </w:pPr>
            <w:r>
              <w:rPr>
                <w:color w:val="000000"/>
                <w:sz w:val="24"/>
                <w:szCs w:val="24"/>
              </w:rPr>
              <w:t>600350</w:t>
            </w:r>
          </w:p>
        </w:tc>
        <w:tc>
          <w:tcPr>
            <w:vAlign w:val="center"/>
          </w:tcPr>
          <w:p>
            <w:pPr>
              <w:jc w:val="center"/>
            </w:pPr>
            <w:r>
              <w:rPr>
                <w:color w:val="000000"/>
                <w:sz w:val="24"/>
                <w:szCs w:val="24"/>
              </w:rPr>
              <w:t>山东高速</w:t>
            </w:r>
          </w:p>
        </w:tc>
        <w:tc>
          <w:tcPr>
            <w:vAlign w:val="center"/>
          </w:tcPr>
          <w:p>
            <w:pPr>
              <w:jc w:val="right"/>
            </w:pPr>
            <w:r>
              <w:rPr>
                <w:color w:val="000000"/>
                <w:sz w:val="24"/>
                <w:szCs w:val="24"/>
              </w:rPr>
              <w:t>316,400</w:t>
            </w:r>
          </w:p>
        </w:tc>
        <w:tc>
          <w:tcPr>
            <w:vAlign w:val="center"/>
          </w:tcPr>
          <w:p>
            <w:pPr>
              <w:jc w:val="right"/>
            </w:pPr>
            <w:r>
              <w:rPr>
                <w:color w:val="000000"/>
                <w:sz w:val="24"/>
                <w:szCs w:val="24"/>
              </w:rPr>
              <w:t>1,942,696.00</w:t>
            </w:r>
          </w:p>
        </w:tc>
        <w:tc>
          <w:tcPr>
            <w:vAlign w:val="center"/>
          </w:tcPr>
          <w:p>
            <w:pPr>
              <w:jc w:val="right"/>
            </w:pPr>
            <w:r>
              <w:rPr>
                <w:color w:val="000000"/>
                <w:sz w:val="24"/>
                <w:szCs w:val="24"/>
              </w:rPr>
              <w:t>1.46</w:t>
            </w:r>
          </w:p>
        </w:tc>
      </w:tr>
      <w:tr>
        <w:tc>
          <w:tcPr>
            <w:vAlign w:val="center"/>
          </w:tcPr>
          <w:p>
            <w:pPr>
              <w:jc w:val="center"/>
            </w:pPr>
            <w:r>
              <w:rPr>
                <w:color w:val="000000"/>
                <w:sz w:val="24"/>
                <w:szCs w:val="24"/>
              </w:rPr>
              <w:t>3</w:t>
            </w:r>
          </w:p>
        </w:tc>
        <w:tc>
          <w:tcPr>
            <w:vAlign w:val="center"/>
          </w:tcPr>
          <w:p>
            <w:pPr>
              <w:jc w:val="center"/>
            </w:pPr>
            <w:r>
              <w:rPr>
                <w:color w:val="000000"/>
                <w:sz w:val="24"/>
                <w:szCs w:val="24"/>
              </w:rPr>
              <w:t>603359</w:t>
            </w:r>
          </w:p>
        </w:tc>
        <w:tc>
          <w:tcPr>
            <w:vAlign w:val="center"/>
          </w:tcPr>
          <w:p>
            <w:pPr>
              <w:jc w:val="center"/>
            </w:pPr>
            <w:r>
              <w:rPr>
                <w:color w:val="000000"/>
                <w:sz w:val="24"/>
                <w:szCs w:val="24"/>
              </w:rPr>
              <w:t>东珠生态</w:t>
            </w:r>
          </w:p>
        </w:tc>
        <w:tc>
          <w:tcPr>
            <w:vAlign w:val="center"/>
          </w:tcPr>
          <w:p>
            <w:pPr>
              <w:jc w:val="right"/>
            </w:pPr>
            <w:r>
              <w:rPr>
                <w:color w:val="000000"/>
                <w:sz w:val="24"/>
                <w:szCs w:val="24"/>
              </w:rPr>
              <w:t>88,600</w:t>
            </w:r>
          </w:p>
        </w:tc>
        <w:tc>
          <w:tcPr>
            <w:vAlign w:val="center"/>
          </w:tcPr>
          <w:p>
            <w:pPr>
              <w:jc w:val="right"/>
            </w:pPr>
            <w:r>
              <w:rPr>
                <w:color w:val="000000"/>
                <w:sz w:val="24"/>
                <w:szCs w:val="24"/>
              </w:rPr>
              <w:t>1,482,278.00</w:t>
            </w:r>
          </w:p>
        </w:tc>
        <w:tc>
          <w:tcPr>
            <w:vAlign w:val="center"/>
          </w:tcPr>
          <w:p>
            <w:pPr>
              <w:jc w:val="right"/>
            </w:pPr>
            <w:r>
              <w:rPr>
                <w:color w:val="000000"/>
                <w:sz w:val="24"/>
                <w:szCs w:val="24"/>
              </w:rPr>
              <w:t>1.12</w:t>
            </w:r>
          </w:p>
        </w:tc>
      </w:tr>
      <w:tr>
        <w:tc>
          <w:tcPr>
            <w:vAlign w:val="center"/>
          </w:tcPr>
          <w:p>
            <w:pPr>
              <w:jc w:val="center"/>
            </w:pPr>
            <w:r>
              <w:rPr>
                <w:color w:val="000000"/>
                <w:sz w:val="24"/>
                <w:szCs w:val="24"/>
              </w:rPr>
              <w:t>4</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18,069</w:t>
            </w:r>
          </w:p>
        </w:tc>
        <w:tc>
          <w:tcPr>
            <w:vAlign w:val="center"/>
          </w:tcPr>
          <w:p>
            <w:pPr>
              <w:jc w:val="right"/>
            </w:pPr>
            <w:r>
              <w:rPr>
                <w:color w:val="000000"/>
                <w:sz w:val="24"/>
                <w:szCs w:val="24"/>
              </w:rPr>
              <w:t>927,843.15</w:t>
            </w:r>
          </w:p>
        </w:tc>
        <w:tc>
          <w:tcPr>
            <w:vAlign w:val="center"/>
          </w:tcPr>
          <w:p>
            <w:pPr>
              <w:jc w:val="right"/>
            </w:pPr>
            <w:r>
              <w:rPr>
                <w:color w:val="000000"/>
                <w:sz w:val="24"/>
                <w:szCs w:val="24"/>
              </w:rPr>
              <w:t>0.70</w:t>
            </w:r>
          </w:p>
        </w:tc>
      </w:tr>
      <w:tr>
        <w:tc>
          <w:tcPr>
            <w:vAlign w:val="center"/>
          </w:tcPr>
          <w:p>
            <w:pPr>
              <w:jc w:val="center"/>
            </w:pPr>
            <w:r>
              <w:rPr>
                <w:color w:val="000000"/>
                <w:sz w:val="24"/>
                <w:szCs w:val="24"/>
              </w:rPr>
              <w:t>5</w:t>
            </w:r>
          </w:p>
        </w:tc>
        <w:tc>
          <w:tcPr>
            <w:vAlign w:val="center"/>
          </w:tcPr>
          <w:p>
            <w:pPr>
              <w:jc w:val="center"/>
            </w:pPr>
            <w:r>
              <w:rPr>
                <w:color w:val="000000"/>
                <w:sz w:val="24"/>
                <w:szCs w:val="24"/>
              </w:rPr>
              <w:t>601038</w:t>
            </w:r>
          </w:p>
        </w:tc>
        <w:tc>
          <w:tcPr>
            <w:vAlign w:val="center"/>
          </w:tcPr>
          <w:p>
            <w:pPr>
              <w:jc w:val="center"/>
            </w:pPr>
            <w:r>
              <w:rPr>
                <w:color w:val="000000"/>
                <w:sz w:val="24"/>
                <w:szCs w:val="24"/>
              </w:rPr>
              <w:t>一拖股份</w:t>
            </w:r>
          </w:p>
        </w:tc>
        <w:tc>
          <w:tcPr>
            <w:vAlign w:val="center"/>
          </w:tcPr>
          <w:p>
            <w:pPr>
              <w:jc w:val="right"/>
            </w:pPr>
            <w:r>
              <w:rPr>
                <w:color w:val="000000"/>
                <w:sz w:val="24"/>
                <w:szCs w:val="24"/>
              </w:rPr>
              <w:t>90,600</w:t>
            </w:r>
          </w:p>
        </w:tc>
        <w:tc>
          <w:tcPr>
            <w:vAlign w:val="center"/>
          </w:tcPr>
          <w:p>
            <w:pPr>
              <w:jc w:val="right"/>
            </w:pPr>
            <w:r>
              <w:rPr>
                <w:color w:val="000000"/>
                <w:sz w:val="24"/>
                <w:szCs w:val="24"/>
              </w:rPr>
              <w:t>837,144.00</w:t>
            </w:r>
          </w:p>
        </w:tc>
        <w:tc>
          <w:tcPr>
            <w:vAlign w:val="center"/>
          </w:tcPr>
          <w:p>
            <w:pPr>
              <w:jc w:val="right"/>
            </w:pPr>
            <w:r>
              <w:rPr>
                <w:color w:val="000000"/>
                <w:sz w:val="24"/>
                <w:szCs w:val="24"/>
              </w:rPr>
              <w:t>0.63</w:t>
            </w:r>
          </w:p>
        </w:tc>
      </w:tr>
      <w:tr>
        <w:tc>
          <w:tcPr>
            <w:vAlign w:val="center"/>
          </w:tcPr>
          <w:p>
            <w:pPr>
              <w:jc w:val="center"/>
            </w:pPr>
            <w:r>
              <w:rPr>
                <w:color w:val="000000"/>
                <w:sz w:val="24"/>
                <w:szCs w:val="24"/>
              </w:rPr>
              <w:t>6</w:t>
            </w:r>
          </w:p>
        </w:tc>
        <w:tc>
          <w:tcPr>
            <w:vAlign w:val="center"/>
          </w:tcPr>
          <w:p>
            <w:pPr>
              <w:jc w:val="center"/>
            </w:pPr>
            <w:r>
              <w:rPr>
                <w:color w:val="000000"/>
                <w:sz w:val="24"/>
                <w:szCs w:val="24"/>
              </w:rPr>
              <w:t>300259</w:t>
            </w:r>
          </w:p>
        </w:tc>
        <w:tc>
          <w:tcPr>
            <w:vAlign w:val="center"/>
          </w:tcPr>
          <w:p>
            <w:pPr>
              <w:jc w:val="center"/>
            </w:pPr>
            <w:r>
              <w:rPr>
                <w:color w:val="000000"/>
                <w:sz w:val="24"/>
                <w:szCs w:val="24"/>
              </w:rPr>
              <w:t>新天科技</w:t>
            </w:r>
          </w:p>
        </w:tc>
        <w:tc>
          <w:tcPr>
            <w:vAlign w:val="center"/>
          </w:tcPr>
          <w:p>
            <w:pPr>
              <w:jc w:val="right"/>
            </w:pPr>
            <w:r>
              <w:rPr>
                <w:color w:val="000000"/>
                <w:sz w:val="24"/>
                <w:szCs w:val="24"/>
              </w:rPr>
              <w:t>130,000</w:t>
            </w:r>
          </w:p>
        </w:tc>
        <w:tc>
          <w:tcPr>
            <w:vAlign w:val="center"/>
          </w:tcPr>
          <w:p>
            <w:pPr>
              <w:jc w:val="right"/>
            </w:pPr>
            <w:r>
              <w:rPr>
                <w:color w:val="000000"/>
                <w:sz w:val="24"/>
                <w:szCs w:val="24"/>
              </w:rPr>
              <w:t>751,400.00</w:t>
            </w:r>
          </w:p>
        </w:tc>
        <w:tc>
          <w:tcPr>
            <w:vAlign w:val="center"/>
          </w:tcPr>
          <w:p>
            <w:pPr>
              <w:jc w:val="right"/>
            </w:pPr>
            <w:r>
              <w:rPr>
                <w:color w:val="000000"/>
                <w:sz w:val="24"/>
                <w:szCs w:val="24"/>
              </w:rPr>
              <w:t>0.57</w:t>
            </w:r>
          </w:p>
        </w:tc>
      </w:tr>
      <w:tr>
        <w:tc>
          <w:tcPr>
            <w:vAlign w:val="center"/>
          </w:tcPr>
          <w:p>
            <w:pPr>
              <w:jc w:val="center"/>
            </w:pPr>
            <w:r>
              <w:rPr>
                <w:color w:val="000000"/>
                <w:sz w:val="24"/>
                <w:szCs w:val="24"/>
              </w:rPr>
              <w:t>7</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18,700</w:t>
            </w:r>
          </w:p>
        </w:tc>
        <w:tc>
          <w:tcPr>
            <w:vAlign w:val="center"/>
          </w:tcPr>
          <w:p>
            <w:pPr>
              <w:jc w:val="right"/>
            </w:pPr>
            <w:r>
              <w:rPr>
                <w:color w:val="000000"/>
                <w:sz w:val="24"/>
                <w:szCs w:val="24"/>
              </w:rPr>
              <w:t>699,941.00</w:t>
            </w:r>
          </w:p>
        </w:tc>
        <w:tc>
          <w:tcPr>
            <w:vAlign w:val="center"/>
          </w:tcPr>
          <w:p>
            <w:pPr>
              <w:jc w:val="right"/>
            </w:pPr>
            <w:r>
              <w:rPr>
                <w:color w:val="000000"/>
                <w:sz w:val="24"/>
                <w:szCs w:val="24"/>
              </w:rPr>
              <w:t>0.53</w:t>
            </w:r>
          </w:p>
        </w:tc>
      </w:tr>
      <w:tr>
        <w:tc>
          <w:tcPr>
            <w:vAlign w:val="center"/>
          </w:tcPr>
          <w:p>
            <w:pPr>
              <w:jc w:val="center"/>
            </w:pPr>
            <w:r>
              <w:rPr>
                <w:color w:val="000000"/>
                <w:sz w:val="24"/>
                <w:szCs w:val="24"/>
              </w:rPr>
              <w:t>8</w:t>
            </w:r>
          </w:p>
        </w:tc>
        <w:tc>
          <w:tcPr>
            <w:vAlign w:val="center"/>
          </w:tcPr>
          <w:p>
            <w:pPr>
              <w:jc w:val="center"/>
            </w:pPr>
            <w:r>
              <w:rPr>
                <w:color w:val="000000"/>
                <w:sz w:val="24"/>
                <w:szCs w:val="24"/>
              </w:rPr>
              <w:t>600273</w:t>
            </w:r>
          </w:p>
        </w:tc>
        <w:tc>
          <w:tcPr>
            <w:vAlign w:val="center"/>
          </w:tcPr>
          <w:p>
            <w:pPr>
              <w:jc w:val="center"/>
            </w:pPr>
            <w:r>
              <w:rPr>
                <w:color w:val="000000"/>
                <w:sz w:val="24"/>
                <w:szCs w:val="24"/>
              </w:rPr>
              <w:t>嘉化能源</w:t>
            </w:r>
          </w:p>
        </w:tc>
        <w:tc>
          <w:tcPr>
            <w:vAlign w:val="center"/>
          </w:tcPr>
          <w:p>
            <w:pPr>
              <w:jc w:val="right"/>
            </w:pPr>
            <w:r>
              <w:rPr>
                <w:color w:val="000000"/>
                <w:sz w:val="24"/>
                <w:szCs w:val="24"/>
              </w:rPr>
              <w:t>77,900</w:t>
            </w:r>
          </w:p>
        </w:tc>
        <w:tc>
          <w:tcPr>
            <w:vAlign w:val="center"/>
          </w:tcPr>
          <w:p>
            <w:pPr>
              <w:jc w:val="right"/>
            </w:pPr>
            <w:r>
              <w:rPr>
                <w:color w:val="000000"/>
                <w:sz w:val="24"/>
                <w:szCs w:val="24"/>
              </w:rPr>
              <w:t>680,846.00</w:t>
            </w:r>
          </w:p>
        </w:tc>
        <w:tc>
          <w:tcPr>
            <w:vAlign w:val="center"/>
          </w:tcPr>
          <w:p>
            <w:pPr>
              <w:jc w:val="right"/>
            </w:pPr>
            <w:r>
              <w:rPr>
                <w:color w:val="000000"/>
                <w:sz w:val="24"/>
                <w:szCs w:val="24"/>
              </w:rPr>
              <w:t>0.51</w:t>
            </w:r>
          </w:p>
        </w:tc>
      </w:tr>
      <w:tr>
        <w:tc>
          <w:tcPr>
            <w:vAlign w:val="center"/>
          </w:tcPr>
          <w:p>
            <w:pPr>
              <w:jc w:val="center"/>
            </w:pPr>
            <w:r>
              <w:rPr>
                <w:color w:val="000000"/>
                <w:sz w:val="24"/>
                <w:szCs w:val="24"/>
              </w:rPr>
              <w:t>9</w:t>
            </w:r>
          </w:p>
        </w:tc>
        <w:tc>
          <w:tcPr>
            <w:vAlign w:val="center"/>
          </w:tcPr>
          <w:p>
            <w:pPr>
              <w:jc w:val="center"/>
            </w:pPr>
            <w:r>
              <w:rPr>
                <w:color w:val="000000"/>
                <w:sz w:val="24"/>
                <w:szCs w:val="24"/>
              </w:rPr>
              <w:t>002120</w:t>
            </w:r>
          </w:p>
        </w:tc>
        <w:tc>
          <w:tcPr>
            <w:vAlign w:val="center"/>
          </w:tcPr>
          <w:p>
            <w:pPr>
              <w:jc w:val="center"/>
            </w:pPr>
            <w:r>
              <w:rPr>
                <w:color w:val="000000"/>
                <w:sz w:val="24"/>
                <w:szCs w:val="24"/>
              </w:rPr>
              <w:t>韵达股份</w:t>
            </w:r>
          </w:p>
        </w:tc>
        <w:tc>
          <w:tcPr>
            <w:vAlign w:val="center"/>
          </w:tcPr>
          <w:p>
            <w:pPr>
              <w:jc w:val="right"/>
            </w:pPr>
            <w:r>
              <w:rPr>
                <w:color w:val="000000"/>
                <w:sz w:val="24"/>
                <w:szCs w:val="24"/>
              </w:rPr>
              <w:t>27,690</w:t>
            </w:r>
          </w:p>
        </w:tc>
        <w:tc>
          <w:tcPr>
            <w:vAlign w:val="center"/>
          </w:tcPr>
          <w:p>
            <w:pPr>
              <w:jc w:val="right"/>
            </w:pPr>
            <w:r>
              <w:rPr>
                <w:color w:val="000000"/>
                <w:sz w:val="24"/>
                <w:szCs w:val="24"/>
              </w:rPr>
              <w:t>677,020.50</w:t>
            </w:r>
          </w:p>
        </w:tc>
        <w:tc>
          <w:tcPr>
            <w:vAlign w:val="center"/>
          </w:tcPr>
          <w:p>
            <w:pPr>
              <w:jc w:val="right"/>
            </w:pPr>
            <w:r>
              <w:rPr>
                <w:color w:val="000000"/>
                <w:sz w:val="24"/>
                <w:szCs w:val="24"/>
              </w:rPr>
              <w:t>0.51</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603856</w:t>
            </w:r>
          </w:p>
        </w:tc>
        <w:tc>
          <w:tcPr>
            <w:vAlign w:val="center"/>
          </w:tcPr>
          <w:p>
            <w:pPr>
              <w:jc w:val="center"/>
            </w:pPr>
            <w:r>
              <w:rPr>
                <w:color w:val="000000"/>
                <w:sz w:val="24"/>
                <w:szCs w:val="24"/>
              </w:rPr>
              <w:t>东宏股份</w:t>
            </w:r>
          </w:p>
        </w:tc>
        <w:tc>
          <w:tcPr>
            <w:vAlign w:val="center"/>
          </w:tcPr>
          <w:p>
            <w:pPr>
              <w:jc w:val="right"/>
            </w:pPr>
            <w:r>
              <w:rPr>
                <w:color w:val="000000"/>
                <w:sz w:val="24"/>
                <w:szCs w:val="24"/>
              </w:rPr>
              <w:t>43,500</w:t>
            </w:r>
          </w:p>
        </w:tc>
        <w:tc>
          <w:tcPr>
            <w:vAlign w:val="center"/>
          </w:tcPr>
          <w:p>
            <w:pPr>
              <w:jc w:val="right"/>
            </w:pPr>
            <w:r>
              <w:rPr>
                <w:color w:val="000000"/>
                <w:sz w:val="24"/>
                <w:szCs w:val="24"/>
              </w:rPr>
              <w:t>626,400.00</w:t>
            </w:r>
          </w:p>
        </w:tc>
        <w:tc>
          <w:tcPr>
            <w:vAlign w:val="center"/>
          </w:tcPr>
          <w:p>
            <w:pPr>
              <w:jc w:val="right"/>
            </w:pPr>
            <w:r>
              <w:rPr>
                <w:color w:val="000000"/>
                <w:sz w:val="24"/>
                <w:szCs w:val="24"/>
              </w:rPr>
              <w:t>0.47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15,516,232.50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11.67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85,691,812.50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64.47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85,691,812.50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64.47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10,149,000.00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7.64</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4,174,785.92</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115,531,830.92</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86.92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180203</w:t>
            </w:r>
          </w:p>
        </w:tc>
        <w:tc>
          <w:tcPr>
            <w:vAlign w:val="center"/>
          </w:tcPr>
          <w:p>
            <w:pPr>
              <w:jc w:val="center"/>
            </w:pPr>
            <w:r>
              <w:rPr>
                <w:color w:val="000000"/>
                <w:sz w:val="24"/>
                <w:szCs w:val="24"/>
              </w:rPr>
              <w:t>18国开03</w:t>
            </w:r>
          </w:p>
        </w:tc>
        <w:tc>
          <w:tcPr>
            <w:vAlign w:val="center"/>
          </w:tcPr>
          <w:p>
            <w:pPr>
              <w:jc w:val="right"/>
            </w:pPr>
            <w:r>
              <w:rPr>
                <w:color w:val="000000"/>
                <w:sz w:val="24"/>
                <w:szCs w:val="24"/>
              </w:rPr>
              <w:t>300,000</w:t>
            </w:r>
          </w:p>
        </w:tc>
        <w:tc>
          <w:tcPr>
            <w:vAlign w:val="center"/>
          </w:tcPr>
          <w:p>
            <w:pPr>
              <w:jc w:val="right"/>
            </w:pPr>
            <w:r>
              <w:rPr>
                <w:color w:val="000000"/>
                <w:sz w:val="24"/>
                <w:szCs w:val="24"/>
              </w:rPr>
              <w:t>30,492,000.00</w:t>
            </w:r>
          </w:p>
        </w:tc>
        <w:tc>
          <w:tcPr>
            <w:vAlign w:val="center"/>
          </w:tcPr>
          <w:p>
            <w:pPr>
              <w:jc w:val="right"/>
            </w:pPr>
            <w:r>
              <w:rPr>
                <w:color w:val="000000"/>
                <w:sz w:val="24"/>
                <w:szCs w:val="24"/>
              </w:rPr>
              <w:t>22.94</w:t>
            </w:r>
          </w:p>
        </w:tc>
      </w:tr>
      <w:tr>
        <w:tc>
          <w:tcPr>
            <w:vAlign w:val="center"/>
          </w:tcPr>
          <w:p>
            <w:pPr>
              <w:jc w:val="center"/>
            </w:pPr>
            <w:r>
              <w:rPr>
                <w:color w:val="000000"/>
                <w:sz w:val="24"/>
                <w:szCs w:val="24"/>
              </w:rPr>
              <w:t>2</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200,000</w:t>
            </w:r>
          </w:p>
        </w:tc>
        <w:tc>
          <w:tcPr>
            <w:vAlign w:val="center"/>
          </w:tcPr>
          <w:p>
            <w:pPr>
              <w:jc w:val="right"/>
            </w:pPr>
            <w:r>
              <w:rPr>
                <w:color w:val="000000"/>
                <w:sz w:val="24"/>
                <w:szCs w:val="24"/>
              </w:rPr>
              <w:t>20,302,000.00</w:t>
            </w:r>
          </w:p>
        </w:tc>
        <w:tc>
          <w:tcPr>
            <w:vAlign w:val="center"/>
          </w:tcPr>
          <w:p>
            <w:pPr>
              <w:jc w:val="right"/>
            </w:pPr>
            <w:r>
              <w:rPr>
                <w:color w:val="000000"/>
                <w:sz w:val="24"/>
                <w:szCs w:val="24"/>
              </w:rPr>
              <w:t>15.27</w:t>
            </w:r>
          </w:p>
        </w:tc>
      </w:tr>
      <w:tr>
        <w:tc>
          <w:tcPr>
            <w:vAlign w:val="center"/>
          </w:tcPr>
          <w:p>
            <w:pPr>
              <w:jc w:val="center"/>
            </w:pPr>
            <w:r>
              <w:rPr>
                <w:color w:val="000000"/>
                <w:sz w:val="24"/>
                <w:szCs w:val="24"/>
              </w:rPr>
              <w:t>3</w:t>
            </w:r>
          </w:p>
        </w:tc>
        <w:tc>
          <w:tcPr>
            <w:vAlign w:val="center"/>
          </w:tcPr>
          <w:p>
            <w:pPr>
              <w:jc w:val="center"/>
            </w:pPr>
            <w:r>
              <w:rPr>
                <w:color w:val="000000"/>
                <w:sz w:val="24"/>
                <w:szCs w:val="24"/>
              </w:rPr>
              <w:t>190202</w:t>
            </w:r>
          </w:p>
        </w:tc>
        <w:tc>
          <w:tcPr>
            <w:vAlign w:val="center"/>
          </w:tcPr>
          <w:p>
            <w:pPr>
              <w:jc w:val="center"/>
            </w:pPr>
            <w:r>
              <w:rPr>
                <w:color w:val="000000"/>
                <w:sz w:val="24"/>
                <w:szCs w:val="24"/>
              </w:rPr>
              <w:t>19国开02</w:t>
            </w:r>
          </w:p>
        </w:tc>
        <w:tc>
          <w:tcPr>
            <w:vAlign w:val="center"/>
          </w:tcPr>
          <w:p>
            <w:pPr>
              <w:jc w:val="right"/>
            </w:pPr>
            <w:r>
              <w:rPr>
                <w:color w:val="000000"/>
                <w:sz w:val="24"/>
                <w:szCs w:val="24"/>
              </w:rPr>
              <w:t>200,000</w:t>
            </w:r>
          </w:p>
        </w:tc>
        <w:tc>
          <w:tcPr>
            <w:vAlign w:val="center"/>
          </w:tcPr>
          <w:p>
            <w:pPr>
              <w:jc w:val="right"/>
            </w:pPr>
            <w:r>
              <w:rPr>
                <w:color w:val="000000"/>
                <w:sz w:val="24"/>
                <w:szCs w:val="24"/>
              </w:rPr>
              <w:t>20,180,000.00</w:t>
            </w:r>
          </w:p>
        </w:tc>
        <w:tc>
          <w:tcPr>
            <w:vAlign w:val="center"/>
          </w:tcPr>
          <w:p>
            <w:pPr>
              <w:jc w:val="right"/>
            </w:pPr>
            <w:r>
              <w:rPr>
                <w:color w:val="000000"/>
                <w:sz w:val="24"/>
                <w:szCs w:val="24"/>
              </w:rPr>
              <w:t>15.18</w:t>
            </w:r>
          </w:p>
        </w:tc>
      </w:tr>
      <w:tr>
        <w:tc>
          <w:tcPr>
            <w:vAlign w:val="center"/>
          </w:tcPr>
          <w:p>
            <w:pPr>
              <w:jc w:val="center"/>
            </w:pPr>
            <w:r>
              <w:rPr>
                <w:color w:val="000000"/>
                <w:sz w:val="24"/>
                <w:szCs w:val="24"/>
              </w:rPr>
              <w:t>4</w:t>
            </w:r>
          </w:p>
        </w:tc>
        <w:tc>
          <w:tcPr>
            <w:vAlign w:val="center"/>
          </w:tcPr>
          <w:p>
            <w:pPr>
              <w:jc w:val="center"/>
            </w:pPr>
            <w:r>
              <w:rPr>
                <w:color w:val="000000"/>
                <w:sz w:val="24"/>
                <w:szCs w:val="24"/>
              </w:rPr>
              <w:t>190015</w:t>
            </w:r>
          </w:p>
        </w:tc>
        <w:tc>
          <w:tcPr>
            <w:vAlign w:val="center"/>
          </w:tcPr>
          <w:p>
            <w:pPr>
              <w:jc w:val="center"/>
            </w:pPr>
            <w:r>
              <w:rPr>
                <w:color w:val="000000"/>
                <w:sz w:val="24"/>
                <w:szCs w:val="24"/>
              </w:rPr>
              <w:t>19附息国债15</w:t>
            </w:r>
          </w:p>
        </w:tc>
        <w:tc>
          <w:tcPr>
            <w:vAlign w:val="center"/>
          </w:tcPr>
          <w:p>
            <w:pPr>
              <w:jc w:val="right"/>
            </w:pPr>
            <w:r>
              <w:rPr>
                <w:color w:val="000000"/>
                <w:sz w:val="24"/>
                <w:szCs w:val="24"/>
              </w:rPr>
              <w:t>100,000</w:t>
            </w:r>
          </w:p>
        </w:tc>
        <w:tc>
          <w:tcPr>
            <w:vAlign w:val="center"/>
          </w:tcPr>
          <w:p>
            <w:pPr>
              <w:jc w:val="right"/>
            </w:pPr>
            <w:r>
              <w:rPr>
                <w:color w:val="000000"/>
                <w:sz w:val="24"/>
                <w:szCs w:val="24"/>
              </w:rPr>
              <w:t>10,225,000.00</w:t>
            </w:r>
          </w:p>
        </w:tc>
        <w:tc>
          <w:tcPr>
            <w:vAlign w:val="center"/>
          </w:tcPr>
          <w:p>
            <w:pPr>
              <w:jc w:val="right"/>
            </w:pPr>
            <w:r>
              <w:rPr>
                <w:color w:val="000000"/>
                <w:sz w:val="24"/>
                <w:szCs w:val="24"/>
              </w:rPr>
              <w:t>7.69</w:t>
            </w:r>
          </w:p>
        </w:tc>
      </w:tr>
      <w:tr>
        <w:tc>
          <w:tcPr>
            <w:vAlign w:val="center"/>
          </w:tcPr>
          <w:p>
            <w:pPr>
              <w:jc w:val="center"/>
            </w:pPr>
            <w:r>
              <w:rPr>
                <w:color w:val="000000"/>
                <w:sz w:val="24"/>
                <w:szCs w:val="24"/>
              </w:rPr>
              <w:t>5</w:t>
            </w:r>
          </w:p>
        </w:tc>
        <w:tc>
          <w:tcPr>
            <w:vAlign w:val="center"/>
          </w:tcPr>
          <w:p>
            <w:pPr>
              <w:jc w:val="center"/>
            </w:pPr>
            <w:r>
              <w:rPr>
                <w:color w:val="000000"/>
                <w:sz w:val="24"/>
                <w:szCs w:val="24"/>
              </w:rPr>
              <w:t>101900715</w:t>
            </w:r>
          </w:p>
        </w:tc>
        <w:tc>
          <w:tcPr>
            <w:vAlign w:val="center"/>
          </w:tcPr>
          <w:p>
            <w:pPr>
              <w:jc w:val="center"/>
            </w:pPr>
            <w:r>
              <w:rPr>
                <w:color w:val="000000"/>
                <w:sz w:val="24"/>
                <w:szCs w:val="24"/>
              </w:rPr>
              <w:t>19中电投MTN008A</w:t>
            </w:r>
          </w:p>
        </w:tc>
        <w:tc>
          <w:tcPr>
            <w:vAlign w:val="center"/>
          </w:tcPr>
          <w:p>
            <w:pPr>
              <w:jc w:val="right"/>
            </w:pPr>
            <w:r>
              <w:rPr>
                <w:color w:val="000000"/>
                <w:sz w:val="24"/>
                <w:szCs w:val="24"/>
              </w:rPr>
              <w:t>100,000</w:t>
            </w:r>
          </w:p>
        </w:tc>
        <w:tc>
          <w:tcPr>
            <w:vAlign w:val="center"/>
          </w:tcPr>
          <w:p>
            <w:pPr>
              <w:jc w:val="right"/>
            </w:pPr>
            <w:r>
              <w:rPr>
                <w:color w:val="000000"/>
                <w:sz w:val="24"/>
                <w:szCs w:val="24"/>
              </w:rPr>
              <w:t>10,149,000.00</w:t>
            </w:r>
          </w:p>
        </w:tc>
        <w:tc>
          <w:tcPr>
            <w:vAlign w:val="center"/>
          </w:tcPr>
          <w:p>
            <w:pPr>
              <w:jc w:val="right"/>
            </w:pPr>
            <w:r>
              <w:rPr>
                <w:color w:val="000000"/>
                <w:sz w:val="24"/>
                <w:szCs w:val="24"/>
              </w:rPr>
              <w:t>7.64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29,858.03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667,519.43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1,338,568.23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705.86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2,036,651.55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132018</w:t>
            </w:r>
          </w:p>
        </w:tc>
        <w:tc>
          <w:tcPr>
            <w:vAlign w:val="center"/>
          </w:tcPr>
          <w:p>
            <w:pPr>
              <w:jc w:val="center"/>
            </w:pPr>
            <w:r>
              <w:rPr>
                <w:color w:val="000000"/>
                <w:sz w:val="24"/>
                <w:szCs w:val="24"/>
              </w:rPr>
              <w:t>G三峡EB1</w:t>
            </w:r>
          </w:p>
        </w:tc>
        <w:tc>
          <w:tcPr>
            <w:vAlign w:val="center"/>
          </w:tcPr>
          <w:p>
            <w:pPr>
              <w:jc w:val="right"/>
            </w:pPr>
            <w:r>
              <w:rPr>
                <w:color w:val="000000"/>
                <w:sz w:val="24"/>
                <w:szCs w:val="24"/>
              </w:rPr>
              <w:t>2,351,242.40</w:t>
            </w:r>
          </w:p>
        </w:tc>
        <w:tc>
          <w:tcPr>
            <w:vAlign w:val="center"/>
          </w:tcPr>
          <w:p>
            <w:pPr>
              <w:jc w:val="right"/>
            </w:pPr>
            <w:r>
              <w:rPr>
                <w:color w:val="000000"/>
                <w:sz w:val="24"/>
                <w:szCs w:val="24"/>
              </w:rPr>
              <w:t>1.77</w:t>
            </w:r>
          </w:p>
        </w:tc>
      </w:tr>
      <w:tr>
        <w:tc>
          <w:tcPr>
            <w:vAlign w:val="center"/>
          </w:tcPr>
          <w:p>
            <w:pPr>
              <w:jc w:val="center"/>
            </w:pPr>
            <w:r>
              <w:rPr>
                <w:color w:val="000000"/>
                <w:sz w:val="24"/>
                <w:szCs w:val="24"/>
              </w:rPr>
              <w:t>2</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1,420,807.50</w:t>
            </w:r>
          </w:p>
        </w:tc>
        <w:tc>
          <w:tcPr>
            <w:vAlign w:val="center"/>
          </w:tcPr>
          <w:p>
            <w:pPr>
              <w:jc w:val="right"/>
            </w:pPr>
            <w:r>
              <w:rPr>
                <w:color w:val="000000"/>
                <w:sz w:val="24"/>
                <w:szCs w:val="24"/>
              </w:rPr>
              <w:t>1.07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128,034,909.35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65,723.64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2,816,348.86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125,284,284.13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34.17%</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47,258,034.03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47,258,034.03</w:t>
            </w:r>
          </w:p>
        </w:tc>
        <w:tc>
          <w:tcPr>
            <w:vAlign w:val="center"/>
          </w:tcPr>
          <w:p>
            <w:pPr>
              <w:jc w:val="center"/>
            </w:pPr>
            <w:r>
              <w:rPr>
                <w:rFonts w:ascii="宋体" w:hAnsi="宋体"/>
                <w:color w:val="000000"/>
                <w:kern w:val="0"/>
              </w:rPr>
              <w:t>37.72%</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交银施罗德安心收益债券型证券投资基金2020年第2季度报告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