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交银施罗德持续成长主题混合型证券投资基金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基金托管人：中国工商银行股份有限公司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二〇二〇年七月二十一日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6B7D82" w:rsidRDefault="0071631A">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交银持续成长主题混合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005001</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005001</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2018</w:t>
            </w:r>
            <w:r w:rsidRPr="00414345">
              <w:rPr>
                <w:color w:val="000000"/>
                <w:kern w:val="0"/>
                <w:sz w:val="24"/>
                <w:szCs w:val="24"/>
              </w:rPr>
              <w:t>年</w:t>
            </w:r>
            <w:r w:rsidRPr="00414345">
              <w:rPr>
                <w:color w:val="000000"/>
                <w:kern w:val="0"/>
                <w:sz w:val="24"/>
                <w:szCs w:val="24"/>
              </w:rPr>
              <w:t>1</w:t>
            </w:r>
            <w:r w:rsidRPr="00414345">
              <w:rPr>
                <w:color w:val="000000"/>
                <w:kern w:val="0"/>
                <w:sz w:val="24"/>
                <w:szCs w:val="24"/>
              </w:rPr>
              <w:t>月</w:t>
            </w:r>
            <w:r w:rsidRPr="00414345">
              <w:rPr>
                <w:color w:val="000000"/>
                <w:kern w:val="0"/>
                <w:sz w:val="24"/>
                <w:szCs w:val="24"/>
              </w:rPr>
              <w:t>12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2,159,320,654.94</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本基金在有效控制组合风险并保持良好流动性的前提下，把握市场发展趋势，通过专业化研究分析，重点投资具备充分成长空间和拥有持续成长性的上市公司，力争实现基金资产的长期稳定增值。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定量与定性相结合的评价方法，评估其行业的持续成长性。通过对消费者需求变化趋势、产业结构变迁、全球技术创新和商业模式演化等多因素的分析和预测，得出各行业的相对投资价值与投资时机。除行业的持续成长性评估之外，本基金将基于对相关个股深入的基本面研究和细致的实地调研，结合交银施罗德企业成长性评价体系从行业前景、公司质量和成长性质量等方面对上市公司的持续成长性进行综合</w:t>
            </w:r>
            <w:r w:rsidRPr="00414345">
              <w:rPr>
                <w:color w:val="000000"/>
                <w:kern w:val="0"/>
                <w:sz w:val="24"/>
                <w:szCs w:val="24"/>
              </w:rPr>
              <w:lastRenderedPageBreak/>
              <w:t>评价，精选个股，力争实现基金资产的长期稳定增值。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中国工商银行股份有限公司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1631A" w:rsidRPr="00414345" w:rsidTr="0071631A">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71631A" w:rsidRPr="00414345" w:rsidTr="0071631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138,101,891.41</w:t>
            </w:r>
          </w:p>
        </w:tc>
      </w:tr>
      <w:tr w:rsidR="0071631A" w:rsidRPr="00414345" w:rsidTr="0071631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454,810,581.80</w:t>
            </w:r>
          </w:p>
        </w:tc>
      </w:tr>
      <w:tr w:rsidR="0071631A" w:rsidRPr="00414345" w:rsidTr="0071631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0.1893</w:t>
            </w:r>
          </w:p>
        </w:tc>
      </w:tr>
      <w:tr w:rsidR="0071631A" w:rsidRPr="00414345" w:rsidTr="0071631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3,316,765,159.52</w:t>
            </w:r>
          </w:p>
        </w:tc>
      </w:tr>
      <w:tr w:rsidR="0071631A" w:rsidRPr="00414345" w:rsidTr="0071631A">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1.5360</w:t>
            </w:r>
          </w:p>
        </w:tc>
      </w:tr>
    </w:tbl>
    <w:p w:rsidR="006B7D82" w:rsidRDefault="0071631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6B7D82" w:rsidRDefault="0071631A">
      <w:pPr>
        <w:autoSpaceDE w:val="0"/>
        <w:autoSpaceDN w:val="0"/>
        <w:adjustRightInd w:val="0"/>
        <w:spacing w:before="29" w:line="288" w:lineRule="auto"/>
        <w:jc w:val="left"/>
        <w:rPr>
          <w:color w:val="000000"/>
          <w:sz w:val="24"/>
          <w:szCs w:val="24"/>
        </w:rPr>
      </w:pPr>
      <w:r>
        <w:rPr>
          <w:color w:val="000000"/>
          <w:sz w:val="24"/>
          <w:szCs w:val="24"/>
        </w:rPr>
        <w:t xml:space="preserve">    2</w:t>
      </w:r>
      <w:r>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6B7D82">
        <w:trPr>
          <w:jc w:val="center"/>
        </w:trPr>
        <w:tc>
          <w:tcPr>
            <w:tcW w:w="1701" w:type="dxa"/>
            <w:vAlign w:val="center"/>
          </w:tcPr>
          <w:p w:rsidR="006B7D82" w:rsidRDefault="0071631A">
            <w:pPr>
              <w:jc w:val="left"/>
            </w:pPr>
            <w:r>
              <w:rPr>
                <w:color w:val="000000"/>
                <w:sz w:val="24"/>
                <w:szCs w:val="24"/>
              </w:rPr>
              <w:t>过去三个月</w:t>
            </w:r>
          </w:p>
        </w:tc>
        <w:tc>
          <w:tcPr>
            <w:tcW w:w="1045" w:type="dxa"/>
            <w:vAlign w:val="center"/>
          </w:tcPr>
          <w:p w:rsidR="006B7D82" w:rsidRDefault="0071631A">
            <w:pPr>
              <w:jc w:val="center"/>
            </w:pPr>
            <w:r>
              <w:rPr>
                <w:color w:val="000000"/>
                <w:sz w:val="24"/>
                <w:szCs w:val="24"/>
              </w:rPr>
              <w:t>14.32%</w:t>
            </w:r>
          </w:p>
        </w:tc>
        <w:tc>
          <w:tcPr>
            <w:tcW w:w="1344" w:type="dxa"/>
            <w:vAlign w:val="center"/>
          </w:tcPr>
          <w:p w:rsidR="006B7D82" w:rsidRDefault="0071631A">
            <w:pPr>
              <w:jc w:val="center"/>
            </w:pPr>
            <w:r>
              <w:rPr>
                <w:color w:val="000000"/>
                <w:sz w:val="24"/>
                <w:szCs w:val="24"/>
              </w:rPr>
              <w:t>0.70%</w:t>
            </w:r>
          </w:p>
        </w:tc>
        <w:tc>
          <w:tcPr>
            <w:tcW w:w="1194" w:type="dxa"/>
            <w:vAlign w:val="center"/>
          </w:tcPr>
          <w:p w:rsidR="006B7D82" w:rsidRDefault="0071631A">
            <w:pPr>
              <w:jc w:val="center"/>
            </w:pPr>
            <w:r>
              <w:rPr>
                <w:color w:val="000000"/>
                <w:sz w:val="24"/>
                <w:szCs w:val="24"/>
              </w:rPr>
              <w:t>9.55%</w:t>
            </w:r>
          </w:p>
        </w:tc>
        <w:tc>
          <w:tcPr>
            <w:tcW w:w="1492" w:type="dxa"/>
            <w:vAlign w:val="center"/>
          </w:tcPr>
          <w:p w:rsidR="006B7D82" w:rsidRDefault="0071631A">
            <w:pPr>
              <w:jc w:val="center"/>
            </w:pPr>
            <w:r>
              <w:rPr>
                <w:color w:val="000000"/>
                <w:sz w:val="24"/>
                <w:szCs w:val="24"/>
              </w:rPr>
              <w:t>0.67%</w:t>
            </w:r>
          </w:p>
        </w:tc>
        <w:tc>
          <w:tcPr>
            <w:tcW w:w="1194" w:type="dxa"/>
            <w:vAlign w:val="center"/>
          </w:tcPr>
          <w:p w:rsidR="006B7D82" w:rsidRDefault="0071631A">
            <w:pPr>
              <w:jc w:val="center"/>
            </w:pPr>
            <w:r>
              <w:rPr>
                <w:color w:val="000000"/>
                <w:sz w:val="24"/>
                <w:szCs w:val="24"/>
              </w:rPr>
              <w:t>4.77%</w:t>
            </w:r>
          </w:p>
        </w:tc>
        <w:tc>
          <w:tcPr>
            <w:tcW w:w="898" w:type="dxa"/>
            <w:vAlign w:val="center"/>
          </w:tcPr>
          <w:p w:rsidR="006B7D82" w:rsidRDefault="0071631A">
            <w:pPr>
              <w:jc w:val="center"/>
            </w:pPr>
            <w:r>
              <w:rPr>
                <w:color w:val="000000"/>
                <w:sz w:val="24"/>
                <w:szCs w:val="24"/>
              </w:rPr>
              <w:t>0.03%</w:t>
            </w:r>
          </w:p>
        </w:tc>
      </w:tr>
      <w:tr w:rsidR="006B7D82">
        <w:trPr>
          <w:jc w:val="center"/>
        </w:trPr>
        <w:tc>
          <w:tcPr>
            <w:tcW w:w="1701" w:type="dxa"/>
            <w:vAlign w:val="center"/>
          </w:tcPr>
          <w:p w:rsidR="006B7D82" w:rsidRDefault="0071631A">
            <w:pPr>
              <w:jc w:val="left"/>
            </w:pPr>
            <w:r>
              <w:rPr>
                <w:color w:val="000000"/>
                <w:sz w:val="24"/>
                <w:szCs w:val="24"/>
              </w:rPr>
              <w:t>过去六个月</w:t>
            </w:r>
          </w:p>
        </w:tc>
        <w:tc>
          <w:tcPr>
            <w:tcW w:w="1045" w:type="dxa"/>
            <w:vAlign w:val="center"/>
          </w:tcPr>
          <w:p w:rsidR="006B7D82" w:rsidRDefault="0071631A">
            <w:pPr>
              <w:jc w:val="center"/>
            </w:pPr>
            <w:r>
              <w:rPr>
                <w:color w:val="000000"/>
                <w:sz w:val="24"/>
                <w:szCs w:val="24"/>
              </w:rPr>
              <w:t>14.72%</w:t>
            </w:r>
          </w:p>
        </w:tc>
        <w:tc>
          <w:tcPr>
            <w:tcW w:w="1344" w:type="dxa"/>
            <w:vAlign w:val="center"/>
          </w:tcPr>
          <w:p w:rsidR="006B7D82" w:rsidRDefault="0071631A">
            <w:pPr>
              <w:jc w:val="center"/>
            </w:pPr>
            <w:r>
              <w:rPr>
                <w:color w:val="000000"/>
                <w:sz w:val="24"/>
                <w:szCs w:val="24"/>
              </w:rPr>
              <w:t>1.31%</w:t>
            </w:r>
          </w:p>
        </w:tc>
        <w:tc>
          <w:tcPr>
            <w:tcW w:w="1194" w:type="dxa"/>
            <w:vAlign w:val="center"/>
          </w:tcPr>
          <w:p w:rsidR="006B7D82" w:rsidRDefault="0071631A">
            <w:pPr>
              <w:jc w:val="center"/>
            </w:pPr>
            <w:r>
              <w:rPr>
                <w:color w:val="000000"/>
                <w:sz w:val="24"/>
                <w:szCs w:val="24"/>
              </w:rPr>
              <w:t>2.09%</w:t>
            </w:r>
          </w:p>
        </w:tc>
        <w:tc>
          <w:tcPr>
            <w:tcW w:w="1492" w:type="dxa"/>
            <w:vAlign w:val="center"/>
          </w:tcPr>
          <w:p w:rsidR="006B7D82" w:rsidRDefault="0071631A">
            <w:pPr>
              <w:jc w:val="center"/>
            </w:pPr>
            <w:r>
              <w:rPr>
                <w:color w:val="000000"/>
                <w:sz w:val="24"/>
                <w:szCs w:val="24"/>
              </w:rPr>
              <w:t>1.13%</w:t>
            </w:r>
          </w:p>
        </w:tc>
        <w:tc>
          <w:tcPr>
            <w:tcW w:w="1194" w:type="dxa"/>
            <w:vAlign w:val="center"/>
          </w:tcPr>
          <w:p w:rsidR="006B7D82" w:rsidRDefault="0071631A">
            <w:pPr>
              <w:jc w:val="center"/>
            </w:pPr>
            <w:r>
              <w:rPr>
                <w:color w:val="000000"/>
                <w:sz w:val="24"/>
                <w:szCs w:val="24"/>
              </w:rPr>
              <w:t>12.63%</w:t>
            </w:r>
          </w:p>
        </w:tc>
        <w:tc>
          <w:tcPr>
            <w:tcW w:w="898" w:type="dxa"/>
            <w:vAlign w:val="center"/>
          </w:tcPr>
          <w:p w:rsidR="006B7D82" w:rsidRDefault="0071631A">
            <w:pPr>
              <w:jc w:val="center"/>
            </w:pPr>
            <w:r>
              <w:rPr>
                <w:color w:val="000000"/>
                <w:sz w:val="24"/>
                <w:szCs w:val="24"/>
              </w:rPr>
              <w:t>0.18%</w:t>
            </w:r>
          </w:p>
        </w:tc>
      </w:tr>
      <w:tr w:rsidR="006B7D82">
        <w:trPr>
          <w:jc w:val="center"/>
        </w:trPr>
        <w:tc>
          <w:tcPr>
            <w:tcW w:w="1701" w:type="dxa"/>
            <w:vAlign w:val="center"/>
          </w:tcPr>
          <w:p w:rsidR="006B7D82" w:rsidRDefault="0071631A">
            <w:pPr>
              <w:jc w:val="left"/>
            </w:pPr>
            <w:r>
              <w:rPr>
                <w:color w:val="000000"/>
                <w:sz w:val="24"/>
                <w:szCs w:val="24"/>
              </w:rPr>
              <w:lastRenderedPageBreak/>
              <w:t>过去一年</w:t>
            </w:r>
          </w:p>
        </w:tc>
        <w:tc>
          <w:tcPr>
            <w:tcW w:w="1045" w:type="dxa"/>
            <w:vAlign w:val="center"/>
          </w:tcPr>
          <w:p w:rsidR="006B7D82" w:rsidRDefault="0071631A">
            <w:pPr>
              <w:jc w:val="center"/>
            </w:pPr>
            <w:r>
              <w:rPr>
                <w:color w:val="000000"/>
                <w:sz w:val="24"/>
                <w:szCs w:val="24"/>
              </w:rPr>
              <w:t>36.81%</w:t>
            </w:r>
          </w:p>
        </w:tc>
        <w:tc>
          <w:tcPr>
            <w:tcW w:w="1344" w:type="dxa"/>
            <w:vAlign w:val="center"/>
          </w:tcPr>
          <w:p w:rsidR="006B7D82" w:rsidRDefault="0071631A">
            <w:pPr>
              <w:jc w:val="center"/>
            </w:pPr>
            <w:r>
              <w:rPr>
                <w:color w:val="000000"/>
                <w:sz w:val="24"/>
                <w:szCs w:val="24"/>
              </w:rPr>
              <w:t>1.18%</w:t>
            </w:r>
          </w:p>
        </w:tc>
        <w:tc>
          <w:tcPr>
            <w:tcW w:w="1194" w:type="dxa"/>
            <w:vAlign w:val="center"/>
          </w:tcPr>
          <w:p w:rsidR="006B7D82" w:rsidRDefault="0071631A">
            <w:pPr>
              <w:jc w:val="center"/>
            </w:pPr>
            <w:r>
              <w:rPr>
                <w:color w:val="000000"/>
                <w:sz w:val="24"/>
                <w:szCs w:val="24"/>
              </w:rPr>
              <w:t>8.26%</w:t>
            </w:r>
          </w:p>
        </w:tc>
        <w:tc>
          <w:tcPr>
            <w:tcW w:w="1492" w:type="dxa"/>
            <w:vAlign w:val="center"/>
          </w:tcPr>
          <w:p w:rsidR="006B7D82" w:rsidRDefault="0071631A">
            <w:pPr>
              <w:jc w:val="center"/>
            </w:pPr>
            <w:r>
              <w:rPr>
                <w:color w:val="000000"/>
                <w:sz w:val="24"/>
                <w:szCs w:val="24"/>
              </w:rPr>
              <w:t>0.91%</w:t>
            </w:r>
          </w:p>
        </w:tc>
        <w:tc>
          <w:tcPr>
            <w:tcW w:w="1194" w:type="dxa"/>
            <w:vAlign w:val="center"/>
          </w:tcPr>
          <w:p w:rsidR="006B7D82" w:rsidRDefault="0071631A">
            <w:pPr>
              <w:jc w:val="center"/>
            </w:pPr>
            <w:r>
              <w:rPr>
                <w:color w:val="000000"/>
                <w:sz w:val="24"/>
                <w:szCs w:val="24"/>
              </w:rPr>
              <w:t>28.55%</w:t>
            </w:r>
          </w:p>
        </w:tc>
        <w:tc>
          <w:tcPr>
            <w:tcW w:w="898" w:type="dxa"/>
            <w:vAlign w:val="center"/>
          </w:tcPr>
          <w:p w:rsidR="006B7D82" w:rsidRDefault="0071631A">
            <w:pPr>
              <w:jc w:val="center"/>
            </w:pPr>
            <w:r>
              <w:rPr>
                <w:color w:val="000000"/>
                <w:sz w:val="24"/>
                <w:szCs w:val="24"/>
              </w:rPr>
              <w:t>0.27%</w:t>
            </w:r>
          </w:p>
        </w:tc>
      </w:tr>
      <w:tr w:rsidR="006B7D82">
        <w:trPr>
          <w:jc w:val="center"/>
        </w:trPr>
        <w:tc>
          <w:tcPr>
            <w:tcW w:w="1701" w:type="dxa"/>
            <w:vAlign w:val="center"/>
          </w:tcPr>
          <w:p w:rsidR="006B7D82" w:rsidRDefault="0071631A">
            <w:pPr>
              <w:jc w:val="left"/>
            </w:pPr>
            <w:r>
              <w:rPr>
                <w:color w:val="000000"/>
                <w:sz w:val="24"/>
                <w:szCs w:val="24"/>
              </w:rPr>
              <w:t>自基金合同生效起至今</w:t>
            </w:r>
          </w:p>
        </w:tc>
        <w:tc>
          <w:tcPr>
            <w:tcW w:w="1045" w:type="dxa"/>
            <w:vAlign w:val="center"/>
          </w:tcPr>
          <w:p w:rsidR="006B7D82" w:rsidRDefault="0071631A">
            <w:pPr>
              <w:jc w:val="center"/>
            </w:pPr>
            <w:r>
              <w:rPr>
                <w:color w:val="000000"/>
                <w:sz w:val="24"/>
                <w:szCs w:val="24"/>
              </w:rPr>
              <w:t>66.76%</w:t>
            </w:r>
          </w:p>
        </w:tc>
        <w:tc>
          <w:tcPr>
            <w:tcW w:w="1344" w:type="dxa"/>
            <w:vAlign w:val="center"/>
          </w:tcPr>
          <w:p w:rsidR="006B7D82" w:rsidRDefault="0071631A">
            <w:pPr>
              <w:jc w:val="center"/>
            </w:pPr>
            <w:r>
              <w:rPr>
                <w:color w:val="000000"/>
                <w:sz w:val="24"/>
                <w:szCs w:val="24"/>
              </w:rPr>
              <w:t>1.31%</w:t>
            </w:r>
          </w:p>
        </w:tc>
        <w:tc>
          <w:tcPr>
            <w:tcW w:w="1194" w:type="dxa"/>
            <w:vAlign w:val="center"/>
          </w:tcPr>
          <w:p w:rsidR="006B7D82" w:rsidRDefault="0071631A">
            <w:pPr>
              <w:jc w:val="center"/>
            </w:pPr>
            <w:r>
              <w:rPr>
                <w:color w:val="000000"/>
                <w:sz w:val="24"/>
                <w:szCs w:val="24"/>
              </w:rPr>
              <w:t>4.03%</w:t>
            </w:r>
          </w:p>
        </w:tc>
        <w:tc>
          <w:tcPr>
            <w:tcW w:w="1492" w:type="dxa"/>
            <w:vAlign w:val="center"/>
          </w:tcPr>
          <w:p w:rsidR="006B7D82" w:rsidRDefault="0071631A">
            <w:pPr>
              <w:jc w:val="center"/>
            </w:pPr>
            <w:r>
              <w:rPr>
                <w:color w:val="000000"/>
                <w:sz w:val="24"/>
                <w:szCs w:val="24"/>
              </w:rPr>
              <w:t>1.01%</w:t>
            </w:r>
          </w:p>
        </w:tc>
        <w:tc>
          <w:tcPr>
            <w:tcW w:w="1194" w:type="dxa"/>
            <w:vAlign w:val="center"/>
          </w:tcPr>
          <w:p w:rsidR="006B7D82" w:rsidRDefault="0071631A">
            <w:pPr>
              <w:jc w:val="center"/>
            </w:pPr>
            <w:r>
              <w:rPr>
                <w:color w:val="000000"/>
                <w:sz w:val="24"/>
                <w:szCs w:val="24"/>
              </w:rPr>
              <w:t>62.73%</w:t>
            </w:r>
          </w:p>
        </w:tc>
        <w:tc>
          <w:tcPr>
            <w:tcW w:w="898" w:type="dxa"/>
            <w:vAlign w:val="center"/>
          </w:tcPr>
          <w:p w:rsidR="006B7D82" w:rsidRDefault="0071631A">
            <w:pPr>
              <w:jc w:val="center"/>
            </w:pPr>
            <w:r>
              <w:rPr>
                <w:color w:val="000000"/>
                <w:sz w:val="24"/>
                <w:szCs w:val="24"/>
              </w:rPr>
              <w:t>0.30%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交银施罗德持续成长主题混合型证券投资基金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2018</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6B7D82">
        <w:trPr>
          <w:jc w:val="center"/>
        </w:trPr>
        <w:tc>
          <w:tcPr>
            <w:tcW w:w="846" w:type="dxa"/>
            <w:vAlign w:val="center"/>
          </w:tcPr>
          <w:p w:rsidR="006B7D82" w:rsidRDefault="0071631A">
            <w:pPr>
              <w:jc w:val="center"/>
            </w:pPr>
            <w:r>
              <w:rPr>
                <w:color w:val="000000"/>
                <w:sz w:val="24"/>
                <w:szCs w:val="24"/>
              </w:rPr>
              <w:t>何帅</w:t>
            </w:r>
          </w:p>
        </w:tc>
        <w:tc>
          <w:tcPr>
            <w:tcW w:w="845" w:type="dxa"/>
            <w:vAlign w:val="center"/>
          </w:tcPr>
          <w:p w:rsidR="006B7D82" w:rsidRDefault="0071631A">
            <w:pPr>
              <w:jc w:val="center"/>
            </w:pPr>
            <w:r>
              <w:rPr>
                <w:color w:val="000000"/>
                <w:sz w:val="24"/>
                <w:szCs w:val="24"/>
              </w:rPr>
              <w:t>交银优势行业</w:t>
            </w:r>
            <w:r>
              <w:rPr>
                <w:color w:val="000000"/>
                <w:sz w:val="24"/>
                <w:szCs w:val="24"/>
              </w:rPr>
              <w:lastRenderedPageBreak/>
              <w:t>混合、交银阿尔法核心混合、交银持续成长主题混合的基金经理</w:t>
            </w:r>
          </w:p>
        </w:tc>
        <w:tc>
          <w:tcPr>
            <w:tcW w:w="1549" w:type="dxa"/>
            <w:vAlign w:val="center"/>
          </w:tcPr>
          <w:p w:rsidR="006B7D82" w:rsidRDefault="0071631A">
            <w:pPr>
              <w:jc w:val="center"/>
            </w:pPr>
            <w:r>
              <w:rPr>
                <w:color w:val="000000"/>
                <w:sz w:val="24"/>
                <w:szCs w:val="24"/>
              </w:rPr>
              <w:lastRenderedPageBreak/>
              <w:t>2018-01-12</w:t>
            </w:r>
          </w:p>
        </w:tc>
        <w:tc>
          <w:tcPr>
            <w:tcW w:w="1548" w:type="dxa"/>
            <w:vAlign w:val="center"/>
          </w:tcPr>
          <w:p w:rsidR="006B7D82" w:rsidRDefault="0071631A">
            <w:pPr>
              <w:jc w:val="center"/>
            </w:pPr>
            <w:r>
              <w:rPr>
                <w:color w:val="000000"/>
                <w:sz w:val="24"/>
                <w:szCs w:val="24"/>
              </w:rPr>
              <w:t>-</w:t>
            </w:r>
          </w:p>
        </w:tc>
        <w:tc>
          <w:tcPr>
            <w:tcW w:w="1407" w:type="dxa"/>
            <w:vAlign w:val="center"/>
          </w:tcPr>
          <w:p w:rsidR="006B7D82" w:rsidRDefault="0071631A">
            <w:pPr>
              <w:jc w:val="center"/>
            </w:pPr>
            <w:r>
              <w:rPr>
                <w:color w:val="000000"/>
                <w:sz w:val="24"/>
                <w:szCs w:val="24"/>
              </w:rPr>
              <w:t>10</w:t>
            </w:r>
            <w:r>
              <w:rPr>
                <w:color w:val="000000"/>
                <w:sz w:val="24"/>
                <w:szCs w:val="24"/>
              </w:rPr>
              <w:t>年</w:t>
            </w:r>
          </w:p>
        </w:tc>
        <w:tc>
          <w:tcPr>
            <w:tcW w:w="2673" w:type="dxa"/>
            <w:vAlign w:val="center"/>
          </w:tcPr>
          <w:p w:rsidR="006B7D82" w:rsidRDefault="0071631A">
            <w:r>
              <w:rPr>
                <w:color w:val="000000"/>
                <w:sz w:val="24"/>
                <w:szCs w:val="24"/>
              </w:rPr>
              <w:t>何帅先生，上海财经大学硕士。历任国联安基金管理有限公司研究</w:t>
            </w:r>
            <w:r>
              <w:rPr>
                <w:color w:val="000000"/>
                <w:sz w:val="24"/>
                <w:szCs w:val="24"/>
              </w:rPr>
              <w:lastRenderedPageBreak/>
              <w:t>员。</w:t>
            </w:r>
            <w:r>
              <w:rPr>
                <w:color w:val="000000"/>
                <w:sz w:val="24"/>
                <w:szCs w:val="24"/>
              </w:rPr>
              <w:t>2012</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6B7D82" w:rsidRDefault="0071631A">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6B7D82" w:rsidRDefault="0071631A">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w:t>
      </w:r>
      <w:r>
        <w:rPr>
          <w:color w:val="000000"/>
          <w:sz w:val="24"/>
          <w:szCs w:val="24"/>
        </w:rPr>
        <w:t>按事前独立确定的投资方案对交易结果进行分配。</w:t>
      </w:r>
    </w:p>
    <w:p w:rsidR="006B7D82" w:rsidRDefault="0071631A">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6B7D82" w:rsidRDefault="0071631A">
      <w:pPr>
        <w:spacing w:before="29" w:line="288" w:lineRule="auto"/>
        <w:ind w:firstLineChars="200" w:firstLine="480"/>
        <w:rPr>
          <w:color w:val="000000"/>
          <w:sz w:val="24"/>
          <w:szCs w:val="24"/>
        </w:rPr>
      </w:pPr>
      <w:r>
        <w:rPr>
          <w:color w:val="000000"/>
          <w:sz w:val="24"/>
          <w:szCs w:val="24"/>
        </w:rPr>
        <w:t>2020</w:t>
      </w:r>
      <w:r>
        <w:rPr>
          <w:color w:val="000000"/>
          <w:sz w:val="24"/>
          <w:szCs w:val="24"/>
        </w:rPr>
        <w:t>年二季度市场表现较为</w:t>
      </w:r>
      <w:r>
        <w:rPr>
          <w:color w:val="000000"/>
          <w:sz w:val="24"/>
          <w:szCs w:val="24"/>
        </w:rPr>
        <w:t>“</w:t>
      </w:r>
      <w:r>
        <w:rPr>
          <w:color w:val="000000"/>
          <w:sz w:val="24"/>
          <w:szCs w:val="24"/>
        </w:rPr>
        <w:t>极致</w:t>
      </w:r>
      <w:r>
        <w:rPr>
          <w:color w:val="000000"/>
          <w:sz w:val="24"/>
          <w:szCs w:val="24"/>
        </w:rPr>
        <w:t>”</w:t>
      </w:r>
      <w:r>
        <w:rPr>
          <w:color w:val="000000"/>
          <w:sz w:val="24"/>
          <w:szCs w:val="24"/>
        </w:rPr>
        <w:t>，医药、消费、科技等行业估值持续提升，金融、地产等低估值行业表现较为平淡。比如上半年医药指数上涨</w:t>
      </w:r>
      <w:r>
        <w:rPr>
          <w:color w:val="000000"/>
          <w:sz w:val="24"/>
          <w:szCs w:val="24"/>
        </w:rPr>
        <w:t>40%</w:t>
      </w:r>
      <w:r>
        <w:rPr>
          <w:color w:val="000000"/>
          <w:sz w:val="24"/>
          <w:szCs w:val="24"/>
        </w:rPr>
        <w:t>，而地产指数下跌</w:t>
      </w:r>
      <w:r>
        <w:rPr>
          <w:color w:val="000000"/>
          <w:sz w:val="24"/>
          <w:szCs w:val="24"/>
        </w:rPr>
        <w:t>8%</w:t>
      </w:r>
      <w:r>
        <w:rPr>
          <w:color w:val="000000"/>
          <w:sz w:val="24"/>
          <w:szCs w:val="24"/>
        </w:rPr>
        <w:t>，而本基金由于部分配置在地产等行业，使得二季度表现一般。</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2020</w:t>
      </w:r>
      <w:r w:rsidRPr="00414345">
        <w:rPr>
          <w:color w:val="000000"/>
          <w:sz w:val="24"/>
          <w:szCs w:val="24"/>
        </w:rPr>
        <w:t>年三季度，我们认为经济不确定性并没有消失，所以在选择投资标的时，希望留有较多的安全边际。同时我们也认为投资应该聚焦于资产本身，分析资产未来的股东回报，从而给予合理估值，并且因此寻找投资机会。我们会继续在较好的安全边际下，努力为持有人获得长期可持续的超额收益。</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2,711,558,079.18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78.34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2,711,558,079.18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78.34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60,190,000.00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60,190,000.00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1.74</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199,970,299.99</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5.78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451,144,239.54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13.03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38,232,126.84</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1.10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3,461,094,745.55</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36,853,776.84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1.11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1,056,490,811.54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31.85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12,766.32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109,133,587.12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33,333,140.70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371,700,502.40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76,429,752.00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854,134,296.80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25.75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29,008,880.00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2,824,236.13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141,636,329.33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2,711,558,079.18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81.75</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6B7D82">
        <w:trPr>
          <w:jc w:val="center"/>
        </w:trPr>
        <w:tc>
          <w:tcPr>
            <w:tcW w:w="855" w:type="dxa"/>
            <w:vAlign w:val="center"/>
          </w:tcPr>
          <w:p w:rsidR="006B7D82" w:rsidRDefault="0071631A">
            <w:pPr>
              <w:jc w:val="center"/>
            </w:pPr>
            <w:r>
              <w:rPr>
                <w:color w:val="000000"/>
                <w:sz w:val="24"/>
                <w:szCs w:val="24"/>
              </w:rPr>
              <w:t>1</w:t>
            </w:r>
          </w:p>
        </w:tc>
        <w:tc>
          <w:tcPr>
            <w:tcW w:w="1334" w:type="dxa"/>
            <w:vAlign w:val="center"/>
          </w:tcPr>
          <w:p w:rsidR="006B7D82" w:rsidRDefault="0071631A">
            <w:pPr>
              <w:jc w:val="center"/>
            </w:pPr>
            <w:r>
              <w:rPr>
                <w:color w:val="000000"/>
                <w:sz w:val="24"/>
                <w:szCs w:val="24"/>
              </w:rPr>
              <w:t>000002</w:t>
            </w:r>
          </w:p>
        </w:tc>
        <w:tc>
          <w:tcPr>
            <w:tcW w:w="1777" w:type="dxa"/>
            <w:vAlign w:val="center"/>
          </w:tcPr>
          <w:p w:rsidR="006B7D82" w:rsidRDefault="0071631A">
            <w:pPr>
              <w:jc w:val="center"/>
            </w:pPr>
            <w:r>
              <w:rPr>
                <w:color w:val="000000"/>
                <w:sz w:val="24"/>
                <w:szCs w:val="24"/>
              </w:rPr>
              <w:t>万科</w:t>
            </w:r>
            <w:r>
              <w:rPr>
                <w:color w:val="000000"/>
                <w:sz w:val="24"/>
                <w:szCs w:val="24"/>
              </w:rPr>
              <w:t>A</w:t>
            </w:r>
          </w:p>
        </w:tc>
        <w:tc>
          <w:tcPr>
            <w:tcW w:w="1334" w:type="dxa"/>
            <w:vAlign w:val="center"/>
          </w:tcPr>
          <w:p w:rsidR="006B7D82" w:rsidRDefault="0071631A">
            <w:pPr>
              <w:jc w:val="right"/>
            </w:pPr>
            <w:r>
              <w:rPr>
                <w:color w:val="000000"/>
                <w:sz w:val="24"/>
                <w:szCs w:val="24"/>
              </w:rPr>
              <w:t>11,632,235</w:t>
            </w:r>
          </w:p>
        </w:tc>
        <w:tc>
          <w:tcPr>
            <w:tcW w:w="1924" w:type="dxa"/>
            <w:vAlign w:val="center"/>
          </w:tcPr>
          <w:p w:rsidR="006B7D82" w:rsidRDefault="0071631A">
            <w:pPr>
              <w:jc w:val="right"/>
            </w:pPr>
            <w:r>
              <w:rPr>
                <w:color w:val="000000"/>
                <w:sz w:val="24"/>
                <w:szCs w:val="24"/>
              </w:rPr>
              <w:t>304,066,622.90</w:t>
            </w:r>
          </w:p>
        </w:tc>
        <w:tc>
          <w:tcPr>
            <w:tcW w:w="1644" w:type="dxa"/>
            <w:vAlign w:val="center"/>
          </w:tcPr>
          <w:p w:rsidR="006B7D82" w:rsidRDefault="0071631A">
            <w:pPr>
              <w:jc w:val="right"/>
            </w:pPr>
            <w:r>
              <w:rPr>
                <w:color w:val="000000"/>
                <w:sz w:val="24"/>
                <w:szCs w:val="24"/>
              </w:rPr>
              <w:t>9.17</w:t>
            </w:r>
          </w:p>
        </w:tc>
      </w:tr>
      <w:tr w:rsidR="006B7D82">
        <w:trPr>
          <w:jc w:val="center"/>
        </w:trPr>
        <w:tc>
          <w:tcPr>
            <w:tcW w:w="855" w:type="dxa"/>
            <w:vAlign w:val="center"/>
          </w:tcPr>
          <w:p w:rsidR="006B7D82" w:rsidRDefault="0071631A">
            <w:pPr>
              <w:jc w:val="center"/>
            </w:pPr>
            <w:r>
              <w:rPr>
                <w:color w:val="000000"/>
                <w:sz w:val="24"/>
                <w:szCs w:val="24"/>
              </w:rPr>
              <w:t>2</w:t>
            </w:r>
          </w:p>
        </w:tc>
        <w:tc>
          <w:tcPr>
            <w:tcW w:w="1334" w:type="dxa"/>
            <w:vAlign w:val="center"/>
          </w:tcPr>
          <w:p w:rsidR="006B7D82" w:rsidRDefault="0071631A">
            <w:pPr>
              <w:jc w:val="center"/>
            </w:pPr>
            <w:r>
              <w:rPr>
                <w:color w:val="000000"/>
                <w:sz w:val="24"/>
                <w:szCs w:val="24"/>
              </w:rPr>
              <w:t>002050</w:t>
            </w:r>
          </w:p>
        </w:tc>
        <w:tc>
          <w:tcPr>
            <w:tcW w:w="1777" w:type="dxa"/>
            <w:vAlign w:val="center"/>
          </w:tcPr>
          <w:p w:rsidR="006B7D82" w:rsidRDefault="0071631A">
            <w:pPr>
              <w:jc w:val="center"/>
            </w:pPr>
            <w:r>
              <w:rPr>
                <w:color w:val="000000"/>
                <w:sz w:val="24"/>
                <w:szCs w:val="24"/>
              </w:rPr>
              <w:t>三花智控</w:t>
            </w:r>
          </w:p>
        </w:tc>
        <w:tc>
          <w:tcPr>
            <w:tcW w:w="1334" w:type="dxa"/>
            <w:vAlign w:val="center"/>
          </w:tcPr>
          <w:p w:rsidR="006B7D82" w:rsidRDefault="0071631A">
            <w:pPr>
              <w:jc w:val="right"/>
            </w:pPr>
            <w:r>
              <w:rPr>
                <w:color w:val="000000"/>
                <w:sz w:val="24"/>
                <w:szCs w:val="24"/>
              </w:rPr>
              <w:t>10,474,475</w:t>
            </w:r>
          </w:p>
        </w:tc>
        <w:tc>
          <w:tcPr>
            <w:tcW w:w="1924" w:type="dxa"/>
            <w:vAlign w:val="center"/>
          </w:tcPr>
          <w:p w:rsidR="006B7D82" w:rsidRDefault="0071631A">
            <w:pPr>
              <w:jc w:val="right"/>
            </w:pPr>
            <w:r>
              <w:rPr>
                <w:color w:val="000000"/>
                <w:sz w:val="24"/>
                <w:szCs w:val="24"/>
              </w:rPr>
              <w:t>229,391,002.50</w:t>
            </w:r>
          </w:p>
        </w:tc>
        <w:tc>
          <w:tcPr>
            <w:tcW w:w="1644" w:type="dxa"/>
            <w:vAlign w:val="center"/>
          </w:tcPr>
          <w:p w:rsidR="006B7D82" w:rsidRDefault="0071631A">
            <w:pPr>
              <w:jc w:val="right"/>
            </w:pPr>
            <w:r>
              <w:rPr>
                <w:color w:val="000000"/>
                <w:sz w:val="24"/>
                <w:szCs w:val="24"/>
              </w:rPr>
              <w:t>6.92</w:t>
            </w:r>
          </w:p>
        </w:tc>
      </w:tr>
      <w:tr w:rsidR="006B7D82">
        <w:trPr>
          <w:jc w:val="center"/>
        </w:trPr>
        <w:tc>
          <w:tcPr>
            <w:tcW w:w="855" w:type="dxa"/>
            <w:vAlign w:val="center"/>
          </w:tcPr>
          <w:p w:rsidR="006B7D82" w:rsidRDefault="0071631A">
            <w:pPr>
              <w:jc w:val="center"/>
            </w:pPr>
            <w:r>
              <w:rPr>
                <w:color w:val="000000"/>
                <w:sz w:val="24"/>
                <w:szCs w:val="24"/>
              </w:rPr>
              <w:t>3</w:t>
            </w:r>
          </w:p>
        </w:tc>
        <w:tc>
          <w:tcPr>
            <w:tcW w:w="1334" w:type="dxa"/>
            <w:vAlign w:val="center"/>
          </w:tcPr>
          <w:p w:rsidR="006B7D82" w:rsidRDefault="0071631A">
            <w:pPr>
              <w:jc w:val="center"/>
            </w:pPr>
            <w:r>
              <w:rPr>
                <w:color w:val="000000"/>
                <w:sz w:val="24"/>
                <w:szCs w:val="24"/>
              </w:rPr>
              <w:t>600048</w:t>
            </w:r>
          </w:p>
        </w:tc>
        <w:tc>
          <w:tcPr>
            <w:tcW w:w="1777" w:type="dxa"/>
            <w:vAlign w:val="center"/>
          </w:tcPr>
          <w:p w:rsidR="006B7D82" w:rsidRDefault="0071631A">
            <w:pPr>
              <w:jc w:val="center"/>
            </w:pPr>
            <w:r>
              <w:rPr>
                <w:color w:val="000000"/>
                <w:sz w:val="24"/>
                <w:szCs w:val="24"/>
              </w:rPr>
              <w:t>保利地产</w:t>
            </w:r>
          </w:p>
        </w:tc>
        <w:tc>
          <w:tcPr>
            <w:tcW w:w="1334" w:type="dxa"/>
            <w:vAlign w:val="center"/>
          </w:tcPr>
          <w:p w:rsidR="006B7D82" w:rsidRDefault="0071631A">
            <w:pPr>
              <w:jc w:val="right"/>
            </w:pPr>
            <w:r>
              <w:rPr>
                <w:color w:val="000000"/>
                <w:sz w:val="24"/>
                <w:szCs w:val="24"/>
              </w:rPr>
              <w:t>13,499,800</w:t>
            </w:r>
          </w:p>
        </w:tc>
        <w:tc>
          <w:tcPr>
            <w:tcW w:w="1924" w:type="dxa"/>
            <w:vAlign w:val="center"/>
          </w:tcPr>
          <w:p w:rsidR="006B7D82" w:rsidRDefault="0071631A">
            <w:pPr>
              <w:jc w:val="right"/>
            </w:pPr>
            <w:r>
              <w:rPr>
                <w:color w:val="000000"/>
                <w:sz w:val="24"/>
                <w:szCs w:val="24"/>
              </w:rPr>
              <w:t>199,527,044.00</w:t>
            </w:r>
          </w:p>
        </w:tc>
        <w:tc>
          <w:tcPr>
            <w:tcW w:w="1644" w:type="dxa"/>
            <w:vAlign w:val="center"/>
          </w:tcPr>
          <w:p w:rsidR="006B7D82" w:rsidRDefault="0071631A">
            <w:pPr>
              <w:jc w:val="right"/>
            </w:pPr>
            <w:r>
              <w:rPr>
                <w:color w:val="000000"/>
                <w:sz w:val="24"/>
                <w:szCs w:val="24"/>
              </w:rPr>
              <w:t>6.02</w:t>
            </w:r>
          </w:p>
        </w:tc>
      </w:tr>
      <w:tr w:rsidR="006B7D82">
        <w:trPr>
          <w:jc w:val="center"/>
        </w:trPr>
        <w:tc>
          <w:tcPr>
            <w:tcW w:w="855" w:type="dxa"/>
            <w:vAlign w:val="center"/>
          </w:tcPr>
          <w:p w:rsidR="006B7D82" w:rsidRDefault="0071631A">
            <w:pPr>
              <w:jc w:val="center"/>
            </w:pPr>
            <w:r>
              <w:rPr>
                <w:color w:val="000000"/>
                <w:sz w:val="24"/>
                <w:szCs w:val="24"/>
              </w:rPr>
              <w:t>4</w:t>
            </w:r>
          </w:p>
        </w:tc>
        <w:tc>
          <w:tcPr>
            <w:tcW w:w="1334" w:type="dxa"/>
            <w:vAlign w:val="center"/>
          </w:tcPr>
          <w:p w:rsidR="006B7D82" w:rsidRDefault="0071631A">
            <w:pPr>
              <w:jc w:val="center"/>
            </w:pPr>
            <w:r>
              <w:rPr>
                <w:color w:val="000000"/>
                <w:sz w:val="24"/>
                <w:szCs w:val="24"/>
              </w:rPr>
              <w:t>600383</w:t>
            </w:r>
          </w:p>
        </w:tc>
        <w:tc>
          <w:tcPr>
            <w:tcW w:w="1777" w:type="dxa"/>
            <w:vAlign w:val="center"/>
          </w:tcPr>
          <w:p w:rsidR="006B7D82" w:rsidRDefault="0071631A">
            <w:pPr>
              <w:jc w:val="center"/>
            </w:pPr>
            <w:r>
              <w:rPr>
                <w:color w:val="000000"/>
                <w:sz w:val="24"/>
                <w:szCs w:val="24"/>
              </w:rPr>
              <w:t>金地集团</w:t>
            </w:r>
          </w:p>
        </w:tc>
        <w:tc>
          <w:tcPr>
            <w:tcW w:w="1334" w:type="dxa"/>
            <w:vAlign w:val="center"/>
          </w:tcPr>
          <w:p w:rsidR="006B7D82" w:rsidRDefault="0071631A">
            <w:pPr>
              <w:jc w:val="right"/>
            </w:pPr>
            <w:r>
              <w:rPr>
                <w:color w:val="000000"/>
                <w:sz w:val="24"/>
                <w:szCs w:val="24"/>
              </w:rPr>
              <w:t>13,979,619</w:t>
            </w:r>
          </w:p>
        </w:tc>
        <w:tc>
          <w:tcPr>
            <w:tcW w:w="1924" w:type="dxa"/>
            <w:vAlign w:val="center"/>
          </w:tcPr>
          <w:p w:rsidR="006B7D82" w:rsidRDefault="0071631A">
            <w:pPr>
              <w:jc w:val="right"/>
            </w:pPr>
            <w:r>
              <w:rPr>
                <w:color w:val="000000"/>
                <w:sz w:val="24"/>
                <w:szCs w:val="24"/>
              </w:rPr>
              <w:t>191,520,780.30</w:t>
            </w:r>
          </w:p>
        </w:tc>
        <w:tc>
          <w:tcPr>
            <w:tcW w:w="1644" w:type="dxa"/>
            <w:vAlign w:val="center"/>
          </w:tcPr>
          <w:p w:rsidR="006B7D82" w:rsidRDefault="0071631A">
            <w:pPr>
              <w:jc w:val="right"/>
            </w:pPr>
            <w:r>
              <w:rPr>
                <w:color w:val="000000"/>
                <w:sz w:val="24"/>
                <w:szCs w:val="24"/>
              </w:rPr>
              <w:t>5.77</w:t>
            </w:r>
          </w:p>
        </w:tc>
      </w:tr>
      <w:tr w:rsidR="006B7D82">
        <w:trPr>
          <w:jc w:val="center"/>
        </w:trPr>
        <w:tc>
          <w:tcPr>
            <w:tcW w:w="855" w:type="dxa"/>
            <w:vAlign w:val="center"/>
          </w:tcPr>
          <w:p w:rsidR="006B7D82" w:rsidRDefault="0071631A">
            <w:pPr>
              <w:jc w:val="center"/>
            </w:pPr>
            <w:r>
              <w:rPr>
                <w:color w:val="000000"/>
                <w:sz w:val="24"/>
                <w:szCs w:val="24"/>
              </w:rPr>
              <w:t>5</w:t>
            </w:r>
          </w:p>
        </w:tc>
        <w:tc>
          <w:tcPr>
            <w:tcW w:w="1334" w:type="dxa"/>
            <w:vAlign w:val="center"/>
          </w:tcPr>
          <w:p w:rsidR="006B7D82" w:rsidRDefault="0071631A">
            <w:pPr>
              <w:jc w:val="center"/>
            </w:pPr>
            <w:r>
              <w:rPr>
                <w:color w:val="000000"/>
                <w:sz w:val="24"/>
                <w:szCs w:val="24"/>
              </w:rPr>
              <w:t>300271</w:t>
            </w:r>
          </w:p>
        </w:tc>
        <w:tc>
          <w:tcPr>
            <w:tcW w:w="1777" w:type="dxa"/>
            <w:vAlign w:val="center"/>
          </w:tcPr>
          <w:p w:rsidR="006B7D82" w:rsidRDefault="0071631A">
            <w:pPr>
              <w:jc w:val="center"/>
            </w:pPr>
            <w:r>
              <w:rPr>
                <w:color w:val="000000"/>
                <w:sz w:val="24"/>
                <w:szCs w:val="24"/>
              </w:rPr>
              <w:t>华宇软件</w:t>
            </w:r>
          </w:p>
        </w:tc>
        <w:tc>
          <w:tcPr>
            <w:tcW w:w="1334" w:type="dxa"/>
            <w:vAlign w:val="center"/>
          </w:tcPr>
          <w:p w:rsidR="006B7D82" w:rsidRDefault="0071631A">
            <w:pPr>
              <w:jc w:val="right"/>
            </w:pPr>
            <w:r>
              <w:rPr>
                <w:color w:val="000000"/>
                <w:sz w:val="24"/>
                <w:szCs w:val="24"/>
              </w:rPr>
              <w:t>5,425,571</w:t>
            </w:r>
          </w:p>
        </w:tc>
        <w:tc>
          <w:tcPr>
            <w:tcW w:w="1924" w:type="dxa"/>
            <w:vAlign w:val="center"/>
          </w:tcPr>
          <w:p w:rsidR="006B7D82" w:rsidRDefault="0071631A">
            <w:pPr>
              <w:jc w:val="right"/>
            </w:pPr>
            <w:r>
              <w:rPr>
                <w:color w:val="000000"/>
                <w:sz w:val="24"/>
                <w:szCs w:val="24"/>
              </w:rPr>
              <w:t>153,055,357.91</w:t>
            </w:r>
          </w:p>
        </w:tc>
        <w:tc>
          <w:tcPr>
            <w:tcW w:w="1644" w:type="dxa"/>
            <w:vAlign w:val="center"/>
          </w:tcPr>
          <w:p w:rsidR="006B7D82" w:rsidRDefault="0071631A">
            <w:pPr>
              <w:jc w:val="right"/>
            </w:pPr>
            <w:r>
              <w:rPr>
                <w:color w:val="000000"/>
                <w:sz w:val="24"/>
                <w:szCs w:val="24"/>
              </w:rPr>
              <w:t>4.61</w:t>
            </w:r>
          </w:p>
        </w:tc>
      </w:tr>
      <w:tr w:rsidR="006B7D82">
        <w:trPr>
          <w:jc w:val="center"/>
        </w:trPr>
        <w:tc>
          <w:tcPr>
            <w:tcW w:w="855" w:type="dxa"/>
            <w:vAlign w:val="center"/>
          </w:tcPr>
          <w:p w:rsidR="006B7D82" w:rsidRDefault="0071631A">
            <w:pPr>
              <w:jc w:val="center"/>
            </w:pPr>
            <w:r>
              <w:rPr>
                <w:color w:val="000000"/>
                <w:sz w:val="24"/>
                <w:szCs w:val="24"/>
              </w:rPr>
              <w:t>6</w:t>
            </w:r>
          </w:p>
        </w:tc>
        <w:tc>
          <w:tcPr>
            <w:tcW w:w="1334" w:type="dxa"/>
            <w:vAlign w:val="center"/>
          </w:tcPr>
          <w:p w:rsidR="006B7D82" w:rsidRDefault="0071631A">
            <w:pPr>
              <w:jc w:val="center"/>
            </w:pPr>
            <w:r>
              <w:rPr>
                <w:color w:val="000000"/>
                <w:sz w:val="24"/>
                <w:szCs w:val="24"/>
              </w:rPr>
              <w:t>002831</w:t>
            </w:r>
          </w:p>
        </w:tc>
        <w:tc>
          <w:tcPr>
            <w:tcW w:w="1777" w:type="dxa"/>
            <w:vAlign w:val="center"/>
          </w:tcPr>
          <w:p w:rsidR="006B7D82" w:rsidRDefault="0071631A">
            <w:pPr>
              <w:jc w:val="center"/>
            </w:pPr>
            <w:r>
              <w:rPr>
                <w:color w:val="000000"/>
                <w:sz w:val="24"/>
                <w:szCs w:val="24"/>
              </w:rPr>
              <w:t>裕同科技</w:t>
            </w:r>
          </w:p>
        </w:tc>
        <w:tc>
          <w:tcPr>
            <w:tcW w:w="1334" w:type="dxa"/>
            <w:vAlign w:val="center"/>
          </w:tcPr>
          <w:p w:rsidR="006B7D82" w:rsidRDefault="0071631A">
            <w:pPr>
              <w:jc w:val="right"/>
            </w:pPr>
            <w:r>
              <w:rPr>
                <w:color w:val="000000"/>
                <w:sz w:val="24"/>
                <w:szCs w:val="24"/>
              </w:rPr>
              <w:t>5,304,677</w:t>
            </w:r>
          </w:p>
        </w:tc>
        <w:tc>
          <w:tcPr>
            <w:tcW w:w="1924" w:type="dxa"/>
            <w:vAlign w:val="center"/>
          </w:tcPr>
          <w:p w:rsidR="006B7D82" w:rsidRDefault="0071631A">
            <w:pPr>
              <w:jc w:val="right"/>
            </w:pPr>
            <w:r>
              <w:rPr>
                <w:color w:val="000000"/>
                <w:sz w:val="24"/>
                <w:szCs w:val="24"/>
              </w:rPr>
              <w:t>145,931,664.27</w:t>
            </w:r>
          </w:p>
        </w:tc>
        <w:tc>
          <w:tcPr>
            <w:tcW w:w="1644" w:type="dxa"/>
            <w:vAlign w:val="center"/>
          </w:tcPr>
          <w:p w:rsidR="006B7D82" w:rsidRDefault="0071631A">
            <w:pPr>
              <w:jc w:val="right"/>
            </w:pPr>
            <w:r>
              <w:rPr>
                <w:color w:val="000000"/>
                <w:sz w:val="24"/>
                <w:szCs w:val="24"/>
              </w:rPr>
              <w:t>4.40</w:t>
            </w:r>
          </w:p>
        </w:tc>
      </w:tr>
      <w:tr w:rsidR="006B7D82">
        <w:trPr>
          <w:jc w:val="center"/>
        </w:trPr>
        <w:tc>
          <w:tcPr>
            <w:tcW w:w="855" w:type="dxa"/>
            <w:vAlign w:val="center"/>
          </w:tcPr>
          <w:p w:rsidR="006B7D82" w:rsidRDefault="0071631A">
            <w:pPr>
              <w:jc w:val="center"/>
            </w:pPr>
            <w:r>
              <w:rPr>
                <w:color w:val="000000"/>
                <w:sz w:val="24"/>
                <w:szCs w:val="24"/>
              </w:rPr>
              <w:t>7</w:t>
            </w:r>
          </w:p>
        </w:tc>
        <w:tc>
          <w:tcPr>
            <w:tcW w:w="1334" w:type="dxa"/>
            <w:vAlign w:val="center"/>
          </w:tcPr>
          <w:p w:rsidR="006B7D82" w:rsidRDefault="0071631A">
            <w:pPr>
              <w:jc w:val="center"/>
            </w:pPr>
            <w:r>
              <w:rPr>
                <w:color w:val="000000"/>
                <w:sz w:val="24"/>
                <w:szCs w:val="24"/>
              </w:rPr>
              <w:t>300188</w:t>
            </w:r>
          </w:p>
        </w:tc>
        <w:tc>
          <w:tcPr>
            <w:tcW w:w="1777" w:type="dxa"/>
            <w:vAlign w:val="center"/>
          </w:tcPr>
          <w:p w:rsidR="006B7D82" w:rsidRDefault="0071631A">
            <w:pPr>
              <w:jc w:val="center"/>
            </w:pPr>
            <w:r>
              <w:rPr>
                <w:color w:val="000000"/>
                <w:sz w:val="24"/>
                <w:szCs w:val="24"/>
              </w:rPr>
              <w:t>美亚柏科</w:t>
            </w:r>
          </w:p>
        </w:tc>
        <w:tc>
          <w:tcPr>
            <w:tcW w:w="1334" w:type="dxa"/>
            <w:vAlign w:val="center"/>
          </w:tcPr>
          <w:p w:rsidR="006B7D82" w:rsidRDefault="0071631A">
            <w:pPr>
              <w:jc w:val="right"/>
            </w:pPr>
            <w:r>
              <w:rPr>
                <w:color w:val="000000"/>
                <w:sz w:val="24"/>
                <w:szCs w:val="24"/>
              </w:rPr>
              <w:t>5,650,660</w:t>
            </w:r>
          </w:p>
        </w:tc>
        <w:tc>
          <w:tcPr>
            <w:tcW w:w="1924" w:type="dxa"/>
            <w:vAlign w:val="center"/>
          </w:tcPr>
          <w:p w:rsidR="006B7D82" w:rsidRDefault="0071631A">
            <w:pPr>
              <w:jc w:val="right"/>
            </w:pPr>
            <w:r>
              <w:rPr>
                <w:color w:val="000000"/>
                <w:sz w:val="24"/>
                <w:szCs w:val="24"/>
              </w:rPr>
              <w:t>112,052,587.80</w:t>
            </w:r>
          </w:p>
        </w:tc>
        <w:tc>
          <w:tcPr>
            <w:tcW w:w="1644" w:type="dxa"/>
            <w:vAlign w:val="center"/>
          </w:tcPr>
          <w:p w:rsidR="006B7D82" w:rsidRDefault="0071631A">
            <w:pPr>
              <w:jc w:val="right"/>
            </w:pPr>
            <w:r>
              <w:rPr>
                <w:color w:val="000000"/>
                <w:sz w:val="24"/>
                <w:szCs w:val="24"/>
              </w:rPr>
              <w:t>3.38</w:t>
            </w:r>
          </w:p>
        </w:tc>
      </w:tr>
      <w:tr w:rsidR="006B7D82">
        <w:trPr>
          <w:jc w:val="center"/>
        </w:trPr>
        <w:tc>
          <w:tcPr>
            <w:tcW w:w="855" w:type="dxa"/>
            <w:vAlign w:val="center"/>
          </w:tcPr>
          <w:p w:rsidR="006B7D82" w:rsidRDefault="0071631A">
            <w:pPr>
              <w:jc w:val="center"/>
            </w:pPr>
            <w:r>
              <w:rPr>
                <w:color w:val="000000"/>
                <w:sz w:val="24"/>
                <w:szCs w:val="24"/>
              </w:rPr>
              <w:t>8</w:t>
            </w:r>
          </w:p>
        </w:tc>
        <w:tc>
          <w:tcPr>
            <w:tcW w:w="1334" w:type="dxa"/>
            <w:vAlign w:val="center"/>
          </w:tcPr>
          <w:p w:rsidR="006B7D82" w:rsidRDefault="0071631A">
            <w:pPr>
              <w:jc w:val="center"/>
            </w:pPr>
            <w:r>
              <w:rPr>
                <w:color w:val="000000"/>
                <w:sz w:val="24"/>
                <w:szCs w:val="24"/>
              </w:rPr>
              <w:t>600529</w:t>
            </w:r>
          </w:p>
        </w:tc>
        <w:tc>
          <w:tcPr>
            <w:tcW w:w="1777" w:type="dxa"/>
            <w:vAlign w:val="center"/>
          </w:tcPr>
          <w:p w:rsidR="006B7D82" w:rsidRDefault="0071631A">
            <w:pPr>
              <w:jc w:val="center"/>
            </w:pPr>
            <w:r>
              <w:rPr>
                <w:color w:val="000000"/>
                <w:sz w:val="24"/>
                <w:szCs w:val="24"/>
              </w:rPr>
              <w:t>山东药玻</w:t>
            </w:r>
          </w:p>
        </w:tc>
        <w:tc>
          <w:tcPr>
            <w:tcW w:w="1334" w:type="dxa"/>
            <w:vAlign w:val="center"/>
          </w:tcPr>
          <w:p w:rsidR="006B7D82" w:rsidRDefault="0071631A">
            <w:pPr>
              <w:jc w:val="right"/>
            </w:pPr>
            <w:r>
              <w:rPr>
                <w:color w:val="000000"/>
                <w:sz w:val="24"/>
                <w:szCs w:val="24"/>
              </w:rPr>
              <w:t>1,922,619</w:t>
            </w:r>
          </w:p>
        </w:tc>
        <w:tc>
          <w:tcPr>
            <w:tcW w:w="1924" w:type="dxa"/>
            <w:vAlign w:val="center"/>
          </w:tcPr>
          <w:p w:rsidR="006B7D82" w:rsidRDefault="0071631A">
            <w:pPr>
              <w:jc w:val="right"/>
            </w:pPr>
            <w:r>
              <w:rPr>
                <w:color w:val="000000"/>
                <w:sz w:val="24"/>
                <w:szCs w:val="24"/>
              </w:rPr>
              <w:t>111,090,402.00</w:t>
            </w:r>
          </w:p>
        </w:tc>
        <w:tc>
          <w:tcPr>
            <w:tcW w:w="1644" w:type="dxa"/>
            <w:vAlign w:val="center"/>
          </w:tcPr>
          <w:p w:rsidR="006B7D82" w:rsidRDefault="0071631A">
            <w:pPr>
              <w:jc w:val="right"/>
            </w:pPr>
            <w:r>
              <w:rPr>
                <w:color w:val="000000"/>
                <w:sz w:val="24"/>
                <w:szCs w:val="24"/>
              </w:rPr>
              <w:t>3.35</w:t>
            </w:r>
          </w:p>
        </w:tc>
      </w:tr>
      <w:tr w:rsidR="006B7D82">
        <w:trPr>
          <w:jc w:val="center"/>
        </w:trPr>
        <w:tc>
          <w:tcPr>
            <w:tcW w:w="855" w:type="dxa"/>
            <w:vAlign w:val="center"/>
          </w:tcPr>
          <w:p w:rsidR="006B7D82" w:rsidRDefault="0071631A">
            <w:pPr>
              <w:jc w:val="center"/>
            </w:pPr>
            <w:r>
              <w:rPr>
                <w:color w:val="000000"/>
                <w:sz w:val="24"/>
                <w:szCs w:val="24"/>
              </w:rPr>
              <w:t>9</w:t>
            </w:r>
          </w:p>
        </w:tc>
        <w:tc>
          <w:tcPr>
            <w:tcW w:w="1334" w:type="dxa"/>
            <w:vAlign w:val="center"/>
          </w:tcPr>
          <w:p w:rsidR="006B7D82" w:rsidRDefault="0071631A">
            <w:pPr>
              <w:jc w:val="center"/>
            </w:pPr>
            <w:r>
              <w:rPr>
                <w:color w:val="000000"/>
                <w:sz w:val="24"/>
                <w:szCs w:val="24"/>
              </w:rPr>
              <w:t>002810</w:t>
            </w:r>
          </w:p>
        </w:tc>
        <w:tc>
          <w:tcPr>
            <w:tcW w:w="1777" w:type="dxa"/>
            <w:vAlign w:val="center"/>
          </w:tcPr>
          <w:p w:rsidR="006B7D82" w:rsidRDefault="0071631A">
            <w:pPr>
              <w:jc w:val="center"/>
            </w:pPr>
            <w:r>
              <w:rPr>
                <w:color w:val="000000"/>
                <w:sz w:val="24"/>
                <w:szCs w:val="24"/>
              </w:rPr>
              <w:t>山东赫达</w:t>
            </w:r>
          </w:p>
        </w:tc>
        <w:tc>
          <w:tcPr>
            <w:tcW w:w="1334" w:type="dxa"/>
            <w:vAlign w:val="center"/>
          </w:tcPr>
          <w:p w:rsidR="006B7D82" w:rsidRDefault="0071631A">
            <w:pPr>
              <w:jc w:val="right"/>
            </w:pPr>
            <w:r>
              <w:rPr>
                <w:color w:val="000000"/>
                <w:sz w:val="24"/>
                <w:szCs w:val="24"/>
              </w:rPr>
              <w:t>3,276,492</w:t>
            </w:r>
          </w:p>
        </w:tc>
        <w:tc>
          <w:tcPr>
            <w:tcW w:w="1924" w:type="dxa"/>
            <w:vAlign w:val="center"/>
          </w:tcPr>
          <w:p w:rsidR="006B7D82" w:rsidRDefault="0071631A">
            <w:pPr>
              <w:jc w:val="right"/>
            </w:pPr>
            <w:r>
              <w:rPr>
                <w:color w:val="000000"/>
                <w:sz w:val="24"/>
                <w:szCs w:val="24"/>
              </w:rPr>
              <w:t>110,614,369.92</w:t>
            </w:r>
          </w:p>
        </w:tc>
        <w:tc>
          <w:tcPr>
            <w:tcW w:w="1644" w:type="dxa"/>
            <w:vAlign w:val="center"/>
          </w:tcPr>
          <w:p w:rsidR="006B7D82" w:rsidRDefault="0071631A">
            <w:pPr>
              <w:jc w:val="right"/>
            </w:pPr>
            <w:r>
              <w:rPr>
                <w:color w:val="000000"/>
                <w:sz w:val="24"/>
                <w:szCs w:val="24"/>
              </w:rPr>
              <w:t>3.34</w:t>
            </w:r>
          </w:p>
        </w:tc>
      </w:tr>
      <w:tr w:rsidR="006B7D82">
        <w:trPr>
          <w:jc w:val="center"/>
        </w:trPr>
        <w:tc>
          <w:tcPr>
            <w:tcW w:w="855" w:type="dxa"/>
            <w:vAlign w:val="center"/>
          </w:tcPr>
          <w:p w:rsidR="006B7D82" w:rsidRDefault="0071631A">
            <w:pPr>
              <w:jc w:val="center"/>
            </w:pPr>
            <w:r>
              <w:rPr>
                <w:color w:val="000000"/>
                <w:sz w:val="24"/>
                <w:szCs w:val="24"/>
              </w:rPr>
              <w:t>10</w:t>
            </w:r>
          </w:p>
        </w:tc>
        <w:tc>
          <w:tcPr>
            <w:tcW w:w="1334" w:type="dxa"/>
            <w:vAlign w:val="center"/>
          </w:tcPr>
          <w:p w:rsidR="006B7D82" w:rsidRDefault="0071631A">
            <w:pPr>
              <w:jc w:val="center"/>
            </w:pPr>
            <w:r>
              <w:rPr>
                <w:color w:val="000000"/>
                <w:sz w:val="24"/>
                <w:szCs w:val="24"/>
              </w:rPr>
              <w:t>603096</w:t>
            </w:r>
          </w:p>
        </w:tc>
        <w:tc>
          <w:tcPr>
            <w:tcW w:w="1777" w:type="dxa"/>
            <w:vAlign w:val="center"/>
          </w:tcPr>
          <w:p w:rsidR="006B7D82" w:rsidRDefault="0071631A">
            <w:pPr>
              <w:jc w:val="center"/>
            </w:pPr>
            <w:r>
              <w:rPr>
                <w:color w:val="000000"/>
                <w:sz w:val="24"/>
                <w:szCs w:val="24"/>
              </w:rPr>
              <w:t>新经典</w:t>
            </w:r>
          </w:p>
        </w:tc>
        <w:tc>
          <w:tcPr>
            <w:tcW w:w="1334" w:type="dxa"/>
            <w:vAlign w:val="center"/>
          </w:tcPr>
          <w:p w:rsidR="006B7D82" w:rsidRDefault="0071631A">
            <w:pPr>
              <w:jc w:val="right"/>
            </w:pPr>
            <w:r>
              <w:rPr>
                <w:color w:val="000000"/>
                <w:sz w:val="24"/>
                <w:szCs w:val="24"/>
              </w:rPr>
              <w:t>1,850,353</w:t>
            </w:r>
          </w:p>
        </w:tc>
        <w:tc>
          <w:tcPr>
            <w:tcW w:w="1924" w:type="dxa"/>
            <w:vAlign w:val="center"/>
          </w:tcPr>
          <w:p w:rsidR="006B7D82" w:rsidRDefault="0071631A">
            <w:pPr>
              <w:jc w:val="right"/>
            </w:pPr>
            <w:r>
              <w:rPr>
                <w:color w:val="000000"/>
                <w:sz w:val="24"/>
                <w:szCs w:val="24"/>
              </w:rPr>
              <w:t>109,226,337.59</w:t>
            </w:r>
          </w:p>
        </w:tc>
        <w:tc>
          <w:tcPr>
            <w:tcW w:w="1644" w:type="dxa"/>
            <w:vAlign w:val="center"/>
          </w:tcPr>
          <w:p w:rsidR="006B7D82" w:rsidRDefault="0071631A">
            <w:pPr>
              <w:jc w:val="right"/>
            </w:pPr>
            <w:r>
              <w:rPr>
                <w:color w:val="000000"/>
                <w:sz w:val="24"/>
                <w:szCs w:val="24"/>
              </w:rPr>
              <w:t>3.29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59,930,000.00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1.81</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59,930,000.00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1.81</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260,000.00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60,190,000.00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6B7D82">
        <w:trPr>
          <w:jc w:val="center"/>
        </w:trPr>
        <w:tc>
          <w:tcPr>
            <w:tcW w:w="850" w:type="dxa"/>
            <w:vAlign w:val="center"/>
          </w:tcPr>
          <w:p w:rsidR="006B7D82" w:rsidRDefault="0071631A">
            <w:pPr>
              <w:jc w:val="center"/>
            </w:pPr>
            <w:r>
              <w:rPr>
                <w:color w:val="000000"/>
                <w:sz w:val="24"/>
                <w:szCs w:val="24"/>
              </w:rPr>
              <w:t>1</w:t>
            </w:r>
          </w:p>
        </w:tc>
        <w:tc>
          <w:tcPr>
            <w:tcW w:w="1475" w:type="dxa"/>
            <w:vAlign w:val="center"/>
          </w:tcPr>
          <w:p w:rsidR="006B7D82" w:rsidRDefault="0071631A">
            <w:pPr>
              <w:jc w:val="center"/>
            </w:pPr>
            <w:r>
              <w:rPr>
                <w:color w:val="000000"/>
                <w:sz w:val="24"/>
                <w:szCs w:val="24"/>
              </w:rPr>
              <w:t>190307</w:t>
            </w:r>
          </w:p>
        </w:tc>
        <w:tc>
          <w:tcPr>
            <w:tcW w:w="1769" w:type="dxa"/>
            <w:vAlign w:val="center"/>
          </w:tcPr>
          <w:p w:rsidR="006B7D82" w:rsidRDefault="0071631A">
            <w:pPr>
              <w:jc w:val="center"/>
            </w:pPr>
            <w:r>
              <w:rPr>
                <w:color w:val="000000"/>
                <w:sz w:val="24"/>
                <w:szCs w:val="24"/>
              </w:rPr>
              <w:t>19</w:t>
            </w:r>
            <w:r>
              <w:rPr>
                <w:color w:val="000000"/>
                <w:sz w:val="24"/>
                <w:szCs w:val="24"/>
              </w:rPr>
              <w:t>进出</w:t>
            </w:r>
            <w:r>
              <w:rPr>
                <w:color w:val="000000"/>
                <w:sz w:val="24"/>
                <w:szCs w:val="24"/>
              </w:rPr>
              <w:t>07</w:t>
            </w:r>
          </w:p>
        </w:tc>
        <w:tc>
          <w:tcPr>
            <w:tcW w:w="1387" w:type="dxa"/>
            <w:vAlign w:val="center"/>
          </w:tcPr>
          <w:p w:rsidR="006B7D82" w:rsidRDefault="0071631A">
            <w:pPr>
              <w:jc w:val="right"/>
            </w:pPr>
            <w:r>
              <w:rPr>
                <w:color w:val="000000"/>
                <w:sz w:val="24"/>
                <w:szCs w:val="24"/>
              </w:rPr>
              <w:t>400,000</w:t>
            </w:r>
          </w:p>
        </w:tc>
        <w:tc>
          <w:tcPr>
            <w:tcW w:w="2150" w:type="dxa"/>
            <w:vAlign w:val="center"/>
          </w:tcPr>
          <w:p w:rsidR="006B7D82" w:rsidRDefault="0071631A">
            <w:pPr>
              <w:jc w:val="right"/>
            </w:pPr>
            <w:r>
              <w:rPr>
                <w:color w:val="000000"/>
                <w:sz w:val="24"/>
                <w:szCs w:val="24"/>
              </w:rPr>
              <w:t>40,084,000.00</w:t>
            </w:r>
          </w:p>
        </w:tc>
        <w:tc>
          <w:tcPr>
            <w:tcW w:w="1237" w:type="dxa"/>
            <w:vAlign w:val="center"/>
          </w:tcPr>
          <w:p w:rsidR="006B7D82" w:rsidRDefault="0071631A">
            <w:pPr>
              <w:jc w:val="right"/>
            </w:pPr>
            <w:r>
              <w:rPr>
                <w:color w:val="000000"/>
                <w:sz w:val="24"/>
                <w:szCs w:val="24"/>
              </w:rPr>
              <w:t>1.21</w:t>
            </w:r>
          </w:p>
        </w:tc>
      </w:tr>
      <w:tr w:rsidR="006B7D82">
        <w:trPr>
          <w:jc w:val="center"/>
        </w:trPr>
        <w:tc>
          <w:tcPr>
            <w:tcW w:w="850" w:type="dxa"/>
            <w:vAlign w:val="center"/>
          </w:tcPr>
          <w:p w:rsidR="006B7D82" w:rsidRDefault="0071631A">
            <w:pPr>
              <w:jc w:val="center"/>
            </w:pPr>
            <w:r>
              <w:rPr>
                <w:color w:val="000000"/>
                <w:sz w:val="24"/>
                <w:szCs w:val="24"/>
              </w:rPr>
              <w:t>2</w:t>
            </w:r>
          </w:p>
        </w:tc>
        <w:tc>
          <w:tcPr>
            <w:tcW w:w="1475" w:type="dxa"/>
            <w:vAlign w:val="center"/>
          </w:tcPr>
          <w:p w:rsidR="006B7D82" w:rsidRDefault="0071631A">
            <w:pPr>
              <w:jc w:val="center"/>
            </w:pPr>
            <w:r>
              <w:rPr>
                <w:color w:val="000000"/>
                <w:sz w:val="24"/>
                <w:szCs w:val="24"/>
              </w:rPr>
              <w:t>207703</w:t>
            </w:r>
          </w:p>
        </w:tc>
        <w:tc>
          <w:tcPr>
            <w:tcW w:w="1769" w:type="dxa"/>
            <w:vAlign w:val="center"/>
          </w:tcPr>
          <w:p w:rsidR="006B7D82" w:rsidRDefault="0071631A">
            <w:pPr>
              <w:jc w:val="center"/>
            </w:pPr>
            <w:r>
              <w:rPr>
                <w:color w:val="000000"/>
                <w:sz w:val="24"/>
                <w:szCs w:val="24"/>
              </w:rPr>
              <w:t>20</w:t>
            </w:r>
            <w:r>
              <w:rPr>
                <w:color w:val="000000"/>
                <w:sz w:val="24"/>
                <w:szCs w:val="24"/>
              </w:rPr>
              <w:t>贴现国开</w:t>
            </w:r>
            <w:r>
              <w:rPr>
                <w:color w:val="000000"/>
                <w:sz w:val="24"/>
                <w:szCs w:val="24"/>
              </w:rPr>
              <w:t>03</w:t>
            </w:r>
          </w:p>
        </w:tc>
        <w:tc>
          <w:tcPr>
            <w:tcW w:w="1387" w:type="dxa"/>
            <w:vAlign w:val="center"/>
          </w:tcPr>
          <w:p w:rsidR="006B7D82" w:rsidRDefault="0071631A">
            <w:pPr>
              <w:jc w:val="right"/>
            </w:pPr>
            <w:r>
              <w:rPr>
                <w:color w:val="000000"/>
                <w:sz w:val="24"/>
                <w:szCs w:val="24"/>
              </w:rPr>
              <w:t>200,000</w:t>
            </w:r>
          </w:p>
        </w:tc>
        <w:tc>
          <w:tcPr>
            <w:tcW w:w="2150" w:type="dxa"/>
            <w:vAlign w:val="center"/>
          </w:tcPr>
          <w:p w:rsidR="006B7D82" w:rsidRDefault="0071631A">
            <w:pPr>
              <w:jc w:val="right"/>
            </w:pPr>
            <w:r>
              <w:rPr>
                <w:color w:val="000000"/>
                <w:sz w:val="24"/>
                <w:szCs w:val="24"/>
              </w:rPr>
              <w:t>19,846,000.00</w:t>
            </w:r>
          </w:p>
        </w:tc>
        <w:tc>
          <w:tcPr>
            <w:tcW w:w="1237" w:type="dxa"/>
            <w:vAlign w:val="center"/>
          </w:tcPr>
          <w:p w:rsidR="006B7D82" w:rsidRDefault="0071631A">
            <w:pPr>
              <w:jc w:val="right"/>
            </w:pPr>
            <w:r>
              <w:rPr>
                <w:color w:val="000000"/>
                <w:sz w:val="24"/>
                <w:szCs w:val="24"/>
              </w:rPr>
              <w:t>0.60</w:t>
            </w:r>
          </w:p>
        </w:tc>
      </w:tr>
      <w:tr w:rsidR="006B7D82">
        <w:trPr>
          <w:jc w:val="center"/>
        </w:trPr>
        <w:tc>
          <w:tcPr>
            <w:tcW w:w="850" w:type="dxa"/>
            <w:vAlign w:val="center"/>
          </w:tcPr>
          <w:p w:rsidR="006B7D82" w:rsidRDefault="0071631A">
            <w:pPr>
              <w:jc w:val="center"/>
            </w:pPr>
            <w:r>
              <w:rPr>
                <w:color w:val="000000"/>
                <w:sz w:val="24"/>
                <w:szCs w:val="24"/>
              </w:rPr>
              <w:t>3</w:t>
            </w:r>
          </w:p>
        </w:tc>
        <w:tc>
          <w:tcPr>
            <w:tcW w:w="1475" w:type="dxa"/>
            <w:vAlign w:val="center"/>
          </w:tcPr>
          <w:p w:rsidR="006B7D82" w:rsidRDefault="0071631A">
            <w:pPr>
              <w:jc w:val="center"/>
            </w:pPr>
            <w:r>
              <w:rPr>
                <w:color w:val="000000"/>
                <w:sz w:val="24"/>
                <w:szCs w:val="24"/>
              </w:rPr>
              <w:t>113587</w:t>
            </w:r>
          </w:p>
        </w:tc>
        <w:tc>
          <w:tcPr>
            <w:tcW w:w="1769" w:type="dxa"/>
            <w:vAlign w:val="center"/>
          </w:tcPr>
          <w:p w:rsidR="006B7D82" w:rsidRDefault="0071631A">
            <w:pPr>
              <w:jc w:val="center"/>
            </w:pPr>
            <w:r>
              <w:rPr>
                <w:color w:val="000000"/>
                <w:sz w:val="24"/>
                <w:szCs w:val="24"/>
              </w:rPr>
              <w:t>泛微转债</w:t>
            </w:r>
          </w:p>
        </w:tc>
        <w:tc>
          <w:tcPr>
            <w:tcW w:w="1387" w:type="dxa"/>
            <w:vAlign w:val="center"/>
          </w:tcPr>
          <w:p w:rsidR="006B7D82" w:rsidRDefault="0071631A">
            <w:pPr>
              <w:jc w:val="right"/>
            </w:pPr>
            <w:r>
              <w:rPr>
                <w:color w:val="000000"/>
                <w:sz w:val="24"/>
                <w:szCs w:val="24"/>
              </w:rPr>
              <w:t>2,600</w:t>
            </w:r>
          </w:p>
        </w:tc>
        <w:tc>
          <w:tcPr>
            <w:tcW w:w="2150" w:type="dxa"/>
            <w:vAlign w:val="center"/>
          </w:tcPr>
          <w:p w:rsidR="006B7D82" w:rsidRDefault="0071631A">
            <w:pPr>
              <w:jc w:val="right"/>
            </w:pPr>
            <w:r>
              <w:rPr>
                <w:color w:val="000000"/>
                <w:sz w:val="24"/>
                <w:szCs w:val="24"/>
              </w:rPr>
              <w:t>260,000.00</w:t>
            </w:r>
          </w:p>
        </w:tc>
        <w:tc>
          <w:tcPr>
            <w:tcW w:w="1237" w:type="dxa"/>
            <w:vAlign w:val="center"/>
          </w:tcPr>
          <w:p w:rsidR="006B7D82" w:rsidRDefault="0071631A">
            <w:pPr>
              <w:jc w:val="right"/>
            </w:pPr>
            <w:r>
              <w:rPr>
                <w:color w:val="000000"/>
                <w:sz w:val="24"/>
                <w:szCs w:val="24"/>
              </w:rPr>
              <w:t>0.01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478"/>
        <w:gridCol w:w="1479"/>
        <w:gridCol w:w="1479"/>
        <w:gridCol w:w="1479"/>
        <w:gridCol w:w="1480"/>
        <w:gridCol w:w="1473"/>
      </w:tblGrid>
      <w:tr w:rsidR="00275745" w:rsidRPr="00414345" w:rsidTr="00AB4DB6">
        <w:trPr>
          <w:trHeight w:val="105"/>
          <w:jc w:val="center"/>
        </w:trPr>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代码</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名称</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持仓量</w:t>
            </w:r>
          </w:p>
        </w:tc>
        <w:tc>
          <w:tcPr>
            <w:tcW w:w="1422"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合约市值</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23" w:type="dxa"/>
            <w:vAlign w:val="center"/>
          </w:tcPr>
          <w:p w:rsidR="00275745" w:rsidRPr="00414345" w:rsidRDefault="00275745" w:rsidP="00C15CAC">
            <w:pPr>
              <w:pStyle w:val="Default"/>
              <w:spacing w:before="29" w:line="288" w:lineRule="auto"/>
              <w:jc w:val="center"/>
              <w:rPr>
                <w:rFonts w:ascii="Times New Roman" w:hAnsi="Times New Roman" w:cs="Times New Roman"/>
              </w:rPr>
            </w:pPr>
            <w:r w:rsidRPr="00414345">
              <w:rPr>
                <w:rFonts w:ascii="Times New Roman" w:hAnsi="Times New Roman" w:cs="Times New Roman"/>
              </w:rPr>
              <w:t>公允价值变动</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center"/>
              <w:rPr>
                <w:rFonts w:ascii="Times New Roman" w:hAnsi="Times New Roman" w:cs="Times New Roman"/>
                <w:color w:val="auto"/>
              </w:rPr>
            </w:pPr>
            <w:r w:rsidRPr="00414345">
              <w:rPr>
                <w:rFonts w:ascii="Times New Roman" w:hAnsi="Times New Roman" w:cs="Times New Roman"/>
                <w:color w:val="auto"/>
              </w:rPr>
              <w:t>风险说明</w:t>
            </w:r>
          </w:p>
        </w:tc>
      </w:tr>
      <w:tr w:rsidR="006B7D82">
        <w:trPr>
          <w:jc w:val="center"/>
        </w:trPr>
        <w:tc>
          <w:tcPr>
            <w:tcW w:w="1478" w:type="dxa"/>
            <w:vAlign w:val="center"/>
          </w:tcPr>
          <w:p w:rsidR="006B7D82" w:rsidRDefault="0071631A">
            <w:pPr>
              <w:jc w:val="center"/>
            </w:pPr>
            <w:r>
              <w:t>IC2007</w:t>
            </w:r>
          </w:p>
        </w:tc>
        <w:tc>
          <w:tcPr>
            <w:tcW w:w="1479" w:type="dxa"/>
            <w:vAlign w:val="center"/>
          </w:tcPr>
          <w:p w:rsidR="006B7D82" w:rsidRDefault="0071631A">
            <w:pPr>
              <w:jc w:val="left"/>
            </w:pPr>
            <w:r>
              <w:t>IC2007</w:t>
            </w:r>
          </w:p>
        </w:tc>
        <w:tc>
          <w:tcPr>
            <w:tcW w:w="1479" w:type="dxa"/>
            <w:vAlign w:val="center"/>
          </w:tcPr>
          <w:p w:rsidR="006B7D82" w:rsidRDefault="0071631A">
            <w:pPr>
              <w:jc w:val="right"/>
            </w:pPr>
            <w:r>
              <w:t>69.00</w:t>
            </w:r>
          </w:p>
        </w:tc>
        <w:tc>
          <w:tcPr>
            <w:tcW w:w="1479" w:type="dxa"/>
            <w:vAlign w:val="center"/>
          </w:tcPr>
          <w:p w:rsidR="006B7D82" w:rsidRDefault="0071631A">
            <w:pPr>
              <w:jc w:val="right"/>
            </w:pPr>
            <w:r>
              <w:t>-80,031,720.00</w:t>
            </w:r>
          </w:p>
        </w:tc>
        <w:tc>
          <w:tcPr>
            <w:tcW w:w="1480" w:type="dxa"/>
            <w:vAlign w:val="center"/>
          </w:tcPr>
          <w:p w:rsidR="006B7D82" w:rsidRDefault="0071631A">
            <w:pPr>
              <w:jc w:val="right"/>
            </w:pPr>
            <w:r>
              <w:t>-5,647,320.00</w:t>
            </w:r>
          </w:p>
        </w:tc>
        <w:tc>
          <w:tcPr>
            <w:tcW w:w="1473" w:type="dxa"/>
            <w:vAlign w:val="center"/>
          </w:tcPr>
          <w:p w:rsidR="006B7D82" w:rsidRDefault="0071631A">
            <w:pPr>
              <w:jc w:val="left"/>
            </w:pPr>
            <w:r>
              <w:t>-</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rPr>
            </w:pPr>
            <w:r w:rsidRPr="00414345">
              <w:rPr>
                <w:rFonts w:ascii="Times New Roman" w:hAnsi="Times New Roman" w:cs="Times New Roman"/>
              </w:rPr>
              <w:t>公允价值变动总额合计</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-5,647,320.00</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color w:val="auto"/>
              </w:rPr>
            </w:pPr>
            <w:r w:rsidRPr="00414345">
              <w:rPr>
                <w:rFonts w:ascii="Times New Roman" w:hAnsi="Times New Roman" w:cs="Times New Roman"/>
                <w:color w:val="auto"/>
              </w:rPr>
              <w:t>股指期货投资本期收益</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-10,093,760.00</w:t>
            </w:r>
          </w:p>
        </w:tc>
      </w:tr>
      <w:tr w:rsidR="00275745" w:rsidRPr="00414345" w:rsidTr="00AB4DB6">
        <w:trPr>
          <w:trHeight w:val="105"/>
          <w:jc w:val="center"/>
        </w:trPr>
        <w:tc>
          <w:tcPr>
            <w:tcW w:w="7111" w:type="dxa"/>
            <w:gridSpan w:val="5"/>
            <w:vAlign w:val="center"/>
          </w:tcPr>
          <w:p w:rsidR="00275745" w:rsidRPr="00414345" w:rsidRDefault="00275745" w:rsidP="00C15CAC">
            <w:pPr>
              <w:pStyle w:val="Default"/>
              <w:spacing w:before="29" w:line="288" w:lineRule="auto"/>
              <w:rPr>
                <w:rFonts w:ascii="Times New Roman" w:hAnsi="Times New Roman" w:cs="Times New Roman"/>
                <w:color w:val="auto"/>
              </w:rPr>
            </w:pPr>
            <w:r w:rsidRPr="00414345">
              <w:rPr>
                <w:rFonts w:ascii="Times New Roman" w:hAnsi="Times New Roman" w:cs="Times New Roman"/>
                <w:color w:val="auto"/>
              </w:rPr>
              <w:t>股指期货投资本期公允价值变动</w:t>
            </w:r>
            <w:r w:rsidR="00C87129" w:rsidRPr="00414345">
              <w:rPr>
                <w:rFonts w:ascii="Times New Roman" w:hAnsi="Times New Roman" w:cs="Times New Roman"/>
              </w:rPr>
              <w:t>(</w:t>
            </w:r>
            <w:r w:rsidR="00C87129" w:rsidRPr="00414345">
              <w:rPr>
                <w:rFonts w:ascii="Times New Roman" w:hAnsi="Times New Roman" w:cs="Times New Roman"/>
              </w:rPr>
              <w:t>元</w:t>
            </w:r>
            <w:r w:rsidR="00C87129" w:rsidRPr="00414345">
              <w:rPr>
                <w:rFonts w:ascii="Times New Roman" w:hAnsi="Times New Roman" w:cs="Times New Roman"/>
              </w:rPr>
              <w:t>)</w:t>
            </w:r>
          </w:p>
        </w:tc>
        <w:tc>
          <w:tcPr>
            <w:tcW w:w="1416" w:type="dxa"/>
            <w:vAlign w:val="center"/>
          </w:tcPr>
          <w:p w:rsidR="00275745" w:rsidRPr="00414345" w:rsidRDefault="00275745" w:rsidP="00C15CAC">
            <w:pPr>
              <w:pStyle w:val="Default"/>
              <w:spacing w:before="29" w:line="288" w:lineRule="auto"/>
              <w:jc w:val="right"/>
              <w:rPr>
                <w:rFonts w:ascii="Times New Roman" w:hAnsi="Times New Roman" w:cs="Times New Roman"/>
                <w:color w:val="auto"/>
              </w:rPr>
            </w:pPr>
            <w:r w:rsidRPr="00414345">
              <w:rPr>
                <w:rFonts w:ascii="Times New Roman" w:hAnsi="Times New Roman" w:cs="Times New Roman"/>
                <w:color w:val="auto"/>
              </w:rPr>
              <w:t>-5,647,320.00</w:t>
            </w:r>
          </w:p>
        </w:tc>
      </w:tr>
    </w:tbl>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10,610,356.34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24,022,370.83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811,614.17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2,787,785.50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38,232,126.84</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066A97" w:rsidRPr="00414345" w:rsidRDefault="00066A97" w:rsidP="00066A97">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5F1F22"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6B7D82">
        <w:trPr>
          <w:jc w:val="center"/>
        </w:trPr>
        <w:tc>
          <w:tcPr>
            <w:tcW w:w="1129" w:type="dxa"/>
            <w:vAlign w:val="center"/>
          </w:tcPr>
          <w:p w:rsidR="006B7D82" w:rsidRDefault="0071631A">
            <w:pPr>
              <w:jc w:val="center"/>
            </w:pPr>
            <w:r>
              <w:rPr>
                <w:color w:val="000000"/>
                <w:sz w:val="24"/>
                <w:szCs w:val="24"/>
              </w:rPr>
              <w:t>1</w:t>
            </w:r>
          </w:p>
        </w:tc>
        <w:tc>
          <w:tcPr>
            <w:tcW w:w="1356" w:type="dxa"/>
            <w:vAlign w:val="center"/>
          </w:tcPr>
          <w:p w:rsidR="006B7D82" w:rsidRDefault="0071631A">
            <w:pPr>
              <w:jc w:val="center"/>
            </w:pPr>
            <w:r>
              <w:rPr>
                <w:color w:val="000000"/>
                <w:sz w:val="24"/>
                <w:szCs w:val="24"/>
              </w:rPr>
              <w:t>600529</w:t>
            </w:r>
          </w:p>
        </w:tc>
        <w:tc>
          <w:tcPr>
            <w:tcW w:w="1355" w:type="dxa"/>
            <w:vAlign w:val="center"/>
          </w:tcPr>
          <w:p w:rsidR="006B7D82" w:rsidRDefault="0071631A">
            <w:pPr>
              <w:jc w:val="center"/>
            </w:pPr>
            <w:r>
              <w:rPr>
                <w:color w:val="000000"/>
                <w:sz w:val="24"/>
                <w:szCs w:val="24"/>
              </w:rPr>
              <w:t>山东药玻</w:t>
            </w:r>
          </w:p>
        </w:tc>
        <w:tc>
          <w:tcPr>
            <w:tcW w:w="1880" w:type="dxa"/>
            <w:vAlign w:val="center"/>
          </w:tcPr>
          <w:p w:rsidR="006B7D82" w:rsidRDefault="0071631A">
            <w:pPr>
              <w:jc w:val="right"/>
            </w:pPr>
            <w:r>
              <w:rPr>
                <w:color w:val="000000"/>
                <w:sz w:val="24"/>
                <w:szCs w:val="24"/>
              </w:rPr>
              <w:t>8,278,500.00</w:t>
            </w:r>
          </w:p>
        </w:tc>
        <w:tc>
          <w:tcPr>
            <w:tcW w:w="1724" w:type="dxa"/>
            <w:vAlign w:val="center"/>
          </w:tcPr>
          <w:p w:rsidR="006B7D82" w:rsidRDefault="0071631A">
            <w:pPr>
              <w:jc w:val="right"/>
            </w:pPr>
            <w:r>
              <w:rPr>
                <w:color w:val="000000"/>
                <w:sz w:val="24"/>
                <w:szCs w:val="24"/>
              </w:rPr>
              <w:t>0.25</w:t>
            </w:r>
          </w:p>
        </w:tc>
        <w:tc>
          <w:tcPr>
            <w:tcW w:w="1424" w:type="dxa"/>
            <w:vAlign w:val="center"/>
          </w:tcPr>
          <w:p w:rsidR="006B7D82" w:rsidRDefault="0071631A">
            <w:pPr>
              <w:jc w:val="right"/>
              <w:rPr>
                <w:rFonts w:hint="eastAsia"/>
              </w:rPr>
            </w:pPr>
            <w:r>
              <w:rPr>
                <w:rFonts w:hint="eastAsia"/>
                <w:color w:val="000000"/>
                <w:sz w:val="24"/>
                <w:szCs w:val="24"/>
              </w:rPr>
              <w:t>限售股</w:t>
            </w:r>
          </w:p>
        </w:tc>
      </w:tr>
    </w:tbl>
    <w:p w:rsidR="002918E3" w:rsidRPr="00414345" w:rsidRDefault="002918E3" w:rsidP="00C15CAC">
      <w:pPr>
        <w:autoSpaceDE w:val="0"/>
        <w:autoSpaceDN w:val="0"/>
        <w:adjustRightInd w:val="0"/>
        <w:spacing w:before="29" w:line="288" w:lineRule="auto"/>
        <w:rPr>
          <w:color w:val="000000"/>
          <w:sz w:val="24"/>
          <w:szCs w:val="24"/>
        </w:rPr>
      </w:pPr>
      <w:bookmarkStart w:id="0" w:name="_GoBack"/>
      <w:bookmarkEnd w:id="0"/>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2,514,853,678.78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49,371,796.37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404,904,820.21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2,159,320,654.94</w:t>
            </w:r>
          </w:p>
        </w:tc>
      </w:tr>
    </w:tbl>
    <w:p w:rsidR="006B7D82" w:rsidRDefault="0071631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6B7D82">
        <w:tc>
          <w:tcPr>
            <w:tcW w:w="993" w:type="dxa"/>
            <w:vMerge w:val="restart"/>
          </w:tcPr>
          <w:p w:rsidR="006B7D82" w:rsidRDefault="006B7D82"/>
          <w:p w:rsidR="006B7D82" w:rsidRDefault="0071631A">
            <w:r>
              <w:rPr>
                <w:rFonts w:ascii="宋体" w:hAnsi="宋体" w:hint="eastAsia"/>
                <w:bCs/>
                <w:color w:val="000000"/>
                <w:kern w:val="0"/>
              </w:rPr>
              <w:t>机构</w:t>
            </w:r>
          </w:p>
        </w:tc>
        <w:tc>
          <w:tcPr>
            <w:tcW w:w="992" w:type="dxa"/>
            <w:vAlign w:val="center"/>
          </w:tcPr>
          <w:p w:rsidR="006B7D82" w:rsidRDefault="0071631A">
            <w:pPr>
              <w:jc w:val="center"/>
            </w:pPr>
            <w:r>
              <w:rPr>
                <w:rFonts w:ascii="宋体" w:hAnsi="宋体"/>
                <w:color w:val="000000"/>
                <w:kern w:val="0"/>
              </w:rPr>
              <w:t>1</w:t>
            </w:r>
          </w:p>
        </w:tc>
        <w:tc>
          <w:tcPr>
            <w:tcW w:w="1843" w:type="dxa"/>
            <w:vAlign w:val="center"/>
          </w:tcPr>
          <w:p w:rsidR="006B7D82" w:rsidRDefault="0071631A">
            <w:pPr>
              <w:jc w:val="center"/>
            </w:pPr>
            <w:r>
              <w:rPr>
                <w:rFonts w:ascii="宋体" w:hAnsi="宋体"/>
                <w:color w:val="000000"/>
                <w:kern w:val="0"/>
              </w:rPr>
              <w:t>2020/4/1-2020/6/30</w:t>
            </w:r>
          </w:p>
        </w:tc>
        <w:tc>
          <w:tcPr>
            <w:tcW w:w="851" w:type="dxa"/>
            <w:vAlign w:val="center"/>
          </w:tcPr>
          <w:p w:rsidR="006B7D82" w:rsidRDefault="0071631A">
            <w:pPr>
              <w:jc w:val="center"/>
            </w:pPr>
            <w:r>
              <w:rPr>
                <w:rFonts w:ascii="宋体" w:hAnsi="宋体"/>
                <w:color w:val="000000"/>
                <w:kern w:val="0"/>
              </w:rPr>
              <w:t>455,301,255.01</w:t>
            </w:r>
          </w:p>
        </w:tc>
        <w:tc>
          <w:tcPr>
            <w:tcW w:w="850" w:type="dxa"/>
            <w:vAlign w:val="center"/>
          </w:tcPr>
          <w:p w:rsidR="006B7D82" w:rsidRDefault="0071631A">
            <w:pPr>
              <w:jc w:val="center"/>
            </w:pPr>
            <w:r>
              <w:rPr>
                <w:rFonts w:ascii="宋体" w:hAnsi="宋体"/>
                <w:color w:val="000000"/>
                <w:kern w:val="0"/>
              </w:rPr>
              <w:t>-</w:t>
            </w:r>
          </w:p>
        </w:tc>
        <w:tc>
          <w:tcPr>
            <w:tcW w:w="1134" w:type="dxa"/>
            <w:vAlign w:val="center"/>
          </w:tcPr>
          <w:p w:rsidR="006B7D82" w:rsidRDefault="0071631A">
            <w:pPr>
              <w:jc w:val="center"/>
            </w:pPr>
            <w:r>
              <w:rPr>
                <w:rFonts w:ascii="宋体" w:hAnsi="宋体"/>
                <w:color w:val="000000"/>
                <w:kern w:val="0"/>
              </w:rPr>
              <w:t>22,000,000.00</w:t>
            </w:r>
          </w:p>
        </w:tc>
        <w:tc>
          <w:tcPr>
            <w:tcW w:w="1419" w:type="dxa"/>
            <w:vAlign w:val="center"/>
          </w:tcPr>
          <w:p w:rsidR="006B7D82" w:rsidRDefault="0071631A">
            <w:pPr>
              <w:jc w:val="center"/>
            </w:pPr>
            <w:r>
              <w:rPr>
                <w:rFonts w:ascii="宋体" w:hAnsi="宋体"/>
                <w:color w:val="000000"/>
                <w:kern w:val="0"/>
              </w:rPr>
              <w:t>433,301,255.01</w:t>
            </w:r>
          </w:p>
        </w:tc>
        <w:tc>
          <w:tcPr>
            <w:tcW w:w="1130" w:type="dxa"/>
            <w:vAlign w:val="center"/>
          </w:tcPr>
          <w:p w:rsidR="006B7D82" w:rsidRDefault="0071631A">
            <w:pPr>
              <w:jc w:val="center"/>
            </w:pPr>
            <w:r>
              <w:rPr>
                <w:rFonts w:ascii="宋体" w:hAnsi="宋体"/>
                <w:color w:val="000000"/>
                <w:kern w:val="0"/>
              </w:rPr>
              <w:t>20.07%</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6B7D82" w:rsidRDefault="0071631A">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、中国证监会准予交银施罗德持续成长主题混合型证券投资基金募集注册的文件；</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、《交银施罗德持续成长主题混合型证券投资基金基金合同》；</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、《交银施罗德持续成长主题混合型证券投资基金招募说明书》；</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、《交银施罗德持续成长主题混合型证券投资基金托管协议》；</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、关于申请募集注册交银施罗德持续成长主题混合型证券投资基金的法律意见书；</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6B7D82" w:rsidRDefault="0071631A">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、报告期内交银施罗德持续成长主题混合型证券投资基金在指定报刊上各项公告的原稿。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6B7D82" w:rsidRDefault="0071631A">
      <w:pPr>
        <w:spacing w:before="29" w:line="288" w:lineRule="auto"/>
        <w:ind w:firstLineChars="200" w:firstLine="480"/>
        <w:rPr>
          <w:color w:val="000000"/>
          <w:sz w:val="24"/>
          <w:szCs w:val="24"/>
        </w:rPr>
      </w:pPr>
      <w:r>
        <w:rPr>
          <w:color w:val="000000"/>
          <w:sz w:val="24"/>
          <w:szCs w:val="24"/>
        </w:rPr>
        <w:t>投资者</w:t>
      </w:r>
      <w:r>
        <w:rPr>
          <w:color w:val="000000"/>
          <w:sz w:val="24"/>
          <w:szCs w:val="24"/>
        </w:rPr>
        <w:t>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71631A">
      <w:rPr>
        <w:noProof/>
        <w:kern w:val="0"/>
        <w:szCs w:val="21"/>
      </w:rPr>
      <w:t>10</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71631A">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sidP="00876D65">
      <w:r>
        <w:separator/>
      </w:r>
    </w:p>
  </w:footnote>
  <w:footnote w:type="continuationSeparator" w:id="0">
    <w:p w:rsidR="00C11AA1" w:rsidRDefault="00C11AA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交银施罗德持续成长主题混合型证券投资基金</w:t>
    </w:r>
    <w:r w:rsidRPr="003E676C">
      <w:rPr>
        <w:sz w:val="24"/>
        <w:szCs w:val="24"/>
      </w:rPr>
      <w:t>2020</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B7D82"/>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1631A"/>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F019-E013-4116-A5DE-091D0EA7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12</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biz-heshuo</cp:lastModifiedBy>
  <cp:revision>601</cp:revision>
  <dcterms:created xsi:type="dcterms:W3CDTF">2012-10-16T06:07:00Z</dcterms:created>
  <dcterms:modified xsi:type="dcterms:W3CDTF">2020-07-10T07:18:00Z</dcterms:modified>
</cp:coreProperties>
</file>