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9,262,277.68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7,202,885.67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2,059,392.01</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96,121.78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26,756.66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78,416.41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21,803.78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0.0101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8,072,430.38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2,269,151.40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1.121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1.102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1.08%</w:t>
            </w:r>
          </w:p>
        </w:tc>
        <w:tc>
          <w:tcPr>
            <w:vAlign w:val="center"/>
          </w:tcPr>
          <w:p>
            <w:pPr>
              <w:jc w:val="center"/>
            </w:pPr>
            <w:r>
              <w:rPr>
                <w:color w:val="000000"/>
                <w:sz w:val="24"/>
              </w:rPr>
              <w:t>0.16%</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2.12%</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2.84%</w:t>
            </w:r>
          </w:p>
        </w:tc>
        <w:tc>
          <w:tcPr>
            <w:vAlign w:val="center"/>
          </w:tcPr>
          <w:p>
            <w:pPr>
              <w:jc w:val="center"/>
            </w:pPr>
            <w:r>
              <w:rPr>
                <w:color w:val="000000"/>
                <w:sz w:val="24"/>
              </w:rPr>
              <w:t>0.23%</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2.05%</w:t>
            </w:r>
          </w:p>
        </w:tc>
        <w:tc>
          <w:tcPr>
            <w:vAlign w:val="center"/>
          </w:tcPr>
          <w:p>
            <w:pPr>
              <w:jc w:val="center"/>
            </w:pPr>
            <w:r>
              <w:rPr>
                <w:color w:val="000000"/>
                <w:sz w:val="24"/>
              </w:rPr>
              <w:t>0.12%</w:t>
            </w:r>
          </w:p>
        </w:tc>
      </w:tr>
      <w:tr>
        <w:tc>
          <w:tcPr>
            <w:vAlign w:val="center"/>
          </w:tcPr>
          <w:p>
            <w:pPr>
              <w:jc w:val="left"/>
            </w:pPr>
            <w:r>
              <w:rPr>
                <w:color w:val="000000"/>
                <w:sz w:val="24"/>
              </w:rPr>
              <w:t>过去一年</w:t>
            </w:r>
          </w:p>
        </w:tc>
        <w:tc>
          <w:tcPr>
            <w:vAlign w:val="center"/>
          </w:tcPr>
          <w:p>
            <w:pPr>
              <w:jc w:val="center"/>
            </w:pPr>
            <w:r>
              <w:rPr>
                <w:color w:val="000000"/>
                <w:sz w:val="24"/>
              </w:rPr>
              <w:t>7.68%</w:t>
            </w:r>
          </w:p>
        </w:tc>
        <w:tc>
          <w:tcPr>
            <w:vAlign w:val="center"/>
          </w:tcPr>
          <w:p>
            <w:pPr>
              <w:jc w:val="center"/>
            </w:pPr>
            <w:r>
              <w:rPr>
                <w:color w:val="000000"/>
                <w:sz w:val="24"/>
              </w:rPr>
              <w:t>0.21%</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5.81%</w:t>
            </w:r>
          </w:p>
        </w:tc>
        <w:tc>
          <w:tcPr>
            <w:vAlign w:val="center"/>
          </w:tcPr>
          <w:p>
            <w:pPr>
              <w:jc w:val="center"/>
            </w:pPr>
            <w:r>
              <w:rPr>
                <w:color w:val="000000"/>
                <w:sz w:val="24"/>
              </w:rPr>
              <w:t>0.13%</w:t>
            </w:r>
          </w:p>
        </w:tc>
      </w:tr>
      <w:tr>
        <w:tc>
          <w:tcPr>
            <w:vAlign w:val="center"/>
          </w:tcPr>
          <w:p>
            <w:pPr>
              <w:jc w:val="left"/>
            </w:pPr>
            <w:r>
              <w:rPr>
                <w:color w:val="000000"/>
                <w:sz w:val="24"/>
              </w:rPr>
              <w:t>过去三年</w:t>
            </w:r>
          </w:p>
        </w:tc>
        <w:tc>
          <w:tcPr>
            <w:vAlign w:val="center"/>
          </w:tcPr>
          <w:p>
            <w:pPr>
              <w:jc w:val="center"/>
            </w:pPr>
            <w:r>
              <w:rPr>
                <w:color w:val="000000"/>
                <w:sz w:val="24"/>
              </w:rPr>
              <w:t>11.21%</w:t>
            </w:r>
          </w:p>
        </w:tc>
        <w:tc>
          <w:tcPr>
            <w:vAlign w:val="center"/>
          </w:tcPr>
          <w:p>
            <w:pPr>
              <w:jc w:val="center"/>
            </w:pPr>
            <w:r>
              <w:rPr>
                <w:color w:val="000000"/>
                <w:sz w:val="24"/>
              </w:rPr>
              <w:t>0.27%</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5.60%</w:t>
            </w:r>
          </w:p>
        </w:tc>
        <w:tc>
          <w:tcPr>
            <w:vAlign w:val="center"/>
          </w:tcPr>
          <w:p>
            <w:pPr>
              <w:jc w:val="center"/>
            </w:pPr>
            <w:r>
              <w:rPr>
                <w:color w:val="000000"/>
                <w:sz w:val="24"/>
              </w:rPr>
              <w:t>0.20%</w:t>
            </w:r>
          </w:p>
        </w:tc>
      </w:tr>
      <w:tr>
        <w:tc>
          <w:tcPr>
            <w:vAlign w:val="center"/>
          </w:tcPr>
          <w:p>
            <w:pPr>
              <w:jc w:val="left"/>
            </w:pPr>
            <w:r>
              <w:rPr>
                <w:color w:val="000000"/>
                <w:sz w:val="24"/>
              </w:rPr>
              <w:t>过去五年</w:t>
            </w:r>
          </w:p>
        </w:tc>
        <w:tc>
          <w:tcPr>
            <w:vAlign w:val="center"/>
          </w:tcPr>
          <w:p>
            <w:pPr>
              <w:jc w:val="center"/>
            </w:pPr>
            <w:r>
              <w:rPr>
                <w:color w:val="000000"/>
                <w:sz w:val="24"/>
              </w:rPr>
              <w:t>12.79%</w:t>
            </w:r>
          </w:p>
        </w:tc>
        <w:tc>
          <w:tcPr>
            <w:vAlign w:val="center"/>
          </w:tcPr>
          <w:p>
            <w:pPr>
              <w:jc w:val="center"/>
            </w:pPr>
            <w:r>
              <w:rPr>
                <w:color w:val="000000"/>
                <w:sz w:val="24"/>
              </w:rPr>
              <w:t>0.27%</w:t>
            </w:r>
          </w:p>
        </w:tc>
        <w:tc>
          <w:tcPr>
            <w:vAlign w:val="center"/>
          </w:tcPr>
          <w:p>
            <w:pPr>
              <w:jc w:val="center"/>
            </w:pPr>
            <w:r>
              <w:rPr>
                <w:color w:val="000000"/>
                <w:sz w:val="24"/>
              </w:rPr>
              <w:t>4.70%</w:t>
            </w:r>
          </w:p>
        </w:tc>
        <w:tc>
          <w:tcPr>
            <w:vAlign w:val="center"/>
          </w:tcPr>
          <w:p>
            <w:pPr>
              <w:jc w:val="center"/>
            </w:pPr>
            <w:r>
              <w:rPr>
                <w:color w:val="000000"/>
                <w:sz w:val="24"/>
              </w:rPr>
              <w:t>0.08%</w:t>
            </w:r>
          </w:p>
        </w:tc>
        <w:tc>
          <w:tcPr>
            <w:vAlign w:val="center"/>
          </w:tcPr>
          <w:p>
            <w:pPr>
              <w:jc w:val="center"/>
            </w:pPr>
            <w:r>
              <w:rPr>
                <w:color w:val="000000"/>
                <w:sz w:val="24"/>
              </w:rPr>
              <w:t>8.09%</w:t>
            </w:r>
          </w:p>
        </w:tc>
        <w:tc>
          <w:tcPr>
            <w:vAlign w:val="center"/>
          </w:tcPr>
          <w:p>
            <w:pPr>
              <w:jc w:val="center"/>
            </w:pPr>
            <w:r>
              <w:rPr>
                <w:color w:val="000000"/>
                <w:sz w:val="24"/>
              </w:rPr>
              <w:t>0.19%</w:t>
            </w:r>
          </w:p>
        </w:tc>
      </w:tr>
      <w:tr>
        <w:tc>
          <w:tcPr>
            <w:vAlign w:val="center"/>
          </w:tcPr>
          <w:p>
            <w:pPr>
              <w:jc w:val="left"/>
            </w:pPr>
            <w:r>
              <w:rPr>
                <w:color w:val="000000"/>
                <w:sz w:val="24"/>
              </w:rPr>
              <w:t>自基金合同生效起至今</w:t>
            </w:r>
          </w:p>
        </w:tc>
        <w:tc>
          <w:tcPr>
            <w:vAlign w:val="center"/>
          </w:tcPr>
          <w:p>
            <w:pPr>
              <w:jc w:val="center"/>
            </w:pPr>
            <w:r>
              <w:rPr>
                <w:color w:val="000000"/>
                <w:sz w:val="24"/>
              </w:rPr>
              <w:t>35.28%</w:t>
            </w:r>
          </w:p>
        </w:tc>
        <w:tc>
          <w:tcPr>
            <w:vAlign w:val="center"/>
          </w:tcPr>
          <w:p>
            <w:pPr>
              <w:jc w:val="center"/>
            </w:pPr>
            <w:r>
              <w:rPr>
                <w:color w:val="000000"/>
                <w:sz w:val="24"/>
              </w:rPr>
              <w:t>0.28%</w:t>
            </w:r>
          </w:p>
        </w:tc>
        <w:tc>
          <w:tcPr>
            <w:vAlign w:val="center"/>
          </w:tcPr>
          <w:p>
            <w:pPr>
              <w:jc w:val="center"/>
            </w:pPr>
            <w:r>
              <w:rPr>
                <w:color w:val="000000"/>
                <w:sz w:val="24"/>
              </w:rPr>
              <w:t>12.00%</w:t>
            </w:r>
          </w:p>
        </w:tc>
        <w:tc>
          <w:tcPr>
            <w:vAlign w:val="center"/>
          </w:tcPr>
          <w:p>
            <w:pPr>
              <w:jc w:val="center"/>
            </w:pPr>
            <w:r>
              <w:rPr>
                <w:color w:val="000000"/>
                <w:sz w:val="24"/>
              </w:rPr>
              <w:t>0.08%</w:t>
            </w:r>
          </w:p>
        </w:tc>
        <w:tc>
          <w:tcPr>
            <w:vAlign w:val="center"/>
          </w:tcPr>
          <w:p>
            <w:pPr>
              <w:jc w:val="center"/>
            </w:pPr>
            <w:r>
              <w:rPr>
                <w:color w:val="000000"/>
                <w:sz w:val="24"/>
              </w:rPr>
              <w:t>23.28%</w:t>
            </w:r>
          </w:p>
        </w:tc>
        <w:tc>
          <w:tcPr>
            <w:vAlign w:val="center"/>
          </w:tcPr>
          <w:p>
            <w:pPr>
              <w:jc w:val="center"/>
            </w:pPr>
            <w:r>
              <w:rPr>
                <w:color w:val="000000"/>
                <w:sz w:val="24"/>
              </w:rPr>
              <w:t>0.20%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1.01%</w:t>
            </w:r>
          </w:p>
        </w:tc>
        <w:tc>
          <w:tcPr>
            <w:vAlign w:val="center"/>
          </w:tcPr>
          <w:p>
            <w:pPr>
              <w:jc w:val="center"/>
            </w:pPr>
            <w:r>
              <w:rPr>
                <w:color w:val="000000"/>
                <w:sz w:val="24"/>
              </w:rPr>
              <w:t>0.16%</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2.05%</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2.61%</w:t>
            </w:r>
          </w:p>
        </w:tc>
        <w:tc>
          <w:tcPr>
            <w:vAlign w:val="center"/>
          </w:tcPr>
          <w:p>
            <w:pPr>
              <w:jc w:val="center"/>
            </w:pPr>
            <w:r>
              <w:rPr>
                <w:color w:val="000000"/>
                <w:sz w:val="24"/>
              </w:rPr>
              <w:t>0.22%</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1.82%</w:t>
            </w:r>
          </w:p>
        </w:tc>
        <w:tc>
          <w:tcPr>
            <w:vAlign w:val="center"/>
          </w:tcPr>
          <w:p>
            <w:pPr>
              <w:jc w:val="center"/>
            </w:pPr>
            <w:r>
              <w:rPr>
                <w:color w:val="000000"/>
                <w:sz w:val="24"/>
              </w:rPr>
              <w:t>0.11%</w:t>
            </w:r>
          </w:p>
        </w:tc>
      </w:tr>
      <w:tr>
        <w:tc>
          <w:tcPr>
            <w:vAlign w:val="center"/>
          </w:tcPr>
          <w:p>
            <w:pPr>
              <w:jc w:val="left"/>
            </w:pPr>
            <w:r>
              <w:rPr>
                <w:color w:val="000000"/>
                <w:sz w:val="24"/>
              </w:rPr>
              <w:t>过去一年</w:t>
            </w:r>
          </w:p>
        </w:tc>
        <w:tc>
          <w:tcPr>
            <w:vAlign w:val="center"/>
          </w:tcPr>
          <w:p>
            <w:pPr>
              <w:jc w:val="center"/>
            </w:pPr>
            <w:r>
              <w:rPr>
                <w:color w:val="000000"/>
                <w:sz w:val="24"/>
              </w:rPr>
              <w:t>7.20%</w:t>
            </w:r>
          </w:p>
        </w:tc>
        <w:tc>
          <w:tcPr>
            <w:vAlign w:val="center"/>
          </w:tcPr>
          <w:p>
            <w:pPr>
              <w:jc w:val="center"/>
            </w:pPr>
            <w:r>
              <w:rPr>
                <w:color w:val="000000"/>
                <w:sz w:val="24"/>
              </w:rPr>
              <w:t>0.21%</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5.33%</w:t>
            </w:r>
          </w:p>
        </w:tc>
        <w:tc>
          <w:tcPr>
            <w:vAlign w:val="center"/>
          </w:tcPr>
          <w:p>
            <w:pPr>
              <w:jc w:val="center"/>
            </w:pPr>
            <w:r>
              <w:rPr>
                <w:color w:val="000000"/>
                <w:sz w:val="24"/>
              </w:rPr>
              <w:t>0.13%</w:t>
            </w:r>
          </w:p>
        </w:tc>
      </w:tr>
      <w:tr>
        <w:tc>
          <w:tcPr>
            <w:vAlign w:val="center"/>
          </w:tcPr>
          <w:p>
            <w:pPr>
              <w:jc w:val="left"/>
            </w:pPr>
            <w:r>
              <w:rPr>
                <w:color w:val="000000"/>
                <w:sz w:val="24"/>
              </w:rPr>
              <w:t>过去三年</w:t>
            </w:r>
          </w:p>
        </w:tc>
        <w:tc>
          <w:tcPr>
            <w:vAlign w:val="center"/>
          </w:tcPr>
          <w:p>
            <w:pPr>
              <w:jc w:val="center"/>
            </w:pPr>
            <w:r>
              <w:rPr>
                <w:color w:val="000000"/>
                <w:sz w:val="24"/>
              </w:rPr>
              <w:t>9.76%</w:t>
            </w:r>
          </w:p>
        </w:tc>
        <w:tc>
          <w:tcPr>
            <w:vAlign w:val="center"/>
          </w:tcPr>
          <w:p>
            <w:pPr>
              <w:jc w:val="center"/>
            </w:pPr>
            <w:r>
              <w:rPr>
                <w:color w:val="000000"/>
                <w:sz w:val="24"/>
              </w:rPr>
              <w:t>0.27%</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4.15%</w:t>
            </w:r>
          </w:p>
        </w:tc>
        <w:tc>
          <w:tcPr>
            <w:vAlign w:val="center"/>
          </w:tcPr>
          <w:p>
            <w:pPr>
              <w:jc w:val="center"/>
            </w:pPr>
            <w:r>
              <w:rPr>
                <w:color w:val="000000"/>
                <w:sz w:val="24"/>
              </w:rPr>
              <w:t>0.20%</w:t>
            </w:r>
          </w:p>
        </w:tc>
      </w:tr>
      <w:tr>
        <w:tc>
          <w:tcPr>
            <w:vAlign w:val="center"/>
          </w:tcPr>
          <w:p>
            <w:pPr>
              <w:jc w:val="left"/>
            </w:pPr>
            <w:r>
              <w:rPr>
                <w:color w:val="000000"/>
                <w:sz w:val="24"/>
              </w:rPr>
              <w:t>过去五年</w:t>
            </w:r>
          </w:p>
        </w:tc>
        <w:tc>
          <w:tcPr>
            <w:vAlign w:val="center"/>
          </w:tcPr>
          <w:p>
            <w:pPr>
              <w:jc w:val="center"/>
            </w:pPr>
            <w:r>
              <w:rPr>
                <w:color w:val="000000"/>
                <w:sz w:val="24"/>
              </w:rPr>
              <w:t>10.17%</w:t>
            </w:r>
          </w:p>
        </w:tc>
        <w:tc>
          <w:tcPr>
            <w:vAlign w:val="center"/>
          </w:tcPr>
          <w:p>
            <w:pPr>
              <w:jc w:val="center"/>
            </w:pPr>
            <w:r>
              <w:rPr>
                <w:color w:val="000000"/>
                <w:sz w:val="24"/>
              </w:rPr>
              <w:t>0.27%</w:t>
            </w:r>
          </w:p>
        </w:tc>
        <w:tc>
          <w:tcPr>
            <w:vAlign w:val="center"/>
          </w:tcPr>
          <w:p>
            <w:pPr>
              <w:jc w:val="center"/>
            </w:pPr>
            <w:r>
              <w:rPr>
                <w:color w:val="000000"/>
                <w:sz w:val="24"/>
              </w:rPr>
              <w:t>4.70%</w:t>
            </w:r>
          </w:p>
        </w:tc>
        <w:tc>
          <w:tcPr>
            <w:vAlign w:val="center"/>
          </w:tcPr>
          <w:p>
            <w:pPr>
              <w:jc w:val="center"/>
            </w:pPr>
            <w:r>
              <w:rPr>
                <w:color w:val="000000"/>
                <w:sz w:val="24"/>
              </w:rPr>
              <w:t>0.08%</w:t>
            </w:r>
          </w:p>
        </w:tc>
        <w:tc>
          <w:tcPr>
            <w:vAlign w:val="center"/>
          </w:tcPr>
          <w:p>
            <w:pPr>
              <w:jc w:val="center"/>
            </w:pPr>
            <w:r>
              <w:rPr>
                <w:color w:val="000000"/>
                <w:sz w:val="24"/>
              </w:rPr>
              <w:t>5.47%</w:t>
            </w:r>
          </w:p>
        </w:tc>
        <w:tc>
          <w:tcPr>
            <w:vAlign w:val="center"/>
          </w:tcPr>
          <w:p>
            <w:pPr>
              <w:jc w:val="center"/>
            </w:pPr>
            <w:r>
              <w:rPr>
                <w:color w:val="000000"/>
                <w:sz w:val="24"/>
              </w:rPr>
              <w:t>0.19%</w:t>
            </w:r>
          </w:p>
        </w:tc>
      </w:tr>
      <w:tr>
        <w:tc>
          <w:tcPr>
            <w:vAlign w:val="center"/>
          </w:tcPr>
          <w:p>
            <w:pPr>
              <w:jc w:val="left"/>
            </w:pPr>
            <w:r>
              <w:rPr>
                <w:color w:val="000000"/>
                <w:sz w:val="24"/>
              </w:rPr>
              <w:t>自基金合同生效起至今</w:t>
            </w:r>
          </w:p>
        </w:tc>
        <w:tc>
          <w:tcPr>
            <w:vAlign w:val="center"/>
          </w:tcPr>
          <w:p>
            <w:pPr>
              <w:jc w:val="center"/>
            </w:pPr>
            <w:r>
              <w:rPr>
                <w:color w:val="000000"/>
                <w:sz w:val="24"/>
              </w:rPr>
              <w:t>31.80%</w:t>
            </w:r>
          </w:p>
        </w:tc>
        <w:tc>
          <w:tcPr>
            <w:vAlign w:val="center"/>
          </w:tcPr>
          <w:p>
            <w:pPr>
              <w:jc w:val="center"/>
            </w:pPr>
            <w:r>
              <w:rPr>
                <w:color w:val="000000"/>
                <w:sz w:val="24"/>
              </w:rPr>
              <w:t>0.29%</w:t>
            </w:r>
          </w:p>
        </w:tc>
        <w:tc>
          <w:tcPr>
            <w:vAlign w:val="center"/>
          </w:tcPr>
          <w:p>
            <w:pPr>
              <w:jc w:val="center"/>
            </w:pPr>
            <w:r>
              <w:rPr>
                <w:color w:val="000000"/>
                <w:sz w:val="24"/>
              </w:rPr>
              <w:t>12.00%</w:t>
            </w:r>
          </w:p>
        </w:tc>
        <w:tc>
          <w:tcPr>
            <w:vAlign w:val="center"/>
          </w:tcPr>
          <w:p>
            <w:pPr>
              <w:jc w:val="center"/>
            </w:pPr>
            <w:r>
              <w:rPr>
                <w:color w:val="000000"/>
                <w:sz w:val="24"/>
              </w:rPr>
              <w:t>0.08%</w:t>
            </w:r>
          </w:p>
        </w:tc>
        <w:tc>
          <w:tcPr>
            <w:vAlign w:val="center"/>
          </w:tcPr>
          <w:p>
            <w:pPr>
              <w:jc w:val="center"/>
            </w:pPr>
            <w:r>
              <w:rPr>
                <w:color w:val="000000"/>
                <w:sz w:val="24"/>
              </w:rPr>
              <w:t>19.80%</w:t>
            </w:r>
          </w:p>
        </w:tc>
        <w:tc>
          <w:tcPr>
            <w:vAlign w:val="center"/>
          </w:tcPr>
          <w:p>
            <w:pPr>
              <w:jc w:val="center"/>
            </w:pPr>
            <w:r>
              <w:rPr>
                <w:color w:val="000000"/>
                <w:sz w:val="24"/>
              </w:rPr>
              <w:t>0.21%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rPr>
      </w:pPr>
      <w:r>
        <w:rPr>
          <w:color w:val="000000"/>
          <w:sz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rPr>
      </w:pPr>
      <w:r>
        <w:rPr>
          <w:color w:val="000000"/>
          <w:sz w:val="24"/>
        </w:rPr>
        <w:t>因此在基金操作中，债券部分我们利率债底仓基本维持中短久期没有变化。权益方面，保持中上水平的仓位，参与了医药消费、新能源车和科技类等主流板块的投资机会。随着相关行业的不断上涨，在季末对组合行业配置进行了一定调整，使之更趋于平衡，以提高配置结构的稳定性。</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上行空间。由于经济目前仍在复苏过程之中，货币政策短期进一步宽松的可能性下降，债市在目前收益率水平下趋于震荡的概率偏大。权益方面，在增量资金不断涌入市场的背景下，仍然较为看好市场的表现，关注景气度较好和政策受益板块的相关投资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1,488,045.00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1,488,045.00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8,491,685.60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77.05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8,491,685.60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77.05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295,865.41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745,531.23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11,021,127.24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707,621.00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6.84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114,870.00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324,730.00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3.14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236,504.00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2.29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104,320.00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1,488,045.00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14.39</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002314</w:t>
            </w:r>
          </w:p>
        </w:tc>
        <w:tc>
          <w:tcPr>
            <w:vAlign w:val="center"/>
          </w:tcPr>
          <w:p>
            <w:pPr>
              <w:jc w:val="center"/>
            </w:pPr>
            <w:r>
              <w:rPr>
                <w:color w:val="000000"/>
                <w:sz w:val="24"/>
              </w:rPr>
              <w:t>南山控股</w:t>
            </w:r>
          </w:p>
        </w:tc>
        <w:tc>
          <w:tcPr>
            <w:vAlign w:val="center"/>
          </w:tcPr>
          <w:p>
            <w:pPr>
              <w:jc w:val="right"/>
            </w:pPr>
            <w:r>
              <w:rPr>
                <w:color w:val="000000"/>
                <w:sz w:val="24"/>
              </w:rPr>
              <w:t>62,900</w:t>
            </w:r>
          </w:p>
        </w:tc>
        <w:tc>
          <w:tcPr>
            <w:vAlign w:val="center"/>
          </w:tcPr>
          <w:p>
            <w:pPr>
              <w:jc w:val="right"/>
            </w:pPr>
            <w:r>
              <w:rPr>
                <w:color w:val="000000"/>
                <w:sz w:val="24"/>
              </w:rPr>
              <w:t>236,504.00</w:t>
            </w:r>
          </w:p>
        </w:tc>
        <w:tc>
          <w:tcPr>
            <w:vAlign w:val="center"/>
          </w:tcPr>
          <w:p>
            <w:pPr>
              <w:jc w:val="right"/>
            </w:pPr>
            <w:r>
              <w:rPr>
                <w:color w:val="000000"/>
                <w:sz w:val="24"/>
              </w:rPr>
              <w:t>2.29</w:t>
            </w:r>
          </w:p>
        </w:tc>
      </w:tr>
      <w:tr>
        <w:tc>
          <w:tcPr>
            <w:vAlign w:val="center"/>
          </w:tcPr>
          <w:p>
            <w:pPr>
              <w:jc w:val="center"/>
            </w:pPr>
            <w:r>
              <w:rPr>
                <w:color w:val="000000"/>
                <w:sz w:val="24"/>
              </w:rPr>
              <w:t>2</w:t>
            </w:r>
          </w:p>
        </w:tc>
        <w:tc>
          <w:tcPr>
            <w:vAlign w:val="center"/>
          </w:tcPr>
          <w:p>
            <w:pPr>
              <w:jc w:val="center"/>
            </w:pPr>
            <w:r>
              <w:rPr>
                <w:color w:val="000000"/>
                <w:sz w:val="24"/>
              </w:rPr>
              <w:t>002028</w:t>
            </w:r>
          </w:p>
        </w:tc>
        <w:tc>
          <w:tcPr>
            <w:vAlign w:val="center"/>
          </w:tcPr>
          <w:p>
            <w:pPr>
              <w:jc w:val="center"/>
            </w:pPr>
            <w:r>
              <w:rPr>
                <w:color w:val="000000"/>
                <w:sz w:val="24"/>
              </w:rPr>
              <w:t>思源电气</w:t>
            </w:r>
          </w:p>
        </w:tc>
        <w:tc>
          <w:tcPr>
            <w:vAlign w:val="center"/>
          </w:tcPr>
          <w:p>
            <w:pPr>
              <w:jc w:val="right"/>
            </w:pPr>
            <w:r>
              <w:rPr>
                <w:color w:val="000000"/>
                <w:sz w:val="24"/>
              </w:rPr>
              <w:t>7,600</w:t>
            </w:r>
          </w:p>
        </w:tc>
        <w:tc>
          <w:tcPr>
            <w:vAlign w:val="center"/>
          </w:tcPr>
          <w:p>
            <w:pPr>
              <w:jc w:val="right"/>
            </w:pPr>
            <w:r>
              <w:rPr>
                <w:color w:val="000000"/>
                <w:sz w:val="24"/>
              </w:rPr>
              <w:t>155,496.00</w:t>
            </w:r>
          </w:p>
        </w:tc>
        <w:tc>
          <w:tcPr>
            <w:vAlign w:val="center"/>
          </w:tcPr>
          <w:p>
            <w:pPr>
              <w:jc w:val="right"/>
            </w:pPr>
            <w:r>
              <w:rPr>
                <w:color w:val="000000"/>
                <w:sz w:val="24"/>
              </w:rPr>
              <w:t>1.50</w:t>
            </w:r>
          </w:p>
        </w:tc>
      </w:tr>
      <w:tr>
        <w:tc>
          <w:tcPr>
            <w:vAlign w:val="center"/>
          </w:tcPr>
          <w:p>
            <w:pPr>
              <w:jc w:val="center"/>
            </w:pPr>
            <w:r>
              <w:rPr>
                <w:color w:val="000000"/>
                <w:sz w:val="24"/>
              </w:rPr>
              <w:t>3</w:t>
            </w:r>
          </w:p>
        </w:tc>
        <w:tc>
          <w:tcPr>
            <w:vAlign w:val="center"/>
          </w:tcPr>
          <w:p>
            <w:pPr>
              <w:jc w:val="center"/>
            </w:pPr>
            <w:r>
              <w:rPr>
                <w:color w:val="000000"/>
                <w:sz w:val="24"/>
              </w:rPr>
              <w:t>603416</w:t>
            </w:r>
          </w:p>
        </w:tc>
        <w:tc>
          <w:tcPr>
            <w:vAlign w:val="center"/>
          </w:tcPr>
          <w:p>
            <w:pPr>
              <w:jc w:val="center"/>
            </w:pPr>
            <w:r>
              <w:rPr>
                <w:color w:val="000000"/>
                <w:sz w:val="24"/>
              </w:rPr>
              <w:t>信捷电气</w:t>
            </w:r>
          </w:p>
        </w:tc>
        <w:tc>
          <w:tcPr>
            <w:vAlign w:val="center"/>
          </w:tcPr>
          <w:p>
            <w:pPr>
              <w:jc w:val="right"/>
            </w:pPr>
            <w:r>
              <w:rPr>
                <w:color w:val="000000"/>
                <w:sz w:val="24"/>
              </w:rPr>
              <w:t>3,900</w:t>
            </w:r>
          </w:p>
        </w:tc>
        <w:tc>
          <w:tcPr>
            <w:vAlign w:val="center"/>
          </w:tcPr>
          <w:p>
            <w:pPr>
              <w:jc w:val="right"/>
            </w:pPr>
            <w:r>
              <w:rPr>
                <w:color w:val="000000"/>
                <w:sz w:val="24"/>
              </w:rPr>
              <w:t>155,454.00</w:t>
            </w:r>
          </w:p>
        </w:tc>
        <w:tc>
          <w:tcPr>
            <w:vAlign w:val="center"/>
          </w:tcPr>
          <w:p>
            <w:pPr>
              <w:jc w:val="right"/>
            </w:pPr>
            <w:r>
              <w:rPr>
                <w:color w:val="000000"/>
                <w:sz w:val="24"/>
              </w:rPr>
              <w:t>1.50</w:t>
            </w:r>
          </w:p>
        </w:tc>
      </w:tr>
      <w:tr>
        <w:tc>
          <w:tcPr>
            <w:vAlign w:val="center"/>
          </w:tcPr>
          <w:p>
            <w:pPr>
              <w:jc w:val="center"/>
            </w:pPr>
            <w:r>
              <w:rPr>
                <w:color w:val="000000"/>
                <w:sz w:val="24"/>
              </w:rPr>
              <w:t>4</w:t>
            </w:r>
          </w:p>
        </w:tc>
        <w:tc>
          <w:tcPr>
            <w:vAlign w:val="center"/>
          </w:tcPr>
          <w:p>
            <w:pPr>
              <w:jc w:val="center"/>
            </w:pPr>
            <w:r>
              <w:rPr>
                <w:color w:val="000000"/>
                <w:sz w:val="24"/>
              </w:rPr>
              <w:t>002352</w:t>
            </w:r>
          </w:p>
        </w:tc>
        <w:tc>
          <w:tcPr>
            <w:vAlign w:val="center"/>
          </w:tcPr>
          <w:p>
            <w:pPr>
              <w:jc w:val="center"/>
            </w:pPr>
            <w:r>
              <w:rPr>
                <w:color w:val="000000"/>
                <w:sz w:val="24"/>
              </w:rPr>
              <w:t>顺丰控股</w:t>
            </w:r>
          </w:p>
        </w:tc>
        <w:tc>
          <w:tcPr>
            <w:vAlign w:val="center"/>
          </w:tcPr>
          <w:p>
            <w:pPr>
              <w:jc w:val="right"/>
            </w:pPr>
            <w:r>
              <w:rPr>
                <w:color w:val="000000"/>
                <w:sz w:val="24"/>
              </w:rPr>
              <w:t>2,100</w:t>
            </w:r>
          </w:p>
        </w:tc>
        <w:tc>
          <w:tcPr>
            <w:vAlign w:val="center"/>
          </w:tcPr>
          <w:p>
            <w:pPr>
              <w:jc w:val="right"/>
            </w:pPr>
            <w:r>
              <w:rPr>
                <w:color w:val="000000"/>
                <w:sz w:val="24"/>
              </w:rPr>
              <w:t>114,870.00</w:t>
            </w:r>
          </w:p>
        </w:tc>
        <w:tc>
          <w:tcPr>
            <w:vAlign w:val="center"/>
          </w:tcPr>
          <w:p>
            <w:pPr>
              <w:jc w:val="right"/>
            </w:pPr>
            <w:r>
              <w:rPr>
                <w:color w:val="000000"/>
                <w:sz w:val="24"/>
              </w:rPr>
              <w:t>1.11</w:t>
            </w:r>
          </w:p>
        </w:tc>
      </w:tr>
      <w:tr>
        <w:tc>
          <w:tcPr>
            <w:vAlign w:val="center"/>
          </w:tcPr>
          <w:p>
            <w:pPr>
              <w:jc w:val="center"/>
            </w:pPr>
            <w:r>
              <w:rPr>
                <w:color w:val="000000"/>
                <w:sz w:val="24"/>
              </w:rPr>
              <w:t>5</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2,400</w:t>
            </w:r>
          </w:p>
        </w:tc>
        <w:tc>
          <w:tcPr>
            <w:vAlign w:val="center"/>
          </w:tcPr>
          <w:p>
            <w:pPr>
              <w:jc w:val="right"/>
            </w:pPr>
            <w:r>
              <w:rPr>
                <w:color w:val="000000"/>
                <w:sz w:val="24"/>
              </w:rPr>
              <w:t>112,320.00</w:t>
            </w:r>
          </w:p>
        </w:tc>
        <w:tc>
          <w:tcPr>
            <w:vAlign w:val="center"/>
          </w:tcPr>
          <w:p>
            <w:pPr>
              <w:jc w:val="right"/>
            </w:pPr>
            <w:r>
              <w:rPr>
                <w:color w:val="000000"/>
                <w:sz w:val="24"/>
              </w:rPr>
              <w:t>1.09</w:t>
            </w:r>
          </w:p>
        </w:tc>
      </w:tr>
      <w:tr>
        <w:tc>
          <w:tcPr>
            <w:vAlign w:val="center"/>
          </w:tcPr>
          <w:p>
            <w:pPr>
              <w:jc w:val="center"/>
            </w:pPr>
            <w:r>
              <w:rPr>
                <w:color w:val="000000"/>
                <w:sz w:val="24"/>
              </w:rPr>
              <w:t>6</w:t>
            </w:r>
          </w:p>
        </w:tc>
        <w:tc>
          <w:tcPr>
            <w:vAlign w:val="center"/>
          </w:tcPr>
          <w:p>
            <w:pPr>
              <w:jc w:val="center"/>
            </w:pPr>
            <w:r>
              <w:rPr>
                <w:color w:val="000000"/>
                <w:sz w:val="24"/>
              </w:rPr>
              <w:t>300451</w:t>
            </w:r>
          </w:p>
        </w:tc>
        <w:tc>
          <w:tcPr>
            <w:vAlign w:val="center"/>
          </w:tcPr>
          <w:p>
            <w:pPr>
              <w:jc w:val="center"/>
            </w:pPr>
            <w:r>
              <w:rPr>
                <w:color w:val="000000"/>
                <w:sz w:val="24"/>
              </w:rPr>
              <w:t>创业慧康</w:t>
            </w:r>
          </w:p>
        </w:tc>
        <w:tc>
          <w:tcPr>
            <w:vAlign w:val="center"/>
          </w:tcPr>
          <w:p>
            <w:pPr>
              <w:jc w:val="right"/>
            </w:pPr>
            <w:r>
              <w:rPr>
                <w:color w:val="000000"/>
                <w:sz w:val="24"/>
              </w:rPr>
              <w:t>5,800</w:t>
            </w:r>
          </w:p>
        </w:tc>
        <w:tc>
          <w:tcPr>
            <w:vAlign w:val="center"/>
          </w:tcPr>
          <w:p>
            <w:pPr>
              <w:jc w:val="right"/>
            </w:pPr>
            <w:r>
              <w:rPr>
                <w:color w:val="000000"/>
                <w:sz w:val="24"/>
              </w:rPr>
              <w:t>107,242.00</w:t>
            </w:r>
          </w:p>
        </w:tc>
        <w:tc>
          <w:tcPr>
            <w:vAlign w:val="center"/>
          </w:tcPr>
          <w:p>
            <w:pPr>
              <w:jc w:val="right"/>
            </w:pPr>
            <w:r>
              <w:rPr>
                <w:color w:val="000000"/>
                <w:sz w:val="24"/>
              </w:rPr>
              <w:t>1.04</w:t>
            </w:r>
          </w:p>
        </w:tc>
      </w:tr>
      <w:tr>
        <w:tc>
          <w:tcPr>
            <w:vAlign w:val="center"/>
          </w:tcPr>
          <w:p>
            <w:pPr>
              <w:jc w:val="center"/>
            </w:pPr>
            <w:r>
              <w:rPr>
                <w:color w:val="000000"/>
                <w:sz w:val="24"/>
              </w:rPr>
              <w:t>7</w:t>
            </w:r>
          </w:p>
        </w:tc>
        <w:tc>
          <w:tcPr>
            <w:vAlign w:val="center"/>
          </w:tcPr>
          <w:p>
            <w:pPr>
              <w:jc w:val="center"/>
            </w:pPr>
            <w:r>
              <w:rPr>
                <w:color w:val="000000"/>
                <w:sz w:val="24"/>
              </w:rPr>
              <w:t>300031</w:t>
            </w:r>
          </w:p>
        </w:tc>
        <w:tc>
          <w:tcPr>
            <w:vAlign w:val="center"/>
          </w:tcPr>
          <w:p>
            <w:pPr>
              <w:jc w:val="center"/>
            </w:pPr>
            <w:r>
              <w:rPr>
                <w:color w:val="000000"/>
                <w:sz w:val="24"/>
              </w:rPr>
              <w:t>宝通科技</w:t>
            </w:r>
          </w:p>
        </w:tc>
        <w:tc>
          <w:tcPr>
            <w:vAlign w:val="center"/>
          </w:tcPr>
          <w:p>
            <w:pPr>
              <w:jc w:val="right"/>
            </w:pPr>
            <w:r>
              <w:rPr>
                <w:color w:val="000000"/>
                <w:sz w:val="24"/>
              </w:rPr>
              <w:t>4,200</w:t>
            </w:r>
          </w:p>
        </w:tc>
        <w:tc>
          <w:tcPr>
            <w:vAlign w:val="center"/>
          </w:tcPr>
          <w:p>
            <w:pPr>
              <w:jc w:val="right"/>
            </w:pPr>
            <w:r>
              <w:rPr>
                <w:color w:val="000000"/>
                <w:sz w:val="24"/>
              </w:rPr>
              <w:t>105,168.00</w:t>
            </w:r>
          </w:p>
        </w:tc>
        <w:tc>
          <w:tcPr>
            <w:vAlign w:val="center"/>
          </w:tcPr>
          <w:p>
            <w:pPr>
              <w:jc w:val="right"/>
            </w:pPr>
            <w:r>
              <w:rPr>
                <w:color w:val="000000"/>
                <w:sz w:val="24"/>
              </w:rPr>
              <w:t>1.02</w:t>
            </w:r>
          </w:p>
        </w:tc>
      </w:tr>
      <w:tr>
        <w:tc>
          <w:tcPr>
            <w:vAlign w:val="center"/>
          </w:tcPr>
          <w:p>
            <w:pPr>
              <w:jc w:val="center"/>
            </w:pPr>
            <w:r>
              <w:rPr>
                <w:color w:val="000000"/>
                <w:sz w:val="24"/>
              </w:rPr>
              <w:t>8</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1,600</w:t>
            </w:r>
          </w:p>
        </w:tc>
        <w:tc>
          <w:tcPr>
            <w:vAlign w:val="center"/>
          </w:tcPr>
          <w:p>
            <w:pPr>
              <w:jc w:val="right"/>
            </w:pPr>
            <w:r>
              <w:rPr>
                <w:color w:val="000000"/>
                <w:sz w:val="24"/>
              </w:rPr>
              <w:t>104,320.00</w:t>
            </w:r>
          </w:p>
        </w:tc>
        <w:tc>
          <w:tcPr>
            <w:vAlign w:val="center"/>
          </w:tcPr>
          <w:p>
            <w:pPr>
              <w:jc w:val="right"/>
            </w:pPr>
            <w:r>
              <w:rPr>
                <w:color w:val="000000"/>
                <w:sz w:val="24"/>
              </w:rPr>
              <w:t>1.01</w:t>
            </w:r>
          </w:p>
        </w:tc>
      </w:tr>
      <w:tr>
        <w:tc>
          <w:tcPr>
            <w:vAlign w:val="center"/>
          </w:tcPr>
          <w:p>
            <w:pPr>
              <w:jc w:val="center"/>
            </w:pPr>
            <w:r>
              <w:rPr>
                <w:color w:val="000000"/>
                <w:sz w:val="24"/>
              </w:rPr>
              <w:t>9</w:t>
            </w:r>
          </w:p>
        </w:tc>
        <w:tc>
          <w:tcPr>
            <w:vAlign w:val="center"/>
          </w:tcPr>
          <w:p>
            <w:pPr>
              <w:jc w:val="center"/>
            </w:pPr>
            <w:r>
              <w:rPr>
                <w:color w:val="000000"/>
                <w:sz w:val="24"/>
              </w:rPr>
              <w:t>600885</w:t>
            </w:r>
          </w:p>
        </w:tc>
        <w:tc>
          <w:tcPr>
            <w:vAlign w:val="center"/>
          </w:tcPr>
          <w:p>
            <w:pPr>
              <w:jc w:val="center"/>
            </w:pPr>
            <w:r>
              <w:rPr>
                <w:color w:val="000000"/>
                <w:sz w:val="24"/>
              </w:rPr>
              <w:t>宏发股份</w:t>
            </w:r>
          </w:p>
        </w:tc>
        <w:tc>
          <w:tcPr>
            <w:vAlign w:val="center"/>
          </w:tcPr>
          <w:p>
            <w:pPr>
              <w:jc w:val="right"/>
            </w:pPr>
            <w:r>
              <w:rPr>
                <w:color w:val="000000"/>
                <w:sz w:val="24"/>
              </w:rPr>
              <w:t>2,600</w:t>
            </w:r>
          </w:p>
        </w:tc>
        <w:tc>
          <w:tcPr>
            <w:vAlign w:val="center"/>
          </w:tcPr>
          <w:p>
            <w:pPr>
              <w:jc w:val="right"/>
            </w:pPr>
            <w:r>
              <w:rPr>
                <w:color w:val="000000"/>
                <w:sz w:val="24"/>
              </w:rPr>
              <w:t>104,312.00</w:t>
            </w:r>
          </w:p>
        </w:tc>
        <w:tc>
          <w:tcPr>
            <w:vAlign w:val="center"/>
          </w:tcPr>
          <w:p>
            <w:pPr>
              <w:jc w:val="right"/>
            </w:pPr>
            <w:r>
              <w:rPr>
                <w:color w:val="000000"/>
                <w:sz w:val="24"/>
              </w:rPr>
              <w:t>1.01</w:t>
            </w:r>
          </w:p>
        </w:tc>
      </w:tr>
      <w:tr>
        <w:tc>
          <w:tcPr>
            <w:vAlign w:val="center"/>
          </w:tcPr>
          <w:p>
            <w:pPr>
              <w:jc w:val="center"/>
            </w:pPr>
            <w:r>
              <w:rPr>
                <w:color w:val="000000"/>
                <w:sz w:val="24"/>
              </w:rPr>
              <w:t>10</w:t>
            </w:r>
          </w:p>
        </w:tc>
        <w:tc>
          <w:tcPr>
            <w:vAlign w:val="center"/>
          </w:tcPr>
          <w:p>
            <w:pPr>
              <w:jc w:val="center"/>
            </w:pPr>
            <w:r>
              <w:rPr>
                <w:color w:val="000000"/>
                <w:sz w:val="24"/>
              </w:rPr>
              <w:t>300227</w:t>
            </w:r>
          </w:p>
        </w:tc>
        <w:tc>
          <w:tcPr>
            <w:vAlign w:val="center"/>
          </w:tcPr>
          <w:p>
            <w:pPr>
              <w:jc w:val="center"/>
            </w:pPr>
            <w:r>
              <w:rPr>
                <w:color w:val="000000"/>
                <w:sz w:val="24"/>
              </w:rPr>
              <w:t>光韵达</w:t>
            </w:r>
          </w:p>
        </w:tc>
        <w:tc>
          <w:tcPr>
            <w:vAlign w:val="center"/>
          </w:tcPr>
          <w:p>
            <w:pPr>
              <w:jc w:val="right"/>
            </w:pPr>
            <w:r>
              <w:rPr>
                <w:color w:val="000000"/>
                <w:sz w:val="24"/>
              </w:rPr>
              <w:t>9,900</w:t>
            </w:r>
          </w:p>
        </w:tc>
        <w:tc>
          <w:tcPr>
            <w:vAlign w:val="center"/>
          </w:tcPr>
          <w:p>
            <w:pPr>
              <w:jc w:val="right"/>
            </w:pPr>
            <w:r>
              <w:rPr>
                <w:color w:val="000000"/>
                <w:sz w:val="24"/>
              </w:rPr>
              <w:t>103,851.00</w:t>
            </w:r>
          </w:p>
        </w:tc>
        <w:tc>
          <w:tcPr>
            <w:vAlign w:val="center"/>
          </w:tcPr>
          <w:p>
            <w:pPr>
              <w:jc w:val="right"/>
            </w:pPr>
            <w:r>
              <w:rPr>
                <w:color w:val="000000"/>
                <w:sz w:val="24"/>
              </w:rPr>
              <w:t>1.00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4,918,824.20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47.56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3,572,861.40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34.55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3,572,861.40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34.55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8,491,685.60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82.11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010107</w:t>
            </w:r>
          </w:p>
        </w:tc>
        <w:tc>
          <w:tcPr>
            <w:vAlign w:val="center"/>
          </w:tcPr>
          <w:p>
            <w:pPr>
              <w:jc w:val="center"/>
            </w:pPr>
            <w:r>
              <w:rPr>
                <w:color w:val="000000"/>
                <w:sz w:val="24"/>
              </w:rPr>
              <w:t>21国债⑺</w:t>
            </w:r>
          </w:p>
        </w:tc>
        <w:tc>
          <w:tcPr>
            <w:vAlign w:val="center"/>
          </w:tcPr>
          <w:p>
            <w:pPr>
              <w:jc w:val="right"/>
            </w:pPr>
            <w:r>
              <w:rPr>
                <w:color w:val="000000"/>
                <w:sz w:val="24"/>
              </w:rPr>
              <w:t>41,570</w:t>
            </w:r>
          </w:p>
        </w:tc>
        <w:tc>
          <w:tcPr>
            <w:vAlign w:val="center"/>
          </w:tcPr>
          <w:p>
            <w:pPr>
              <w:jc w:val="right"/>
            </w:pPr>
            <w:r>
              <w:rPr>
                <w:color w:val="000000"/>
                <w:sz w:val="24"/>
              </w:rPr>
              <w:t>4,265,497.70</w:t>
            </w:r>
          </w:p>
        </w:tc>
        <w:tc>
          <w:tcPr>
            <w:vAlign w:val="center"/>
          </w:tcPr>
          <w:p>
            <w:pPr>
              <w:jc w:val="right"/>
            </w:pPr>
            <w:r>
              <w:rPr>
                <w:color w:val="000000"/>
                <w:sz w:val="24"/>
              </w:rPr>
              <w:t>41.25</w:t>
            </w:r>
          </w:p>
        </w:tc>
      </w:tr>
      <w:tr>
        <w:tc>
          <w:tcPr>
            <w:vAlign w:val="center"/>
          </w:tcPr>
          <w:p>
            <w:pPr>
              <w:jc w:val="center"/>
            </w:pPr>
            <w:r>
              <w:rPr>
                <w:color w:val="000000"/>
                <w:sz w:val="24"/>
              </w:rPr>
              <w:t>2</w:t>
            </w:r>
          </w:p>
        </w:tc>
        <w:tc>
          <w:tcPr>
            <w:vAlign w:val="center"/>
          </w:tcPr>
          <w:p>
            <w:pPr>
              <w:jc w:val="center"/>
            </w:pPr>
            <w:r>
              <w:rPr>
                <w:color w:val="000000"/>
                <w:sz w:val="24"/>
              </w:rPr>
              <w:t>018006</w:t>
            </w:r>
          </w:p>
        </w:tc>
        <w:tc>
          <w:tcPr>
            <w:vAlign w:val="center"/>
          </w:tcPr>
          <w:p>
            <w:pPr>
              <w:jc w:val="center"/>
            </w:pPr>
            <w:r>
              <w:rPr>
                <w:color w:val="000000"/>
                <w:sz w:val="24"/>
              </w:rPr>
              <w:t>国开1702</w:t>
            </w:r>
          </w:p>
        </w:tc>
        <w:tc>
          <w:tcPr>
            <w:vAlign w:val="center"/>
          </w:tcPr>
          <w:p>
            <w:pPr>
              <w:jc w:val="right"/>
            </w:pPr>
            <w:r>
              <w:rPr>
                <w:color w:val="000000"/>
                <w:sz w:val="24"/>
              </w:rPr>
              <w:t>34,830</w:t>
            </w:r>
          </w:p>
        </w:tc>
        <w:tc>
          <w:tcPr>
            <w:vAlign w:val="center"/>
          </w:tcPr>
          <w:p>
            <w:pPr>
              <w:jc w:val="right"/>
            </w:pPr>
            <w:r>
              <w:rPr>
                <w:color w:val="000000"/>
                <w:sz w:val="24"/>
              </w:rPr>
              <w:t>3,572,861.40</w:t>
            </w:r>
          </w:p>
        </w:tc>
        <w:tc>
          <w:tcPr>
            <w:vAlign w:val="center"/>
          </w:tcPr>
          <w:p>
            <w:pPr>
              <w:jc w:val="right"/>
            </w:pPr>
            <w:r>
              <w:rPr>
                <w:color w:val="000000"/>
                <w:sz w:val="24"/>
              </w:rPr>
              <w:t>34.55</w:t>
            </w:r>
          </w:p>
        </w:tc>
      </w:tr>
      <w:tr>
        <w:tc>
          <w:tcPr>
            <w:vAlign w:val="center"/>
          </w:tcPr>
          <w:p>
            <w:pPr>
              <w:jc w:val="center"/>
            </w:pPr>
            <w:r>
              <w:rPr>
                <w:color w:val="000000"/>
                <w:sz w:val="24"/>
              </w:rPr>
              <w:t>3</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6,530</w:t>
            </w:r>
          </w:p>
        </w:tc>
        <w:tc>
          <w:tcPr>
            <w:vAlign w:val="center"/>
          </w:tcPr>
          <w:p>
            <w:pPr>
              <w:jc w:val="right"/>
            </w:pPr>
            <w:r>
              <w:rPr>
                <w:color w:val="000000"/>
                <w:sz w:val="24"/>
              </w:rPr>
              <w:t>653,326.50</w:t>
            </w:r>
          </w:p>
        </w:tc>
        <w:tc>
          <w:tcPr>
            <w:vAlign w:val="center"/>
          </w:tcPr>
          <w:p>
            <w:pPr>
              <w:jc w:val="right"/>
            </w:pPr>
            <w:r>
              <w:rPr>
                <w:color w:val="000000"/>
                <w:sz w:val="24"/>
              </w:rPr>
              <w:t>6.32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20,969.11</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554,048.46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112,552.03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57,961.63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745,531.23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9,762,886.99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2,048,452.04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633,845.47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1,030,210.93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3,193,846.79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1,019,270.96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7,202,885.67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2,059,392.01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