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交银施罗德致远量化智投策略定期开放混合型证券投资基金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基金托管人：中信银行股份有限公司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二〇二〇年四月二十二日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1B2643" w:rsidRDefault="003418F4">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1B2643" w:rsidRDefault="003418F4">
      <w:pPr>
        <w:spacing w:before="29" w:line="288" w:lineRule="auto"/>
        <w:ind w:firstLineChars="200" w:firstLine="480"/>
        <w:rPr>
          <w:color w:val="000000"/>
          <w:sz w:val="24"/>
          <w:szCs w:val="24"/>
        </w:rPr>
      </w:pPr>
      <w:r>
        <w:rPr>
          <w:color w:val="000000"/>
          <w:sz w:val="24"/>
          <w:szCs w:val="24"/>
        </w:rPr>
        <w:t>基金托管人中信银行股份有限公司根据本基金合同规定，于</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1B2643" w:rsidRDefault="003418F4">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1B2643" w:rsidRDefault="003418F4">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1B2643" w:rsidRDefault="003418F4">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交银致远智投混合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005724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005724</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2018</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18</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79,899,354.91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本基金在控制风险的前提下，力争为投资者提供长期稳健的投资回报。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股票量化策略的核心在于通过长期投资以摊薄买入成本，待收益达标时止盈减仓。本基金量化智投策略主要利用量化投资模型，以大数据分析为基础，结合对市场风格和市场环境的持续研究，动态调整每期投资金额，采取定期不定额的投资模式，以此增强投资效率，可帮助投资人优化投资组合成本。</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上证国债指数收益率</w:t>
            </w:r>
            <w:r w:rsidRPr="00414345">
              <w:rPr>
                <w:color w:val="000000"/>
                <w:kern w:val="0"/>
                <w:sz w:val="24"/>
                <w:szCs w:val="24"/>
              </w:rPr>
              <w:t>+25%×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本基金是一只混合型基金，其预期风险和预期收益高于债券型基金和货币市场基金，低于股票型基金。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32B8F" w:rsidRPr="00414345" w:rsidTr="00632B8F">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632B8F" w:rsidRPr="00414345" w:rsidTr="00632B8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283,184.63</w:t>
            </w:r>
          </w:p>
        </w:tc>
      </w:tr>
      <w:tr w:rsidR="00632B8F" w:rsidRPr="00414345" w:rsidTr="00632B8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-1,392,699.02</w:t>
            </w:r>
          </w:p>
        </w:tc>
      </w:tr>
      <w:tr w:rsidR="00632B8F" w:rsidRPr="00414345" w:rsidTr="00632B8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-0.0174</w:t>
            </w:r>
          </w:p>
        </w:tc>
      </w:tr>
      <w:tr w:rsidR="00632B8F" w:rsidRPr="00414345" w:rsidTr="00632B8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81,675,769.92</w:t>
            </w:r>
          </w:p>
        </w:tc>
      </w:tr>
      <w:tr w:rsidR="00632B8F" w:rsidRPr="00414345" w:rsidTr="00632B8F">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1.0222</w:t>
            </w:r>
          </w:p>
        </w:tc>
      </w:tr>
    </w:tbl>
    <w:p w:rsidR="001B2643" w:rsidRDefault="003418F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0036506E">
        <w:rPr>
          <w:color w:val="000000"/>
          <w:sz w:val="24"/>
          <w:szCs w:val="24"/>
        </w:rPr>
        <w:t xml:space="preserve">   </w:t>
      </w: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B2643">
        <w:trPr>
          <w:jc w:val="center"/>
        </w:trPr>
        <w:tc>
          <w:tcPr>
            <w:tcW w:w="1701" w:type="dxa"/>
            <w:vAlign w:val="center"/>
          </w:tcPr>
          <w:p w:rsidR="001B2643" w:rsidRDefault="003418F4">
            <w:pPr>
              <w:jc w:val="left"/>
            </w:pPr>
            <w:r>
              <w:rPr>
                <w:color w:val="000000"/>
                <w:sz w:val="24"/>
                <w:szCs w:val="24"/>
              </w:rPr>
              <w:t>过去三个月</w:t>
            </w:r>
          </w:p>
        </w:tc>
        <w:tc>
          <w:tcPr>
            <w:tcW w:w="1045" w:type="dxa"/>
            <w:vAlign w:val="center"/>
          </w:tcPr>
          <w:p w:rsidR="001B2643" w:rsidRDefault="003418F4">
            <w:pPr>
              <w:jc w:val="center"/>
            </w:pPr>
            <w:r>
              <w:rPr>
                <w:color w:val="000000"/>
                <w:sz w:val="24"/>
                <w:szCs w:val="24"/>
              </w:rPr>
              <w:t>-1.68%</w:t>
            </w:r>
          </w:p>
        </w:tc>
        <w:tc>
          <w:tcPr>
            <w:tcW w:w="1344" w:type="dxa"/>
            <w:vAlign w:val="center"/>
          </w:tcPr>
          <w:p w:rsidR="001B2643" w:rsidRDefault="003418F4">
            <w:pPr>
              <w:jc w:val="center"/>
            </w:pPr>
            <w:r>
              <w:rPr>
                <w:color w:val="000000"/>
                <w:sz w:val="24"/>
                <w:szCs w:val="24"/>
              </w:rPr>
              <w:t>0.47%</w:t>
            </w:r>
          </w:p>
        </w:tc>
        <w:tc>
          <w:tcPr>
            <w:tcW w:w="1194" w:type="dxa"/>
            <w:vAlign w:val="center"/>
          </w:tcPr>
          <w:p w:rsidR="001B2643" w:rsidRDefault="003418F4">
            <w:pPr>
              <w:jc w:val="center"/>
            </w:pPr>
            <w:r>
              <w:rPr>
                <w:color w:val="000000"/>
                <w:sz w:val="24"/>
                <w:szCs w:val="24"/>
              </w:rPr>
              <w:t>-0.71%</w:t>
            </w:r>
          </w:p>
        </w:tc>
        <w:tc>
          <w:tcPr>
            <w:tcW w:w="1492" w:type="dxa"/>
            <w:vAlign w:val="center"/>
          </w:tcPr>
          <w:p w:rsidR="001B2643" w:rsidRDefault="003418F4">
            <w:pPr>
              <w:jc w:val="center"/>
            </w:pPr>
            <w:r>
              <w:rPr>
                <w:color w:val="000000"/>
                <w:sz w:val="24"/>
                <w:szCs w:val="24"/>
              </w:rPr>
              <w:t>0.47%</w:t>
            </w:r>
          </w:p>
        </w:tc>
        <w:tc>
          <w:tcPr>
            <w:tcW w:w="1194" w:type="dxa"/>
            <w:vAlign w:val="center"/>
          </w:tcPr>
          <w:p w:rsidR="001B2643" w:rsidRDefault="003418F4">
            <w:pPr>
              <w:jc w:val="center"/>
            </w:pPr>
            <w:r>
              <w:rPr>
                <w:color w:val="000000"/>
                <w:sz w:val="24"/>
                <w:szCs w:val="24"/>
              </w:rPr>
              <w:t>-0.97%</w:t>
            </w:r>
          </w:p>
        </w:tc>
        <w:tc>
          <w:tcPr>
            <w:tcW w:w="898" w:type="dxa"/>
            <w:vAlign w:val="center"/>
          </w:tcPr>
          <w:p w:rsidR="001B2643" w:rsidRDefault="003418F4">
            <w:pPr>
              <w:jc w:val="center"/>
            </w:pPr>
            <w:r>
              <w:rPr>
                <w:color w:val="000000"/>
                <w:sz w:val="24"/>
                <w:szCs w:val="24"/>
              </w:rPr>
              <w:t>0.00%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交银施罗德致远量化智投策略定期开放混合型证券投资基金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2018</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18</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1B2643">
        <w:trPr>
          <w:jc w:val="center"/>
        </w:trPr>
        <w:tc>
          <w:tcPr>
            <w:tcW w:w="846" w:type="dxa"/>
            <w:vAlign w:val="center"/>
          </w:tcPr>
          <w:p w:rsidR="001B2643" w:rsidRDefault="003418F4">
            <w:pPr>
              <w:jc w:val="center"/>
            </w:pPr>
            <w:r>
              <w:rPr>
                <w:color w:val="000000"/>
                <w:sz w:val="24"/>
                <w:szCs w:val="24"/>
              </w:rPr>
              <w:t>蔡铮</w:t>
            </w:r>
          </w:p>
        </w:tc>
        <w:tc>
          <w:tcPr>
            <w:tcW w:w="845" w:type="dxa"/>
            <w:vAlign w:val="center"/>
          </w:tcPr>
          <w:p w:rsidR="001B2643" w:rsidRDefault="003418F4">
            <w:pPr>
              <w:jc w:val="center"/>
            </w:pPr>
            <w:r>
              <w:rPr>
                <w:color w:val="000000"/>
                <w:sz w:val="24"/>
                <w:szCs w:val="24"/>
              </w:rPr>
              <w:t>交银上证</w:t>
            </w:r>
            <w:r>
              <w:rPr>
                <w:color w:val="000000"/>
                <w:sz w:val="24"/>
                <w:szCs w:val="24"/>
              </w:rPr>
              <w:t>180</w:t>
            </w:r>
            <w:r>
              <w:rPr>
                <w:color w:val="000000"/>
                <w:sz w:val="24"/>
                <w:szCs w:val="24"/>
              </w:rPr>
              <w:t>公司治理</w:t>
            </w:r>
            <w:r>
              <w:rPr>
                <w:color w:val="000000"/>
                <w:sz w:val="24"/>
                <w:szCs w:val="24"/>
              </w:rPr>
              <w:t>ETF</w:t>
            </w:r>
            <w:r>
              <w:rPr>
                <w:color w:val="000000"/>
                <w:sz w:val="24"/>
                <w:szCs w:val="24"/>
              </w:rPr>
              <w:t>及其联接、交银深证</w:t>
            </w:r>
            <w:r>
              <w:rPr>
                <w:color w:val="000000"/>
                <w:sz w:val="24"/>
                <w:szCs w:val="24"/>
              </w:rPr>
              <w:t>300</w:t>
            </w:r>
            <w:r>
              <w:rPr>
                <w:color w:val="000000"/>
                <w:sz w:val="24"/>
                <w:szCs w:val="24"/>
              </w:rPr>
              <w:t>价值</w:t>
            </w:r>
            <w:r>
              <w:rPr>
                <w:color w:val="000000"/>
                <w:sz w:val="24"/>
                <w:szCs w:val="24"/>
              </w:rPr>
              <w:t>ETF</w:t>
            </w:r>
            <w:r>
              <w:rPr>
                <w:color w:val="000000"/>
                <w:sz w:val="24"/>
                <w:szCs w:val="24"/>
              </w:rPr>
              <w:t>及其联接、交银</w:t>
            </w:r>
            <w:r>
              <w:rPr>
                <w:color w:val="000000"/>
                <w:sz w:val="24"/>
                <w:szCs w:val="24"/>
              </w:rPr>
              <w:lastRenderedPageBreak/>
              <w:t>国证新能源指数分级、交银中证海外中国互联网指数（</w:t>
            </w:r>
            <w:r>
              <w:rPr>
                <w:color w:val="000000"/>
                <w:sz w:val="24"/>
                <w:szCs w:val="24"/>
              </w:rPr>
              <w:t>QDII-LOF)</w:t>
            </w:r>
            <w:r>
              <w:rPr>
                <w:color w:val="000000"/>
                <w:sz w:val="24"/>
                <w:szCs w:val="24"/>
              </w:rPr>
              <w:t>、交银中证互联网金融指数分级、交银中证环境治理指数（</w:t>
            </w:r>
            <w:r>
              <w:rPr>
                <w:color w:val="000000"/>
                <w:sz w:val="24"/>
                <w:szCs w:val="24"/>
              </w:rPr>
              <w:t>LOF</w:t>
            </w:r>
            <w:r>
              <w:rPr>
                <w:color w:val="000000"/>
                <w:sz w:val="24"/>
                <w:szCs w:val="24"/>
              </w:rPr>
              <w:t>）、交银致远智投混合、交银创业板</w:t>
            </w:r>
            <w:r>
              <w:rPr>
                <w:color w:val="000000"/>
                <w:sz w:val="24"/>
                <w:szCs w:val="24"/>
              </w:rPr>
              <w:t>50</w:t>
            </w:r>
            <w:r>
              <w:rPr>
                <w:color w:val="000000"/>
                <w:sz w:val="24"/>
                <w:szCs w:val="24"/>
              </w:rPr>
              <w:t>指数的基金经理，公司量化投资副总监兼多元资产</w:t>
            </w:r>
            <w:r>
              <w:rPr>
                <w:color w:val="000000"/>
                <w:sz w:val="24"/>
                <w:szCs w:val="24"/>
              </w:rPr>
              <w:lastRenderedPageBreak/>
              <w:t>管理副总监</w:t>
            </w:r>
          </w:p>
        </w:tc>
        <w:tc>
          <w:tcPr>
            <w:tcW w:w="1549" w:type="dxa"/>
            <w:vAlign w:val="center"/>
          </w:tcPr>
          <w:p w:rsidR="001B2643" w:rsidRDefault="003418F4">
            <w:pPr>
              <w:jc w:val="center"/>
            </w:pPr>
            <w:r>
              <w:rPr>
                <w:color w:val="000000"/>
                <w:sz w:val="24"/>
                <w:szCs w:val="24"/>
              </w:rPr>
              <w:lastRenderedPageBreak/>
              <w:t>2018-05-18</w:t>
            </w:r>
          </w:p>
        </w:tc>
        <w:tc>
          <w:tcPr>
            <w:tcW w:w="1548" w:type="dxa"/>
            <w:vAlign w:val="center"/>
          </w:tcPr>
          <w:p w:rsidR="001B2643" w:rsidRDefault="003418F4">
            <w:pPr>
              <w:jc w:val="center"/>
            </w:pPr>
            <w:r>
              <w:rPr>
                <w:color w:val="000000"/>
                <w:sz w:val="24"/>
                <w:szCs w:val="24"/>
              </w:rPr>
              <w:t>-</w:t>
            </w:r>
          </w:p>
        </w:tc>
        <w:tc>
          <w:tcPr>
            <w:tcW w:w="1407" w:type="dxa"/>
            <w:vAlign w:val="center"/>
          </w:tcPr>
          <w:p w:rsidR="001B2643" w:rsidRDefault="003418F4">
            <w:pPr>
              <w:jc w:val="center"/>
            </w:pPr>
            <w:r>
              <w:rPr>
                <w:color w:val="000000"/>
                <w:sz w:val="24"/>
                <w:szCs w:val="24"/>
              </w:rPr>
              <w:t>11</w:t>
            </w:r>
            <w:r>
              <w:rPr>
                <w:color w:val="000000"/>
                <w:sz w:val="24"/>
                <w:szCs w:val="24"/>
              </w:rPr>
              <w:t>年</w:t>
            </w:r>
          </w:p>
        </w:tc>
        <w:tc>
          <w:tcPr>
            <w:tcW w:w="2673" w:type="dxa"/>
            <w:vAlign w:val="center"/>
          </w:tcPr>
          <w:p w:rsidR="001B2643" w:rsidRDefault="003418F4">
            <w:r>
              <w:rPr>
                <w:color w:val="000000"/>
                <w:sz w:val="24"/>
                <w:szCs w:val="24"/>
              </w:rPr>
              <w:t>蔡铮先生，中国国籍，复旦大学电子工程硕士。历任瑞士银行香港分行分析员。</w:t>
            </w:r>
            <w:r>
              <w:rPr>
                <w:color w:val="000000"/>
                <w:sz w:val="24"/>
                <w:szCs w:val="24"/>
              </w:rPr>
              <w:t>2009</w:t>
            </w:r>
            <w:r>
              <w:rPr>
                <w:color w:val="000000"/>
                <w:sz w:val="24"/>
                <w:szCs w:val="24"/>
              </w:rPr>
              <w:t>年加入交银施罗德基金管理有限公司，历任投资研究部数量分析师、基金经理助理、量化投资部助理总经理、量化投资部副总经理。</w:t>
            </w:r>
            <w:r>
              <w:rPr>
                <w:color w:val="000000"/>
                <w:sz w:val="24"/>
                <w:szCs w:val="24"/>
              </w:rPr>
              <w:t>2012</w:t>
            </w:r>
            <w:r>
              <w:rPr>
                <w:color w:val="000000"/>
                <w:sz w:val="24"/>
                <w:szCs w:val="24"/>
              </w:rPr>
              <w:t>年</w:t>
            </w:r>
            <w:r>
              <w:rPr>
                <w:color w:val="000000"/>
                <w:sz w:val="24"/>
                <w:szCs w:val="24"/>
              </w:rPr>
              <w:t>12</w:t>
            </w:r>
            <w:r>
              <w:rPr>
                <w:color w:val="000000"/>
                <w:sz w:val="24"/>
                <w:szCs w:val="24"/>
              </w:rPr>
              <w:t>月</w:t>
            </w:r>
            <w:r>
              <w:rPr>
                <w:color w:val="000000"/>
                <w:sz w:val="24"/>
                <w:szCs w:val="24"/>
              </w:rPr>
              <w:t>27</w:t>
            </w:r>
            <w:r>
              <w:rPr>
                <w:color w:val="000000"/>
                <w:sz w:val="24"/>
                <w:szCs w:val="24"/>
              </w:rPr>
              <w:t>日至</w:t>
            </w:r>
            <w:r>
              <w:rPr>
                <w:color w:val="000000"/>
                <w:sz w:val="24"/>
                <w:szCs w:val="24"/>
              </w:rPr>
              <w:t>2015</w:t>
            </w:r>
            <w:r>
              <w:rPr>
                <w:color w:val="000000"/>
                <w:sz w:val="24"/>
                <w:szCs w:val="24"/>
              </w:rPr>
              <w:t>年</w:t>
            </w:r>
            <w:r>
              <w:rPr>
                <w:color w:val="000000"/>
                <w:sz w:val="24"/>
                <w:szCs w:val="24"/>
              </w:rPr>
              <w:t>6</w:t>
            </w:r>
            <w:r>
              <w:rPr>
                <w:color w:val="000000"/>
                <w:sz w:val="24"/>
                <w:szCs w:val="24"/>
              </w:rPr>
              <w:t>月</w:t>
            </w:r>
            <w:r>
              <w:rPr>
                <w:color w:val="000000"/>
                <w:sz w:val="24"/>
                <w:szCs w:val="24"/>
              </w:rPr>
              <w:t>30</w:t>
            </w:r>
            <w:r>
              <w:rPr>
                <w:color w:val="000000"/>
                <w:sz w:val="24"/>
                <w:szCs w:val="24"/>
              </w:rPr>
              <w:t>日担任交银施罗德沪深</w:t>
            </w:r>
            <w:r>
              <w:rPr>
                <w:color w:val="000000"/>
                <w:sz w:val="24"/>
                <w:szCs w:val="24"/>
              </w:rPr>
              <w:t>300</w:t>
            </w:r>
            <w:r>
              <w:rPr>
                <w:color w:val="000000"/>
                <w:sz w:val="24"/>
                <w:szCs w:val="24"/>
              </w:rPr>
              <w:t>行业分层等权重指数证券投资基金基金经理，</w:t>
            </w:r>
            <w:r>
              <w:rPr>
                <w:color w:val="000000"/>
                <w:sz w:val="24"/>
                <w:szCs w:val="24"/>
              </w:rPr>
              <w:t>2015</w:t>
            </w:r>
            <w:r>
              <w:rPr>
                <w:color w:val="000000"/>
                <w:sz w:val="24"/>
                <w:szCs w:val="24"/>
              </w:rPr>
              <w:t>年</w:t>
            </w:r>
            <w:r>
              <w:rPr>
                <w:color w:val="000000"/>
                <w:sz w:val="24"/>
                <w:szCs w:val="24"/>
              </w:rPr>
              <w:t>4</w:t>
            </w:r>
            <w:r>
              <w:rPr>
                <w:color w:val="000000"/>
                <w:sz w:val="24"/>
                <w:szCs w:val="24"/>
              </w:rPr>
              <w:t>月</w:t>
            </w:r>
            <w:r>
              <w:rPr>
                <w:color w:val="000000"/>
                <w:sz w:val="24"/>
                <w:szCs w:val="24"/>
              </w:rPr>
              <w:t>22</w:t>
            </w:r>
            <w:r>
              <w:rPr>
                <w:color w:val="000000"/>
                <w:sz w:val="24"/>
                <w:szCs w:val="24"/>
              </w:rPr>
              <w:t>日至</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24</w:t>
            </w:r>
            <w:r>
              <w:rPr>
                <w:color w:val="000000"/>
                <w:sz w:val="24"/>
                <w:szCs w:val="24"/>
              </w:rPr>
              <w:t>日</w:t>
            </w:r>
            <w:r>
              <w:rPr>
                <w:color w:val="000000"/>
                <w:sz w:val="24"/>
                <w:szCs w:val="24"/>
              </w:rPr>
              <w:lastRenderedPageBreak/>
              <w:t>担任交银施罗德环球精选价值证券投资基金基金经理，</w:t>
            </w:r>
            <w:r>
              <w:rPr>
                <w:color w:val="000000"/>
                <w:sz w:val="24"/>
                <w:szCs w:val="24"/>
              </w:rPr>
              <w:t>2015</w:t>
            </w:r>
            <w:r>
              <w:rPr>
                <w:color w:val="000000"/>
                <w:sz w:val="24"/>
                <w:szCs w:val="24"/>
              </w:rPr>
              <w:t>年</w:t>
            </w:r>
            <w:r>
              <w:rPr>
                <w:color w:val="000000"/>
                <w:sz w:val="24"/>
                <w:szCs w:val="24"/>
              </w:rPr>
              <w:t>4</w:t>
            </w:r>
            <w:r>
              <w:rPr>
                <w:color w:val="000000"/>
                <w:sz w:val="24"/>
                <w:szCs w:val="24"/>
              </w:rPr>
              <w:t>月</w:t>
            </w:r>
            <w:r>
              <w:rPr>
                <w:color w:val="000000"/>
                <w:sz w:val="24"/>
                <w:szCs w:val="24"/>
              </w:rPr>
              <w:t>22</w:t>
            </w:r>
            <w:r>
              <w:rPr>
                <w:color w:val="000000"/>
                <w:sz w:val="24"/>
                <w:szCs w:val="24"/>
              </w:rPr>
              <w:t>日至</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24</w:t>
            </w:r>
            <w:r>
              <w:rPr>
                <w:color w:val="000000"/>
                <w:sz w:val="24"/>
                <w:szCs w:val="24"/>
              </w:rPr>
              <w:t>日担任交银施罗德全球自然资源证券投资基金基金经理，</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13</w:t>
            </w:r>
            <w:r>
              <w:rPr>
                <w:color w:val="000000"/>
                <w:sz w:val="24"/>
                <w:szCs w:val="24"/>
              </w:rPr>
              <w:t>日至</w:t>
            </w:r>
            <w:r>
              <w:rPr>
                <w:color w:val="000000"/>
                <w:sz w:val="24"/>
                <w:szCs w:val="24"/>
              </w:rPr>
              <w:t>2016</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日担任交银施罗德中证环境治理指数分级证券投资基金基金经理。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1B2643" w:rsidRDefault="003418F4">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1B2643" w:rsidRDefault="003418F4">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1B2643" w:rsidRDefault="003418F4">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1B2643" w:rsidRDefault="003418F4">
      <w:pPr>
        <w:spacing w:before="29" w:line="288" w:lineRule="auto"/>
        <w:ind w:firstLineChars="200" w:firstLine="480"/>
        <w:rPr>
          <w:color w:val="000000"/>
          <w:sz w:val="24"/>
          <w:szCs w:val="24"/>
        </w:rPr>
      </w:pPr>
      <w:r>
        <w:rPr>
          <w:color w:val="000000"/>
          <w:sz w:val="24"/>
          <w:szCs w:val="24"/>
        </w:rPr>
        <w:t>2020</w:t>
      </w:r>
      <w:r>
        <w:rPr>
          <w:color w:val="000000"/>
          <w:sz w:val="24"/>
          <w:szCs w:val="24"/>
        </w:rPr>
        <w:t>年一季度，新冠疫情对全球经济和资本市场均产生较大冲击。国内经济短期</w:t>
      </w:r>
      <w:r>
        <w:rPr>
          <w:color w:val="000000"/>
          <w:sz w:val="24"/>
          <w:szCs w:val="24"/>
        </w:rPr>
        <w:lastRenderedPageBreak/>
        <w:t>的不确定性有所增加，内外需受疫情影响呈现较大幅走低，生产端也因为推迟复工复产而显著回落。三月以来国内疫情得到有效控制，各行各业陆续复工复产，未来随疫情进一步缓解，外部事件影响或将逐步减弱。一季度资本市场受疫情黑天鹅冲击，整体波动较</w:t>
      </w:r>
      <w:r>
        <w:rPr>
          <w:color w:val="000000"/>
          <w:sz w:val="24"/>
          <w:szCs w:val="24"/>
        </w:rPr>
        <w:t>2019</w:t>
      </w:r>
      <w:r>
        <w:rPr>
          <w:color w:val="000000"/>
          <w:sz w:val="24"/>
          <w:szCs w:val="24"/>
        </w:rPr>
        <w:t>年底明显加大。在上述市场环境下，本基金采取定期不定额的投资模式，平均权益仓位仍保持在较低水平，同时配置了较高信用等级的固定收益资产作为收益增强，净值表现总体呈现出区间震荡的走势。</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二季度，伴随着全面复工复产的有序推进和经济社会秩序的加快恢复，国内经济基本面短期阵痛有望逐步消解；另外政策层面上，财政政策或将更加积极有为，货币政策或将更加灵活适度，共同支持实体经济恢复发展。中国经济正处于向高质量发展的转型过程中，新旧动能转换持续加快，中国经济长期向好的大趋势基本没有改变，在此背景下我们对</w:t>
      </w:r>
      <w:r w:rsidRPr="00414345">
        <w:rPr>
          <w:color w:val="000000"/>
          <w:sz w:val="24"/>
          <w:szCs w:val="24"/>
        </w:rPr>
        <w:t>A</w:t>
      </w:r>
      <w:r w:rsidRPr="00414345">
        <w:rPr>
          <w:color w:val="000000"/>
          <w:sz w:val="24"/>
          <w:szCs w:val="24"/>
        </w:rPr>
        <w:t>股市场维持谨慎乐观的看法。</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bookmarkStart w:id="0" w:name="_GoBack"/>
      <w:bookmarkEnd w:id="0"/>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36506E" w:rsidRDefault="009C1009" w:rsidP="009C1009">
      <w:pPr>
        <w:autoSpaceDE w:val="0"/>
        <w:autoSpaceDN w:val="0"/>
        <w:adjustRightInd w:val="0"/>
        <w:spacing w:line="360" w:lineRule="auto"/>
        <w:jc w:val="right"/>
        <w:rPr>
          <w:rFonts w:eastAsiaTheme="minorEastAsia"/>
          <w:b/>
          <w:color w:val="000000" w:themeColor="text1"/>
          <w:kern w:val="0"/>
          <w:sz w:val="32"/>
          <w:szCs w:val="24"/>
        </w:rPr>
      </w:pPr>
      <w:r w:rsidRPr="0036506E">
        <w:rPr>
          <w:rFonts w:hint="eastAsia"/>
          <w:color w:val="000000"/>
          <w:kern w:val="0"/>
          <w:sz w:val="24"/>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18,516,590.40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20.15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18,516,590.40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20.15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50,000,000.00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54.41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23,318,512.37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25.37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66,915.14</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0.07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91,902,017.91</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390,830.00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0.48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246,436.00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0.30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7,900,955.00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9.67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377,946.00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802,903.00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283,464.00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310,072.00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686,458.00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5,860,999.00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680,688.00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57,263.00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135,080.00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111,573.00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671,453.00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470.40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18,516,590.40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22.67</w:t>
            </w:r>
          </w:p>
        </w:tc>
      </w:tr>
    </w:tbl>
    <w:p w:rsidR="00632B8F" w:rsidRDefault="00632B8F"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1B2643">
        <w:trPr>
          <w:jc w:val="center"/>
        </w:trPr>
        <w:tc>
          <w:tcPr>
            <w:tcW w:w="855" w:type="dxa"/>
            <w:vAlign w:val="center"/>
          </w:tcPr>
          <w:p w:rsidR="001B2643" w:rsidRDefault="003418F4">
            <w:pPr>
              <w:jc w:val="center"/>
            </w:pPr>
            <w:r>
              <w:rPr>
                <w:color w:val="000000"/>
                <w:sz w:val="24"/>
                <w:szCs w:val="24"/>
              </w:rPr>
              <w:t>1</w:t>
            </w:r>
          </w:p>
        </w:tc>
        <w:tc>
          <w:tcPr>
            <w:tcW w:w="1334" w:type="dxa"/>
            <w:vAlign w:val="center"/>
          </w:tcPr>
          <w:p w:rsidR="001B2643" w:rsidRDefault="003418F4">
            <w:pPr>
              <w:jc w:val="center"/>
            </w:pPr>
            <w:r>
              <w:rPr>
                <w:color w:val="000000"/>
                <w:sz w:val="24"/>
                <w:szCs w:val="24"/>
              </w:rPr>
              <w:t>600519</w:t>
            </w:r>
          </w:p>
        </w:tc>
        <w:tc>
          <w:tcPr>
            <w:tcW w:w="1777" w:type="dxa"/>
            <w:vAlign w:val="center"/>
          </w:tcPr>
          <w:p w:rsidR="001B2643" w:rsidRDefault="003418F4">
            <w:pPr>
              <w:jc w:val="center"/>
            </w:pPr>
            <w:r>
              <w:rPr>
                <w:color w:val="000000"/>
                <w:sz w:val="24"/>
                <w:szCs w:val="24"/>
              </w:rPr>
              <w:t>贵州茅台</w:t>
            </w:r>
          </w:p>
        </w:tc>
        <w:tc>
          <w:tcPr>
            <w:tcW w:w="1334" w:type="dxa"/>
            <w:vAlign w:val="center"/>
          </w:tcPr>
          <w:p w:rsidR="001B2643" w:rsidRDefault="003418F4">
            <w:pPr>
              <w:jc w:val="right"/>
            </w:pPr>
            <w:r>
              <w:rPr>
                <w:color w:val="000000"/>
                <w:sz w:val="24"/>
                <w:szCs w:val="24"/>
              </w:rPr>
              <w:t>800</w:t>
            </w:r>
          </w:p>
        </w:tc>
        <w:tc>
          <w:tcPr>
            <w:tcW w:w="1924" w:type="dxa"/>
            <w:vAlign w:val="center"/>
          </w:tcPr>
          <w:p w:rsidR="001B2643" w:rsidRDefault="003418F4">
            <w:pPr>
              <w:jc w:val="right"/>
            </w:pPr>
            <w:r>
              <w:rPr>
                <w:color w:val="000000"/>
                <w:sz w:val="24"/>
                <w:szCs w:val="24"/>
              </w:rPr>
              <w:t>888,800.00</w:t>
            </w:r>
          </w:p>
        </w:tc>
        <w:tc>
          <w:tcPr>
            <w:tcW w:w="1644" w:type="dxa"/>
            <w:vAlign w:val="center"/>
          </w:tcPr>
          <w:p w:rsidR="001B2643" w:rsidRDefault="003418F4">
            <w:pPr>
              <w:jc w:val="right"/>
            </w:pPr>
            <w:r>
              <w:rPr>
                <w:color w:val="000000"/>
                <w:sz w:val="24"/>
                <w:szCs w:val="24"/>
              </w:rPr>
              <w:t>1.09</w:t>
            </w:r>
          </w:p>
        </w:tc>
      </w:tr>
      <w:tr w:rsidR="001B2643">
        <w:trPr>
          <w:jc w:val="center"/>
        </w:trPr>
        <w:tc>
          <w:tcPr>
            <w:tcW w:w="855" w:type="dxa"/>
            <w:vAlign w:val="center"/>
          </w:tcPr>
          <w:p w:rsidR="001B2643" w:rsidRDefault="003418F4">
            <w:pPr>
              <w:jc w:val="center"/>
            </w:pPr>
            <w:r>
              <w:rPr>
                <w:color w:val="000000"/>
                <w:sz w:val="24"/>
                <w:szCs w:val="24"/>
              </w:rPr>
              <w:t>2</w:t>
            </w:r>
          </w:p>
        </w:tc>
        <w:tc>
          <w:tcPr>
            <w:tcW w:w="1334" w:type="dxa"/>
            <w:vAlign w:val="center"/>
          </w:tcPr>
          <w:p w:rsidR="001B2643" w:rsidRDefault="003418F4">
            <w:pPr>
              <w:jc w:val="center"/>
            </w:pPr>
            <w:r>
              <w:rPr>
                <w:color w:val="000000"/>
                <w:sz w:val="24"/>
                <w:szCs w:val="24"/>
              </w:rPr>
              <w:t>601318</w:t>
            </w:r>
          </w:p>
        </w:tc>
        <w:tc>
          <w:tcPr>
            <w:tcW w:w="1777" w:type="dxa"/>
            <w:vAlign w:val="center"/>
          </w:tcPr>
          <w:p w:rsidR="001B2643" w:rsidRDefault="003418F4">
            <w:pPr>
              <w:jc w:val="center"/>
            </w:pPr>
            <w:r>
              <w:rPr>
                <w:color w:val="000000"/>
                <w:sz w:val="24"/>
                <w:szCs w:val="24"/>
              </w:rPr>
              <w:t>中国平安</w:t>
            </w:r>
          </w:p>
        </w:tc>
        <w:tc>
          <w:tcPr>
            <w:tcW w:w="1334" w:type="dxa"/>
            <w:vAlign w:val="center"/>
          </w:tcPr>
          <w:p w:rsidR="001B2643" w:rsidRDefault="003418F4">
            <w:pPr>
              <w:jc w:val="right"/>
            </w:pPr>
            <w:r>
              <w:rPr>
                <w:color w:val="000000"/>
                <w:sz w:val="24"/>
                <w:szCs w:val="24"/>
              </w:rPr>
              <w:t>11,600</w:t>
            </w:r>
          </w:p>
        </w:tc>
        <w:tc>
          <w:tcPr>
            <w:tcW w:w="1924" w:type="dxa"/>
            <w:vAlign w:val="center"/>
          </w:tcPr>
          <w:p w:rsidR="001B2643" w:rsidRDefault="003418F4">
            <w:pPr>
              <w:jc w:val="right"/>
            </w:pPr>
            <w:r>
              <w:rPr>
                <w:color w:val="000000"/>
                <w:sz w:val="24"/>
                <w:szCs w:val="24"/>
              </w:rPr>
              <w:t>802,372.00</w:t>
            </w:r>
          </w:p>
        </w:tc>
        <w:tc>
          <w:tcPr>
            <w:tcW w:w="1644" w:type="dxa"/>
            <w:vAlign w:val="center"/>
          </w:tcPr>
          <w:p w:rsidR="001B2643" w:rsidRDefault="003418F4">
            <w:pPr>
              <w:jc w:val="right"/>
            </w:pPr>
            <w:r>
              <w:rPr>
                <w:color w:val="000000"/>
                <w:sz w:val="24"/>
                <w:szCs w:val="24"/>
              </w:rPr>
              <w:t>0.98</w:t>
            </w:r>
          </w:p>
        </w:tc>
      </w:tr>
      <w:tr w:rsidR="001B2643">
        <w:trPr>
          <w:jc w:val="center"/>
        </w:trPr>
        <w:tc>
          <w:tcPr>
            <w:tcW w:w="855" w:type="dxa"/>
            <w:vAlign w:val="center"/>
          </w:tcPr>
          <w:p w:rsidR="001B2643" w:rsidRDefault="003418F4">
            <w:pPr>
              <w:jc w:val="center"/>
            </w:pPr>
            <w:r>
              <w:rPr>
                <w:color w:val="000000"/>
                <w:sz w:val="24"/>
                <w:szCs w:val="24"/>
              </w:rPr>
              <w:t>3</w:t>
            </w:r>
          </w:p>
        </w:tc>
        <w:tc>
          <w:tcPr>
            <w:tcW w:w="1334" w:type="dxa"/>
            <w:vAlign w:val="center"/>
          </w:tcPr>
          <w:p w:rsidR="001B2643" w:rsidRDefault="003418F4">
            <w:pPr>
              <w:jc w:val="center"/>
            </w:pPr>
            <w:r>
              <w:rPr>
                <w:color w:val="000000"/>
                <w:sz w:val="24"/>
                <w:szCs w:val="24"/>
              </w:rPr>
              <w:t>600276</w:t>
            </w:r>
          </w:p>
        </w:tc>
        <w:tc>
          <w:tcPr>
            <w:tcW w:w="1777" w:type="dxa"/>
            <w:vAlign w:val="center"/>
          </w:tcPr>
          <w:p w:rsidR="001B2643" w:rsidRDefault="003418F4">
            <w:pPr>
              <w:jc w:val="center"/>
            </w:pPr>
            <w:r>
              <w:rPr>
                <w:color w:val="000000"/>
                <w:sz w:val="24"/>
                <w:szCs w:val="24"/>
              </w:rPr>
              <w:t>恒瑞医药</w:t>
            </w:r>
          </w:p>
        </w:tc>
        <w:tc>
          <w:tcPr>
            <w:tcW w:w="1334" w:type="dxa"/>
            <w:vAlign w:val="center"/>
          </w:tcPr>
          <w:p w:rsidR="001B2643" w:rsidRDefault="003418F4">
            <w:pPr>
              <w:jc w:val="right"/>
            </w:pPr>
            <w:r>
              <w:rPr>
                <w:color w:val="000000"/>
                <w:sz w:val="24"/>
                <w:szCs w:val="24"/>
              </w:rPr>
              <w:t>6,900</w:t>
            </w:r>
          </w:p>
        </w:tc>
        <w:tc>
          <w:tcPr>
            <w:tcW w:w="1924" w:type="dxa"/>
            <w:vAlign w:val="center"/>
          </w:tcPr>
          <w:p w:rsidR="001B2643" w:rsidRDefault="003418F4">
            <w:pPr>
              <w:jc w:val="right"/>
            </w:pPr>
            <w:r>
              <w:rPr>
                <w:color w:val="000000"/>
                <w:sz w:val="24"/>
                <w:szCs w:val="24"/>
              </w:rPr>
              <w:t>635,007.00</w:t>
            </w:r>
          </w:p>
        </w:tc>
        <w:tc>
          <w:tcPr>
            <w:tcW w:w="1644" w:type="dxa"/>
            <w:vAlign w:val="center"/>
          </w:tcPr>
          <w:p w:rsidR="001B2643" w:rsidRDefault="003418F4">
            <w:pPr>
              <w:jc w:val="right"/>
            </w:pPr>
            <w:r>
              <w:rPr>
                <w:color w:val="000000"/>
                <w:sz w:val="24"/>
                <w:szCs w:val="24"/>
              </w:rPr>
              <w:t>0.78</w:t>
            </w:r>
          </w:p>
        </w:tc>
      </w:tr>
      <w:tr w:rsidR="001B2643">
        <w:trPr>
          <w:jc w:val="center"/>
        </w:trPr>
        <w:tc>
          <w:tcPr>
            <w:tcW w:w="855" w:type="dxa"/>
            <w:vAlign w:val="center"/>
          </w:tcPr>
          <w:p w:rsidR="001B2643" w:rsidRDefault="003418F4">
            <w:pPr>
              <w:jc w:val="center"/>
            </w:pPr>
            <w:r>
              <w:rPr>
                <w:color w:val="000000"/>
                <w:sz w:val="24"/>
                <w:szCs w:val="24"/>
              </w:rPr>
              <w:t>4</w:t>
            </w:r>
          </w:p>
        </w:tc>
        <w:tc>
          <w:tcPr>
            <w:tcW w:w="1334" w:type="dxa"/>
            <w:vAlign w:val="center"/>
          </w:tcPr>
          <w:p w:rsidR="001B2643" w:rsidRDefault="003418F4">
            <w:pPr>
              <w:jc w:val="center"/>
            </w:pPr>
            <w:r>
              <w:rPr>
                <w:color w:val="000000"/>
                <w:sz w:val="24"/>
                <w:szCs w:val="24"/>
              </w:rPr>
              <w:t>000858</w:t>
            </w:r>
          </w:p>
        </w:tc>
        <w:tc>
          <w:tcPr>
            <w:tcW w:w="1777" w:type="dxa"/>
            <w:vAlign w:val="center"/>
          </w:tcPr>
          <w:p w:rsidR="001B2643" w:rsidRDefault="003418F4">
            <w:pPr>
              <w:jc w:val="center"/>
            </w:pPr>
            <w:r>
              <w:rPr>
                <w:color w:val="000000"/>
                <w:sz w:val="24"/>
                <w:szCs w:val="24"/>
              </w:rPr>
              <w:t>五粮液</w:t>
            </w:r>
          </w:p>
        </w:tc>
        <w:tc>
          <w:tcPr>
            <w:tcW w:w="1334" w:type="dxa"/>
            <w:vAlign w:val="center"/>
          </w:tcPr>
          <w:p w:rsidR="001B2643" w:rsidRDefault="003418F4">
            <w:pPr>
              <w:jc w:val="right"/>
            </w:pPr>
            <w:r>
              <w:rPr>
                <w:color w:val="000000"/>
                <w:sz w:val="24"/>
                <w:szCs w:val="24"/>
              </w:rPr>
              <w:t>4,600</w:t>
            </w:r>
          </w:p>
        </w:tc>
        <w:tc>
          <w:tcPr>
            <w:tcW w:w="1924" w:type="dxa"/>
            <w:vAlign w:val="center"/>
          </w:tcPr>
          <w:p w:rsidR="001B2643" w:rsidRDefault="003418F4">
            <w:pPr>
              <w:jc w:val="right"/>
            </w:pPr>
            <w:r>
              <w:rPr>
                <w:color w:val="000000"/>
                <w:sz w:val="24"/>
                <w:szCs w:val="24"/>
              </w:rPr>
              <w:t>529,920.00</w:t>
            </w:r>
          </w:p>
        </w:tc>
        <w:tc>
          <w:tcPr>
            <w:tcW w:w="1644" w:type="dxa"/>
            <w:vAlign w:val="center"/>
          </w:tcPr>
          <w:p w:rsidR="001B2643" w:rsidRDefault="003418F4">
            <w:pPr>
              <w:jc w:val="right"/>
            </w:pPr>
            <w:r>
              <w:rPr>
                <w:color w:val="000000"/>
                <w:sz w:val="24"/>
                <w:szCs w:val="24"/>
              </w:rPr>
              <w:t>0.65</w:t>
            </w:r>
          </w:p>
        </w:tc>
      </w:tr>
      <w:tr w:rsidR="001B2643">
        <w:trPr>
          <w:jc w:val="center"/>
        </w:trPr>
        <w:tc>
          <w:tcPr>
            <w:tcW w:w="855" w:type="dxa"/>
            <w:vAlign w:val="center"/>
          </w:tcPr>
          <w:p w:rsidR="001B2643" w:rsidRDefault="003418F4">
            <w:pPr>
              <w:jc w:val="center"/>
            </w:pPr>
            <w:r>
              <w:rPr>
                <w:color w:val="000000"/>
                <w:sz w:val="24"/>
                <w:szCs w:val="24"/>
              </w:rPr>
              <w:t>5</w:t>
            </w:r>
          </w:p>
        </w:tc>
        <w:tc>
          <w:tcPr>
            <w:tcW w:w="1334" w:type="dxa"/>
            <w:vAlign w:val="center"/>
          </w:tcPr>
          <w:p w:rsidR="001B2643" w:rsidRDefault="003418F4">
            <w:pPr>
              <w:jc w:val="center"/>
            </w:pPr>
            <w:r>
              <w:rPr>
                <w:color w:val="000000"/>
                <w:sz w:val="24"/>
                <w:szCs w:val="24"/>
              </w:rPr>
              <w:t>000333</w:t>
            </w:r>
          </w:p>
        </w:tc>
        <w:tc>
          <w:tcPr>
            <w:tcW w:w="1777" w:type="dxa"/>
            <w:vAlign w:val="center"/>
          </w:tcPr>
          <w:p w:rsidR="001B2643" w:rsidRDefault="003418F4">
            <w:pPr>
              <w:jc w:val="center"/>
            </w:pPr>
            <w:r>
              <w:rPr>
                <w:color w:val="000000"/>
                <w:sz w:val="24"/>
                <w:szCs w:val="24"/>
              </w:rPr>
              <w:t>美的集团</w:t>
            </w:r>
          </w:p>
        </w:tc>
        <w:tc>
          <w:tcPr>
            <w:tcW w:w="1334" w:type="dxa"/>
            <w:vAlign w:val="center"/>
          </w:tcPr>
          <w:p w:rsidR="001B2643" w:rsidRDefault="003418F4">
            <w:pPr>
              <w:jc w:val="right"/>
            </w:pPr>
            <w:r>
              <w:rPr>
                <w:color w:val="000000"/>
                <w:sz w:val="24"/>
                <w:szCs w:val="24"/>
              </w:rPr>
              <w:t>10,200</w:t>
            </w:r>
          </w:p>
        </w:tc>
        <w:tc>
          <w:tcPr>
            <w:tcW w:w="1924" w:type="dxa"/>
            <w:vAlign w:val="center"/>
          </w:tcPr>
          <w:p w:rsidR="001B2643" w:rsidRDefault="003418F4">
            <w:pPr>
              <w:jc w:val="right"/>
            </w:pPr>
            <w:r>
              <w:rPr>
                <w:color w:val="000000"/>
                <w:sz w:val="24"/>
                <w:szCs w:val="24"/>
              </w:rPr>
              <w:t>493,884.00</w:t>
            </w:r>
          </w:p>
        </w:tc>
        <w:tc>
          <w:tcPr>
            <w:tcW w:w="1644" w:type="dxa"/>
            <w:vAlign w:val="center"/>
          </w:tcPr>
          <w:p w:rsidR="001B2643" w:rsidRDefault="003418F4">
            <w:pPr>
              <w:jc w:val="right"/>
            </w:pPr>
            <w:r>
              <w:rPr>
                <w:color w:val="000000"/>
                <w:sz w:val="24"/>
                <w:szCs w:val="24"/>
              </w:rPr>
              <w:t>0.60</w:t>
            </w:r>
          </w:p>
        </w:tc>
      </w:tr>
      <w:tr w:rsidR="001B2643">
        <w:trPr>
          <w:jc w:val="center"/>
        </w:trPr>
        <w:tc>
          <w:tcPr>
            <w:tcW w:w="855" w:type="dxa"/>
            <w:vAlign w:val="center"/>
          </w:tcPr>
          <w:p w:rsidR="001B2643" w:rsidRDefault="003418F4">
            <w:pPr>
              <w:jc w:val="center"/>
            </w:pPr>
            <w:r>
              <w:rPr>
                <w:color w:val="000000"/>
                <w:sz w:val="24"/>
                <w:szCs w:val="24"/>
              </w:rPr>
              <w:t>6</w:t>
            </w:r>
          </w:p>
        </w:tc>
        <w:tc>
          <w:tcPr>
            <w:tcW w:w="1334" w:type="dxa"/>
            <w:vAlign w:val="center"/>
          </w:tcPr>
          <w:p w:rsidR="001B2643" w:rsidRDefault="003418F4">
            <w:pPr>
              <w:jc w:val="center"/>
            </w:pPr>
            <w:r>
              <w:rPr>
                <w:color w:val="000000"/>
                <w:sz w:val="24"/>
                <w:szCs w:val="24"/>
              </w:rPr>
              <w:t>000063</w:t>
            </w:r>
          </w:p>
        </w:tc>
        <w:tc>
          <w:tcPr>
            <w:tcW w:w="1777" w:type="dxa"/>
            <w:vAlign w:val="center"/>
          </w:tcPr>
          <w:p w:rsidR="001B2643" w:rsidRDefault="003418F4">
            <w:pPr>
              <w:jc w:val="center"/>
            </w:pPr>
            <w:r>
              <w:rPr>
                <w:color w:val="000000"/>
                <w:sz w:val="24"/>
                <w:szCs w:val="24"/>
              </w:rPr>
              <w:t>中兴通讯</w:t>
            </w:r>
          </w:p>
        </w:tc>
        <w:tc>
          <w:tcPr>
            <w:tcW w:w="1334" w:type="dxa"/>
            <w:vAlign w:val="center"/>
          </w:tcPr>
          <w:p w:rsidR="001B2643" w:rsidRDefault="003418F4">
            <w:pPr>
              <w:jc w:val="right"/>
            </w:pPr>
            <w:r>
              <w:rPr>
                <w:color w:val="000000"/>
                <w:sz w:val="24"/>
                <w:szCs w:val="24"/>
              </w:rPr>
              <w:t>10,000</w:t>
            </w:r>
          </w:p>
        </w:tc>
        <w:tc>
          <w:tcPr>
            <w:tcW w:w="1924" w:type="dxa"/>
            <w:vAlign w:val="center"/>
          </w:tcPr>
          <w:p w:rsidR="001B2643" w:rsidRDefault="003418F4">
            <w:pPr>
              <w:jc w:val="right"/>
            </w:pPr>
            <w:r>
              <w:rPr>
                <w:color w:val="000000"/>
                <w:sz w:val="24"/>
                <w:szCs w:val="24"/>
              </w:rPr>
              <w:t>428,000.00</w:t>
            </w:r>
          </w:p>
        </w:tc>
        <w:tc>
          <w:tcPr>
            <w:tcW w:w="1644" w:type="dxa"/>
            <w:vAlign w:val="center"/>
          </w:tcPr>
          <w:p w:rsidR="001B2643" w:rsidRDefault="003418F4">
            <w:pPr>
              <w:jc w:val="right"/>
            </w:pPr>
            <w:r>
              <w:rPr>
                <w:color w:val="000000"/>
                <w:sz w:val="24"/>
                <w:szCs w:val="24"/>
              </w:rPr>
              <w:t>0.52</w:t>
            </w:r>
          </w:p>
        </w:tc>
      </w:tr>
      <w:tr w:rsidR="001B2643">
        <w:trPr>
          <w:jc w:val="center"/>
        </w:trPr>
        <w:tc>
          <w:tcPr>
            <w:tcW w:w="855" w:type="dxa"/>
            <w:vAlign w:val="center"/>
          </w:tcPr>
          <w:p w:rsidR="001B2643" w:rsidRDefault="003418F4">
            <w:pPr>
              <w:jc w:val="center"/>
            </w:pPr>
            <w:r>
              <w:rPr>
                <w:color w:val="000000"/>
                <w:sz w:val="24"/>
                <w:szCs w:val="24"/>
              </w:rPr>
              <w:t>7</w:t>
            </w:r>
          </w:p>
        </w:tc>
        <w:tc>
          <w:tcPr>
            <w:tcW w:w="1334" w:type="dxa"/>
            <w:vAlign w:val="center"/>
          </w:tcPr>
          <w:p w:rsidR="001B2643" w:rsidRDefault="003418F4">
            <w:pPr>
              <w:jc w:val="center"/>
            </w:pPr>
            <w:r>
              <w:rPr>
                <w:color w:val="000000"/>
                <w:sz w:val="24"/>
                <w:szCs w:val="24"/>
              </w:rPr>
              <w:t>000876</w:t>
            </w:r>
          </w:p>
        </w:tc>
        <w:tc>
          <w:tcPr>
            <w:tcW w:w="1777" w:type="dxa"/>
            <w:vAlign w:val="center"/>
          </w:tcPr>
          <w:p w:rsidR="001B2643" w:rsidRDefault="003418F4">
            <w:pPr>
              <w:jc w:val="center"/>
            </w:pPr>
            <w:r>
              <w:rPr>
                <w:color w:val="000000"/>
                <w:sz w:val="24"/>
                <w:szCs w:val="24"/>
              </w:rPr>
              <w:t>新希望</w:t>
            </w:r>
          </w:p>
        </w:tc>
        <w:tc>
          <w:tcPr>
            <w:tcW w:w="1334" w:type="dxa"/>
            <w:vAlign w:val="center"/>
          </w:tcPr>
          <w:p w:rsidR="001B2643" w:rsidRDefault="003418F4">
            <w:pPr>
              <w:jc w:val="right"/>
            </w:pPr>
            <w:r>
              <w:rPr>
                <w:color w:val="000000"/>
                <w:sz w:val="24"/>
                <w:szCs w:val="24"/>
              </w:rPr>
              <w:t>13,500</w:t>
            </w:r>
          </w:p>
        </w:tc>
        <w:tc>
          <w:tcPr>
            <w:tcW w:w="1924" w:type="dxa"/>
            <w:vAlign w:val="center"/>
          </w:tcPr>
          <w:p w:rsidR="001B2643" w:rsidRDefault="003418F4">
            <w:pPr>
              <w:jc w:val="right"/>
            </w:pPr>
            <w:r>
              <w:rPr>
                <w:color w:val="000000"/>
                <w:sz w:val="24"/>
                <w:szCs w:val="24"/>
              </w:rPr>
              <w:t>424,305.00</w:t>
            </w:r>
          </w:p>
        </w:tc>
        <w:tc>
          <w:tcPr>
            <w:tcW w:w="1644" w:type="dxa"/>
            <w:vAlign w:val="center"/>
          </w:tcPr>
          <w:p w:rsidR="001B2643" w:rsidRDefault="003418F4">
            <w:pPr>
              <w:jc w:val="right"/>
            </w:pPr>
            <w:r>
              <w:rPr>
                <w:color w:val="000000"/>
                <w:sz w:val="24"/>
                <w:szCs w:val="24"/>
              </w:rPr>
              <w:t>0.52</w:t>
            </w:r>
          </w:p>
        </w:tc>
      </w:tr>
      <w:tr w:rsidR="001B2643">
        <w:trPr>
          <w:jc w:val="center"/>
        </w:trPr>
        <w:tc>
          <w:tcPr>
            <w:tcW w:w="855" w:type="dxa"/>
            <w:vAlign w:val="center"/>
          </w:tcPr>
          <w:p w:rsidR="001B2643" w:rsidRDefault="003418F4">
            <w:pPr>
              <w:jc w:val="center"/>
            </w:pPr>
            <w:r>
              <w:rPr>
                <w:color w:val="000000"/>
                <w:sz w:val="24"/>
                <w:szCs w:val="24"/>
              </w:rPr>
              <w:t>8</w:t>
            </w:r>
          </w:p>
        </w:tc>
        <w:tc>
          <w:tcPr>
            <w:tcW w:w="1334" w:type="dxa"/>
            <w:vAlign w:val="center"/>
          </w:tcPr>
          <w:p w:rsidR="001B2643" w:rsidRDefault="003418F4">
            <w:pPr>
              <w:jc w:val="center"/>
            </w:pPr>
            <w:r>
              <w:rPr>
                <w:color w:val="000000"/>
                <w:sz w:val="24"/>
                <w:szCs w:val="24"/>
              </w:rPr>
              <w:t>601166</w:t>
            </w:r>
          </w:p>
        </w:tc>
        <w:tc>
          <w:tcPr>
            <w:tcW w:w="1777" w:type="dxa"/>
            <w:vAlign w:val="center"/>
          </w:tcPr>
          <w:p w:rsidR="001B2643" w:rsidRDefault="003418F4">
            <w:pPr>
              <w:jc w:val="center"/>
            </w:pPr>
            <w:r>
              <w:rPr>
                <w:color w:val="000000"/>
                <w:sz w:val="24"/>
                <w:szCs w:val="24"/>
              </w:rPr>
              <w:t>兴业银行</w:t>
            </w:r>
          </w:p>
        </w:tc>
        <w:tc>
          <w:tcPr>
            <w:tcW w:w="1334" w:type="dxa"/>
            <w:vAlign w:val="center"/>
          </w:tcPr>
          <w:p w:rsidR="001B2643" w:rsidRDefault="003418F4">
            <w:pPr>
              <w:jc w:val="right"/>
            </w:pPr>
            <w:r>
              <w:rPr>
                <w:color w:val="000000"/>
                <w:sz w:val="24"/>
                <w:szCs w:val="24"/>
              </w:rPr>
              <w:t>26,500</w:t>
            </w:r>
          </w:p>
        </w:tc>
        <w:tc>
          <w:tcPr>
            <w:tcW w:w="1924" w:type="dxa"/>
            <w:vAlign w:val="center"/>
          </w:tcPr>
          <w:p w:rsidR="001B2643" w:rsidRDefault="003418F4">
            <w:pPr>
              <w:jc w:val="right"/>
            </w:pPr>
            <w:r>
              <w:rPr>
                <w:color w:val="000000"/>
                <w:sz w:val="24"/>
                <w:szCs w:val="24"/>
              </w:rPr>
              <w:t>421,615.00</w:t>
            </w:r>
          </w:p>
        </w:tc>
        <w:tc>
          <w:tcPr>
            <w:tcW w:w="1644" w:type="dxa"/>
            <w:vAlign w:val="center"/>
          </w:tcPr>
          <w:p w:rsidR="001B2643" w:rsidRDefault="003418F4">
            <w:pPr>
              <w:jc w:val="right"/>
            </w:pPr>
            <w:r>
              <w:rPr>
                <w:color w:val="000000"/>
                <w:sz w:val="24"/>
                <w:szCs w:val="24"/>
              </w:rPr>
              <w:t>0.52</w:t>
            </w:r>
          </w:p>
        </w:tc>
      </w:tr>
      <w:tr w:rsidR="001B2643">
        <w:trPr>
          <w:jc w:val="center"/>
        </w:trPr>
        <w:tc>
          <w:tcPr>
            <w:tcW w:w="855" w:type="dxa"/>
            <w:vAlign w:val="center"/>
          </w:tcPr>
          <w:p w:rsidR="001B2643" w:rsidRDefault="003418F4">
            <w:pPr>
              <w:jc w:val="center"/>
            </w:pPr>
            <w:r>
              <w:rPr>
                <w:color w:val="000000"/>
                <w:sz w:val="24"/>
                <w:szCs w:val="24"/>
              </w:rPr>
              <w:t>9</w:t>
            </w:r>
          </w:p>
        </w:tc>
        <w:tc>
          <w:tcPr>
            <w:tcW w:w="1334" w:type="dxa"/>
            <w:vAlign w:val="center"/>
          </w:tcPr>
          <w:p w:rsidR="001B2643" w:rsidRDefault="003418F4">
            <w:pPr>
              <w:jc w:val="center"/>
            </w:pPr>
            <w:r>
              <w:rPr>
                <w:color w:val="000000"/>
                <w:sz w:val="24"/>
                <w:szCs w:val="24"/>
              </w:rPr>
              <w:t>002475</w:t>
            </w:r>
          </w:p>
        </w:tc>
        <w:tc>
          <w:tcPr>
            <w:tcW w:w="1777" w:type="dxa"/>
            <w:vAlign w:val="center"/>
          </w:tcPr>
          <w:p w:rsidR="001B2643" w:rsidRDefault="003418F4">
            <w:pPr>
              <w:jc w:val="center"/>
            </w:pPr>
            <w:r>
              <w:rPr>
                <w:color w:val="000000"/>
                <w:sz w:val="24"/>
                <w:szCs w:val="24"/>
              </w:rPr>
              <w:t>立讯精密</w:t>
            </w:r>
          </w:p>
        </w:tc>
        <w:tc>
          <w:tcPr>
            <w:tcW w:w="1334" w:type="dxa"/>
            <w:vAlign w:val="center"/>
          </w:tcPr>
          <w:p w:rsidR="001B2643" w:rsidRDefault="003418F4">
            <w:pPr>
              <w:jc w:val="right"/>
            </w:pPr>
            <w:r>
              <w:rPr>
                <w:color w:val="000000"/>
                <w:sz w:val="24"/>
                <w:szCs w:val="24"/>
              </w:rPr>
              <w:t>10,400</w:t>
            </w:r>
          </w:p>
        </w:tc>
        <w:tc>
          <w:tcPr>
            <w:tcW w:w="1924" w:type="dxa"/>
            <w:vAlign w:val="center"/>
          </w:tcPr>
          <w:p w:rsidR="001B2643" w:rsidRDefault="003418F4">
            <w:pPr>
              <w:jc w:val="right"/>
            </w:pPr>
            <w:r>
              <w:rPr>
                <w:color w:val="000000"/>
                <w:sz w:val="24"/>
                <w:szCs w:val="24"/>
              </w:rPr>
              <w:t>396,864.00</w:t>
            </w:r>
          </w:p>
        </w:tc>
        <w:tc>
          <w:tcPr>
            <w:tcW w:w="1644" w:type="dxa"/>
            <w:vAlign w:val="center"/>
          </w:tcPr>
          <w:p w:rsidR="001B2643" w:rsidRDefault="003418F4">
            <w:pPr>
              <w:jc w:val="right"/>
            </w:pPr>
            <w:r>
              <w:rPr>
                <w:color w:val="000000"/>
                <w:sz w:val="24"/>
                <w:szCs w:val="24"/>
              </w:rPr>
              <w:t>0.49</w:t>
            </w:r>
          </w:p>
        </w:tc>
      </w:tr>
      <w:tr w:rsidR="001B2643">
        <w:trPr>
          <w:jc w:val="center"/>
        </w:trPr>
        <w:tc>
          <w:tcPr>
            <w:tcW w:w="855" w:type="dxa"/>
            <w:vAlign w:val="center"/>
          </w:tcPr>
          <w:p w:rsidR="001B2643" w:rsidRDefault="003418F4">
            <w:pPr>
              <w:jc w:val="center"/>
            </w:pPr>
            <w:r>
              <w:rPr>
                <w:color w:val="000000"/>
                <w:sz w:val="24"/>
                <w:szCs w:val="24"/>
              </w:rPr>
              <w:t>10</w:t>
            </w:r>
          </w:p>
        </w:tc>
        <w:tc>
          <w:tcPr>
            <w:tcW w:w="1334" w:type="dxa"/>
            <w:vAlign w:val="center"/>
          </w:tcPr>
          <w:p w:rsidR="001B2643" w:rsidRDefault="003418F4">
            <w:pPr>
              <w:jc w:val="center"/>
            </w:pPr>
            <w:r>
              <w:rPr>
                <w:color w:val="000000"/>
                <w:sz w:val="24"/>
                <w:szCs w:val="24"/>
              </w:rPr>
              <w:t>300498</w:t>
            </w:r>
          </w:p>
        </w:tc>
        <w:tc>
          <w:tcPr>
            <w:tcW w:w="1777" w:type="dxa"/>
            <w:vAlign w:val="center"/>
          </w:tcPr>
          <w:p w:rsidR="001B2643" w:rsidRDefault="003418F4">
            <w:pPr>
              <w:jc w:val="center"/>
            </w:pPr>
            <w:r>
              <w:rPr>
                <w:color w:val="000000"/>
                <w:sz w:val="24"/>
                <w:szCs w:val="24"/>
              </w:rPr>
              <w:t>温氏股份</w:t>
            </w:r>
          </w:p>
        </w:tc>
        <w:tc>
          <w:tcPr>
            <w:tcW w:w="1334" w:type="dxa"/>
            <w:vAlign w:val="center"/>
          </w:tcPr>
          <w:p w:rsidR="001B2643" w:rsidRDefault="003418F4">
            <w:pPr>
              <w:jc w:val="right"/>
            </w:pPr>
            <w:r>
              <w:rPr>
                <w:color w:val="000000"/>
                <w:sz w:val="24"/>
                <w:szCs w:val="24"/>
              </w:rPr>
              <w:t>12,100</w:t>
            </w:r>
          </w:p>
        </w:tc>
        <w:tc>
          <w:tcPr>
            <w:tcW w:w="1924" w:type="dxa"/>
            <w:vAlign w:val="center"/>
          </w:tcPr>
          <w:p w:rsidR="001B2643" w:rsidRDefault="003418F4">
            <w:pPr>
              <w:jc w:val="right"/>
            </w:pPr>
            <w:r>
              <w:rPr>
                <w:color w:val="000000"/>
                <w:sz w:val="24"/>
                <w:szCs w:val="24"/>
              </w:rPr>
              <w:t>390,830.00</w:t>
            </w:r>
          </w:p>
        </w:tc>
        <w:tc>
          <w:tcPr>
            <w:tcW w:w="1644" w:type="dxa"/>
            <w:vAlign w:val="center"/>
          </w:tcPr>
          <w:p w:rsidR="001B2643" w:rsidRDefault="003418F4">
            <w:pPr>
              <w:jc w:val="right"/>
            </w:pPr>
            <w:r>
              <w:rPr>
                <w:color w:val="000000"/>
                <w:sz w:val="24"/>
                <w:szCs w:val="24"/>
              </w:rPr>
              <w:t>0.48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632B8F" w:rsidRPr="00414345" w:rsidRDefault="00632B8F"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632B8F" w:rsidRPr="00414345" w:rsidRDefault="00632B8F"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632B8F" w:rsidRPr="00414345" w:rsidRDefault="00632B8F"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lastRenderedPageBreak/>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13,665.76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53,249.38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66,915.14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632B8F" w:rsidRPr="00414345" w:rsidRDefault="00632B8F" w:rsidP="00C15CAC">
      <w:pPr>
        <w:autoSpaceDE w:val="0"/>
        <w:autoSpaceDN w:val="0"/>
        <w:adjustRightInd w:val="0"/>
        <w:spacing w:before="29" w:line="288" w:lineRule="auto"/>
        <w:jc w:val="left"/>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632B8F" w:rsidRPr="00414345" w:rsidRDefault="00632B8F" w:rsidP="00C15CAC">
      <w:pPr>
        <w:autoSpaceDE w:val="0"/>
        <w:autoSpaceDN w:val="0"/>
        <w:adjustRightInd w:val="0"/>
        <w:spacing w:before="29" w:line="288" w:lineRule="auto"/>
        <w:jc w:val="left"/>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lastRenderedPageBreak/>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79,899,354.91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79,899,354.91</w:t>
            </w:r>
          </w:p>
        </w:tc>
      </w:tr>
    </w:tbl>
    <w:p w:rsidR="001B2643" w:rsidRDefault="003418F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00CA7140">
        <w:rPr>
          <w:color w:val="000000"/>
          <w:sz w:val="24"/>
          <w:szCs w:val="24"/>
        </w:rPr>
        <w:t xml:space="preserve">  </w:t>
      </w: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1B2643" w:rsidRDefault="003418F4">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、中国证监会准予交银施罗德致远量化智投策略定期开放混合型证券投资基金募集注册的文件；</w:t>
      </w:r>
      <w:r>
        <w:rPr>
          <w:color w:val="000000"/>
          <w:sz w:val="24"/>
          <w:szCs w:val="24"/>
        </w:rPr>
        <w:t xml:space="preserve"> </w:t>
      </w:r>
    </w:p>
    <w:p w:rsidR="001B2643" w:rsidRDefault="003418F4">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、《交银施罗德致远量化智投策略定期开放混合型证券投资基金基金合同》；</w:t>
      </w:r>
      <w:r>
        <w:rPr>
          <w:color w:val="000000"/>
          <w:sz w:val="24"/>
          <w:szCs w:val="24"/>
        </w:rPr>
        <w:t xml:space="preserve"> </w:t>
      </w:r>
    </w:p>
    <w:p w:rsidR="001B2643" w:rsidRDefault="003418F4">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、《交银施罗德致远量化智投策略定期开放混合型证券投资基金招募说明书》；</w:t>
      </w:r>
      <w:r>
        <w:rPr>
          <w:color w:val="000000"/>
          <w:sz w:val="24"/>
          <w:szCs w:val="24"/>
        </w:rPr>
        <w:t xml:space="preserve"> </w:t>
      </w:r>
    </w:p>
    <w:p w:rsidR="001B2643" w:rsidRDefault="003418F4">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、《交银施罗德致远量化智投策略定期开放混合型证券投资基金托管协议》；</w:t>
      </w:r>
      <w:r>
        <w:rPr>
          <w:color w:val="000000"/>
          <w:sz w:val="24"/>
          <w:szCs w:val="24"/>
        </w:rPr>
        <w:t xml:space="preserve"> </w:t>
      </w:r>
    </w:p>
    <w:p w:rsidR="001B2643" w:rsidRDefault="003418F4">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、关于申请募集注册交银施罗德致远量化智投策略定期开放混合型证券投资基金的法律意见书；</w:t>
      </w:r>
      <w:r>
        <w:rPr>
          <w:color w:val="000000"/>
          <w:sz w:val="24"/>
          <w:szCs w:val="24"/>
        </w:rPr>
        <w:t xml:space="preserve"> </w:t>
      </w:r>
    </w:p>
    <w:p w:rsidR="001B2643" w:rsidRDefault="003418F4">
      <w:pPr>
        <w:spacing w:before="29" w:line="288" w:lineRule="auto"/>
        <w:ind w:firstLineChars="200" w:firstLine="480"/>
        <w:rPr>
          <w:color w:val="000000"/>
          <w:sz w:val="24"/>
          <w:szCs w:val="24"/>
        </w:rPr>
      </w:pPr>
      <w:r>
        <w:rPr>
          <w:color w:val="000000"/>
          <w:sz w:val="24"/>
          <w:szCs w:val="24"/>
        </w:rPr>
        <w:lastRenderedPageBreak/>
        <w:t>6</w:t>
      </w:r>
      <w:r>
        <w:rPr>
          <w:color w:val="000000"/>
          <w:sz w:val="24"/>
          <w:szCs w:val="24"/>
        </w:rPr>
        <w:t>、基金管理人业务资格批件、营业执照；</w:t>
      </w:r>
      <w:r>
        <w:rPr>
          <w:color w:val="000000"/>
          <w:sz w:val="24"/>
          <w:szCs w:val="24"/>
        </w:rPr>
        <w:t xml:space="preserve"> </w:t>
      </w:r>
    </w:p>
    <w:p w:rsidR="001B2643" w:rsidRDefault="003418F4">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、报告期内交银施罗德致远量化智投策略定期开放混合型证券投资基金在指定报刊上各项公告的原稿。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1B2643" w:rsidRDefault="003418F4">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206" w:rsidRDefault="00816206" w:rsidP="00876D65">
      <w:r>
        <w:separator/>
      </w:r>
    </w:p>
  </w:endnote>
  <w:endnote w:type="continuationSeparator" w:id="0">
    <w:p w:rsidR="00816206" w:rsidRDefault="00816206"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36506E">
      <w:rPr>
        <w:noProof/>
        <w:kern w:val="0"/>
        <w:szCs w:val="21"/>
      </w:rPr>
      <w:t>12</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36506E">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206" w:rsidRDefault="00816206" w:rsidP="00876D65">
      <w:r>
        <w:separator/>
      </w:r>
    </w:p>
  </w:footnote>
  <w:footnote w:type="continuationSeparator" w:id="0">
    <w:p w:rsidR="00816206" w:rsidRDefault="00816206"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交银施罗德致远量化智投策略定期开放混合型证券投资基金</w:t>
    </w:r>
    <w:r w:rsidRPr="003E676C">
      <w:rPr>
        <w:sz w:val="24"/>
        <w:szCs w:val="24"/>
      </w:rPr>
      <w:t>2020</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643"/>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18F4"/>
    <w:rsid w:val="00345A47"/>
    <w:rsid w:val="003470E2"/>
    <w:rsid w:val="0035076C"/>
    <w:rsid w:val="00352719"/>
    <w:rsid w:val="0035383E"/>
    <w:rsid w:val="00355364"/>
    <w:rsid w:val="00364CCB"/>
    <w:rsid w:val="0036506E"/>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2B8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16206"/>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026"/>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140"/>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31995-A302-436D-A132-D30226B37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1831</TotalTime>
  <Pages>12</Pages>
  <Words>979</Words>
  <Characters>5582</Characters>
  <Application>Microsoft Office Word</Application>
  <DocSecurity>0</DocSecurity>
  <Lines>46</Lines>
  <Paragraphs>13</Paragraphs>
  <ScaleCrop>false</ScaleCrop>
  <Company/>
  <LinksUpToDate>false</LinksUpToDate>
  <CharactersWithSpaces>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603</cp:revision>
  <dcterms:created xsi:type="dcterms:W3CDTF">2012-10-16T06:07:00Z</dcterms:created>
  <dcterms:modified xsi:type="dcterms:W3CDTF">2020-04-16T06:12:00Z</dcterms:modified>
</cp:coreProperties>
</file>