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交银施罗德瑞丰三年封闭运作混合型证券投资基金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1</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3</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基金托管人：招商银行股份有限公司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二〇二〇年四月二十二日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AC4F21" w:rsidRDefault="00E77616">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C4F21" w:rsidRDefault="00E77616">
      <w:pPr>
        <w:spacing w:before="29" w:line="288" w:lineRule="auto"/>
        <w:ind w:firstLineChars="200" w:firstLine="480"/>
        <w:rPr>
          <w:color w:val="000000"/>
          <w:sz w:val="24"/>
          <w:szCs w:val="24"/>
        </w:rPr>
      </w:pPr>
      <w:r>
        <w:rPr>
          <w:color w:val="000000"/>
          <w:sz w:val="24"/>
          <w:szCs w:val="24"/>
        </w:rPr>
        <w:t>基金托管人招商银行股份有限公司根据本基金合同规定，于</w:t>
      </w:r>
      <w:r>
        <w:rPr>
          <w:color w:val="000000"/>
          <w:sz w:val="24"/>
          <w:szCs w:val="24"/>
        </w:rPr>
        <w:t>2020</w:t>
      </w:r>
      <w:r>
        <w:rPr>
          <w:color w:val="000000"/>
          <w:sz w:val="24"/>
          <w:szCs w:val="24"/>
        </w:rPr>
        <w:t>年</w:t>
      </w:r>
      <w:r>
        <w:rPr>
          <w:color w:val="000000"/>
          <w:sz w:val="24"/>
          <w:szCs w:val="24"/>
        </w:rPr>
        <w:t>4</w:t>
      </w:r>
      <w:r>
        <w:rPr>
          <w:color w:val="000000"/>
          <w:sz w:val="24"/>
          <w:szCs w:val="24"/>
        </w:rPr>
        <w:t>月</w:t>
      </w:r>
      <w:r>
        <w:rPr>
          <w:color w:val="000000"/>
          <w:sz w:val="24"/>
          <w:szCs w:val="24"/>
        </w:rPr>
        <w:t>21</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C4F21" w:rsidRDefault="00E77616">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C4F21" w:rsidRDefault="00E77616">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C4F21" w:rsidRDefault="00E77616">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交银瑞丰混合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501087</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501087</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本基金合同生效后，前三年封闭运作，在封闭期内，本基金不办理申购、赎回业务，但投资人可在本基金上市交易后通过上海证券交易所转让基金份额。封闭期届满后，本基金转为上市开放式基金（</w:t>
            </w:r>
            <w:r w:rsidRPr="00414345">
              <w:rPr>
                <w:color w:val="000000"/>
                <w:kern w:val="0"/>
                <w:sz w:val="24"/>
                <w:szCs w:val="24"/>
              </w:rPr>
              <w:t>LOF</w:t>
            </w:r>
            <w:r w:rsidRPr="00414345">
              <w:rPr>
                <w:color w:val="000000"/>
                <w:kern w:val="0"/>
                <w:sz w:val="24"/>
                <w:szCs w:val="24"/>
              </w:rPr>
              <w:t>），可办理场外、场内申购赎回，并继续在上海证券交易所上市交易。</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2019</w:t>
            </w:r>
            <w:r w:rsidRPr="00414345">
              <w:rPr>
                <w:color w:val="000000"/>
                <w:kern w:val="0"/>
                <w:sz w:val="24"/>
                <w:szCs w:val="24"/>
              </w:rPr>
              <w:t>年</w:t>
            </w:r>
            <w:r w:rsidRPr="00414345">
              <w:rPr>
                <w:color w:val="000000"/>
                <w:kern w:val="0"/>
                <w:sz w:val="24"/>
                <w:szCs w:val="24"/>
              </w:rPr>
              <w:t>9</w:t>
            </w:r>
            <w:r w:rsidRPr="00414345">
              <w:rPr>
                <w:color w:val="000000"/>
                <w:kern w:val="0"/>
                <w:sz w:val="24"/>
                <w:szCs w:val="24"/>
              </w:rPr>
              <w:t>月</w:t>
            </w:r>
            <w:r w:rsidRPr="00414345">
              <w:rPr>
                <w:color w:val="000000"/>
                <w:kern w:val="0"/>
                <w:sz w:val="24"/>
                <w:szCs w:val="24"/>
              </w:rPr>
              <w:t>4</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2,964,855,282.92</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本基金在严格控制风险的前提下，坚持价值投资的基本理念，充分发挥专业研究与管理能力，力争为投资者提供长期稳健的投资回报。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本基金充分发挥基金管理人的研究优势，以长期历史数据为基础，运用稳健的投资理念和严谨的分析方法对经济基本面进行深入的定量和定性分析，确定基金资产在沪深</w:t>
            </w:r>
            <w:r w:rsidRPr="00414345">
              <w:rPr>
                <w:color w:val="000000"/>
                <w:kern w:val="0"/>
                <w:sz w:val="24"/>
                <w:szCs w:val="24"/>
              </w:rPr>
              <w:t>A</w:t>
            </w:r>
            <w:r w:rsidRPr="00414345">
              <w:rPr>
                <w:color w:val="000000"/>
                <w:kern w:val="0"/>
                <w:sz w:val="24"/>
                <w:szCs w:val="24"/>
              </w:rPr>
              <w:t>股、港股、债券及货币市场工具等各类</w:t>
            </w:r>
            <w:r w:rsidRPr="00414345">
              <w:rPr>
                <w:color w:val="000000"/>
                <w:kern w:val="0"/>
                <w:sz w:val="24"/>
                <w:szCs w:val="24"/>
              </w:rPr>
              <w:lastRenderedPageBreak/>
              <w:t>别资产的初步分配比例。同时，再辅以投资时钟模型以及周期轮动理论</w:t>
            </w:r>
            <w:r w:rsidRPr="00414345">
              <w:rPr>
                <w:color w:val="000000"/>
                <w:kern w:val="0"/>
                <w:sz w:val="24"/>
                <w:szCs w:val="24"/>
              </w:rPr>
              <w:t>“</w:t>
            </w:r>
            <w:r w:rsidRPr="00414345">
              <w:rPr>
                <w:color w:val="000000"/>
                <w:kern w:val="0"/>
                <w:sz w:val="24"/>
                <w:szCs w:val="24"/>
              </w:rPr>
              <w:t>自上而下</w:t>
            </w:r>
            <w:r w:rsidRPr="00414345">
              <w:rPr>
                <w:color w:val="000000"/>
                <w:kern w:val="0"/>
                <w:sz w:val="24"/>
                <w:szCs w:val="24"/>
              </w:rPr>
              <w:t>”</w:t>
            </w:r>
            <w:r w:rsidRPr="00414345">
              <w:rPr>
                <w:color w:val="000000"/>
                <w:kern w:val="0"/>
                <w:sz w:val="24"/>
                <w:szCs w:val="24"/>
              </w:rPr>
              <w:t>对各类资产配比进行灵活调整，及时应对市场变化，在有效规避或控制市场风险的基础上，为投资者获取稳定的投资收益。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×70%+</w:t>
            </w:r>
            <w:r w:rsidRPr="00414345">
              <w:rPr>
                <w:color w:val="000000"/>
                <w:kern w:val="0"/>
                <w:sz w:val="24"/>
                <w:szCs w:val="24"/>
              </w:rPr>
              <w:t>恒生指数收益率</w:t>
            </w:r>
            <w:r w:rsidRPr="00414345">
              <w:rPr>
                <w:color w:val="000000"/>
                <w:kern w:val="0"/>
                <w:sz w:val="24"/>
                <w:szCs w:val="24"/>
              </w:rPr>
              <w:t>×5%+</w:t>
            </w:r>
            <w:r w:rsidRPr="00414345">
              <w:rPr>
                <w:color w:val="000000"/>
                <w:kern w:val="0"/>
                <w:sz w:val="24"/>
                <w:szCs w:val="24"/>
              </w:rPr>
              <w:t>中证综合债券指数收益率</w:t>
            </w:r>
            <w:r w:rsidRPr="00414345">
              <w:rPr>
                <w:color w:val="000000"/>
                <w:kern w:val="0"/>
                <w:sz w:val="24"/>
                <w:szCs w:val="24"/>
              </w:rPr>
              <w:t>×25%</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AC4F21" w:rsidRDefault="00E77616">
            <w:pPr>
              <w:adjustRightInd w:val="0"/>
              <w:spacing w:before="29" w:line="288" w:lineRule="auto"/>
              <w:ind w:left="17"/>
              <w:jc w:val="left"/>
              <w:rPr>
                <w:color w:val="000000"/>
                <w:sz w:val="24"/>
                <w:szCs w:val="24"/>
              </w:rPr>
            </w:pPr>
            <w:r>
              <w:rPr>
                <w:color w:val="000000"/>
                <w:kern w:val="0"/>
                <w:sz w:val="24"/>
                <w:szCs w:val="24"/>
              </w:rPr>
              <w:t>本基金是一只混合型基金，其预期风险和预期收益高于债券型基金和货币市场基金，低于股票型基金。</w:t>
            </w:r>
          </w:p>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本基金可投资港股通标的股票，会面临港股通机制下因投资环境、投资标的、市场制度以及交易规则等差异带来的特有风险。</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招商银行股份有限公司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D64173" w:rsidRPr="00414345" w:rsidTr="00D64173">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D64173" w:rsidRPr="00414345" w:rsidTr="00D6417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47,480,971.83</w:t>
            </w:r>
          </w:p>
        </w:tc>
      </w:tr>
      <w:tr w:rsidR="00D64173" w:rsidRPr="00414345" w:rsidTr="00D6417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36,546,193.25</w:t>
            </w:r>
          </w:p>
        </w:tc>
      </w:tr>
      <w:tr w:rsidR="00D64173" w:rsidRPr="00414345" w:rsidTr="00D6417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0.0123</w:t>
            </w:r>
          </w:p>
        </w:tc>
      </w:tr>
      <w:tr w:rsidR="00D64173" w:rsidRPr="00414345" w:rsidTr="00D6417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3,159,385,395.32</w:t>
            </w:r>
          </w:p>
        </w:tc>
      </w:tr>
      <w:tr w:rsidR="00D64173" w:rsidRPr="00414345" w:rsidTr="00D64173">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1.0656</w:t>
            </w:r>
          </w:p>
        </w:tc>
      </w:tr>
    </w:tbl>
    <w:p w:rsidR="00AC4F21" w:rsidRDefault="00E77616">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lastRenderedPageBreak/>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lastRenderedPageBreak/>
              <w:t>业绩比较基准收益</w:t>
            </w:r>
            <w:r w:rsidRPr="00414345">
              <w:rPr>
                <w:color w:val="000000"/>
                <w:sz w:val="24"/>
                <w:szCs w:val="24"/>
              </w:rPr>
              <w:lastRenderedPageBreak/>
              <w:t>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lastRenderedPageBreak/>
              <w:t>业绩比较基准收益率标</w:t>
            </w:r>
            <w:r w:rsidRPr="00414345">
              <w:rPr>
                <w:color w:val="000000"/>
                <w:sz w:val="24"/>
                <w:szCs w:val="24"/>
              </w:rPr>
              <w:lastRenderedPageBreak/>
              <w:t>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lastRenderedPageBreak/>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AC4F21">
        <w:trPr>
          <w:jc w:val="center"/>
        </w:trPr>
        <w:tc>
          <w:tcPr>
            <w:tcW w:w="1701" w:type="dxa"/>
            <w:vAlign w:val="center"/>
          </w:tcPr>
          <w:p w:rsidR="00AC4F21" w:rsidRDefault="00E77616">
            <w:pPr>
              <w:jc w:val="left"/>
            </w:pPr>
            <w:r>
              <w:rPr>
                <w:color w:val="000000"/>
                <w:sz w:val="24"/>
                <w:szCs w:val="24"/>
              </w:rPr>
              <w:t>过去三个月</w:t>
            </w:r>
          </w:p>
        </w:tc>
        <w:tc>
          <w:tcPr>
            <w:tcW w:w="1045" w:type="dxa"/>
            <w:vAlign w:val="center"/>
          </w:tcPr>
          <w:p w:rsidR="00AC4F21" w:rsidRDefault="00E77616">
            <w:pPr>
              <w:jc w:val="center"/>
            </w:pPr>
            <w:r>
              <w:rPr>
                <w:color w:val="000000"/>
                <w:sz w:val="24"/>
                <w:szCs w:val="24"/>
              </w:rPr>
              <w:t>1.17%</w:t>
            </w:r>
          </w:p>
        </w:tc>
        <w:tc>
          <w:tcPr>
            <w:tcW w:w="1344" w:type="dxa"/>
            <w:vAlign w:val="center"/>
          </w:tcPr>
          <w:p w:rsidR="00AC4F21" w:rsidRDefault="00E77616">
            <w:pPr>
              <w:jc w:val="center"/>
            </w:pPr>
            <w:r>
              <w:rPr>
                <w:color w:val="000000"/>
                <w:sz w:val="24"/>
                <w:szCs w:val="24"/>
              </w:rPr>
              <w:t>1.58%</w:t>
            </w:r>
          </w:p>
        </w:tc>
        <w:tc>
          <w:tcPr>
            <w:tcW w:w="1194" w:type="dxa"/>
            <w:vAlign w:val="center"/>
          </w:tcPr>
          <w:p w:rsidR="00AC4F21" w:rsidRDefault="00E77616">
            <w:pPr>
              <w:jc w:val="center"/>
            </w:pPr>
            <w:r>
              <w:rPr>
                <w:color w:val="000000"/>
                <w:sz w:val="24"/>
                <w:szCs w:val="24"/>
              </w:rPr>
              <w:t>-7.13%</w:t>
            </w:r>
          </w:p>
        </w:tc>
        <w:tc>
          <w:tcPr>
            <w:tcW w:w="1492" w:type="dxa"/>
            <w:vAlign w:val="center"/>
          </w:tcPr>
          <w:p w:rsidR="00AC4F21" w:rsidRDefault="00E77616">
            <w:pPr>
              <w:jc w:val="center"/>
            </w:pPr>
            <w:r>
              <w:rPr>
                <w:color w:val="000000"/>
                <w:sz w:val="24"/>
                <w:szCs w:val="24"/>
              </w:rPr>
              <w:t>1.44%</w:t>
            </w:r>
          </w:p>
        </w:tc>
        <w:tc>
          <w:tcPr>
            <w:tcW w:w="1194" w:type="dxa"/>
            <w:vAlign w:val="center"/>
          </w:tcPr>
          <w:p w:rsidR="00AC4F21" w:rsidRDefault="00E77616">
            <w:pPr>
              <w:jc w:val="center"/>
            </w:pPr>
            <w:r>
              <w:rPr>
                <w:color w:val="000000"/>
                <w:sz w:val="24"/>
                <w:szCs w:val="24"/>
              </w:rPr>
              <w:t>8.30%</w:t>
            </w:r>
          </w:p>
        </w:tc>
        <w:tc>
          <w:tcPr>
            <w:tcW w:w="898" w:type="dxa"/>
            <w:vAlign w:val="center"/>
          </w:tcPr>
          <w:p w:rsidR="00AC4F21" w:rsidRDefault="00E77616">
            <w:pPr>
              <w:jc w:val="center"/>
            </w:pPr>
            <w:r>
              <w:rPr>
                <w:color w:val="000000"/>
                <w:sz w:val="24"/>
                <w:szCs w:val="24"/>
              </w:rPr>
              <w:t>0.14%</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交银施罗德瑞丰三年封闭运作混合型证券投资基金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2019</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9</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4</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3</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注：本基金基金合同生效日为</w:t>
      </w:r>
      <w:r w:rsidRPr="00414345">
        <w:rPr>
          <w:color w:val="000000"/>
          <w:sz w:val="24"/>
          <w:szCs w:val="24"/>
        </w:rPr>
        <w:t>2019</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4</w:t>
      </w:r>
      <w:r w:rsidRPr="00414345">
        <w:rPr>
          <w:color w:val="000000"/>
          <w:sz w:val="24"/>
          <w:szCs w:val="24"/>
        </w:rPr>
        <w:t>日，基金合同生效日至报告期期末，本基金运作时间未满一年。本基金建仓期为自基金合同生效日起的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AC4F21">
        <w:trPr>
          <w:jc w:val="center"/>
        </w:trPr>
        <w:tc>
          <w:tcPr>
            <w:tcW w:w="846" w:type="dxa"/>
            <w:vAlign w:val="center"/>
          </w:tcPr>
          <w:p w:rsidR="00AC4F21" w:rsidRDefault="00E77616">
            <w:pPr>
              <w:jc w:val="center"/>
            </w:pPr>
            <w:r>
              <w:rPr>
                <w:color w:val="000000"/>
                <w:sz w:val="24"/>
                <w:szCs w:val="24"/>
              </w:rPr>
              <w:t>王崇</w:t>
            </w:r>
          </w:p>
        </w:tc>
        <w:tc>
          <w:tcPr>
            <w:tcW w:w="845" w:type="dxa"/>
            <w:vAlign w:val="center"/>
          </w:tcPr>
          <w:p w:rsidR="00AC4F21" w:rsidRDefault="00E77616">
            <w:pPr>
              <w:jc w:val="center"/>
            </w:pPr>
            <w:r>
              <w:rPr>
                <w:color w:val="000000"/>
                <w:sz w:val="24"/>
                <w:szCs w:val="24"/>
              </w:rPr>
              <w:t>交银精选混合、</w:t>
            </w:r>
            <w:r>
              <w:rPr>
                <w:color w:val="000000"/>
                <w:sz w:val="24"/>
                <w:szCs w:val="24"/>
              </w:rPr>
              <w:lastRenderedPageBreak/>
              <w:t>交银新成长混合、交银瑞丰混合的基金经理，公司权益投资副总监</w:t>
            </w:r>
          </w:p>
        </w:tc>
        <w:tc>
          <w:tcPr>
            <w:tcW w:w="1549" w:type="dxa"/>
            <w:vAlign w:val="center"/>
          </w:tcPr>
          <w:p w:rsidR="00AC4F21" w:rsidRDefault="00E77616">
            <w:pPr>
              <w:jc w:val="center"/>
            </w:pPr>
            <w:r>
              <w:rPr>
                <w:color w:val="000000"/>
                <w:sz w:val="24"/>
                <w:szCs w:val="24"/>
              </w:rPr>
              <w:lastRenderedPageBreak/>
              <w:t>2019-09-04</w:t>
            </w:r>
          </w:p>
        </w:tc>
        <w:tc>
          <w:tcPr>
            <w:tcW w:w="1548" w:type="dxa"/>
            <w:vAlign w:val="center"/>
          </w:tcPr>
          <w:p w:rsidR="00AC4F21" w:rsidRDefault="00E77616">
            <w:pPr>
              <w:jc w:val="center"/>
            </w:pPr>
            <w:r>
              <w:rPr>
                <w:color w:val="000000"/>
                <w:sz w:val="24"/>
                <w:szCs w:val="24"/>
              </w:rPr>
              <w:t>-</w:t>
            </w:r>
          </w:p>
        </w:tc>
        <w:tc>
          <w:tcPr>
            <w:tcW w:w="1407" w:type="dxa"/>
            <w:vAlign w:val="center"/>
          </w:tcPr>
          <w:p w:rsidR="00AC4F21" w:rsidRDefault="00E77616">
            <w:pPr>
              <w:jc w:val="center"/>
            </w:pPr>
            <w:r>
              <w:rPr>
                <w:color w:val="000000"/>
                <w:sz w:val="24"/>
                <w:szCs w:val="24"/>
              </w:rPr>
              <w:t>12</w:t>
            </w:r>
            <w:r>
              <w:rPr>
                <w:color w:val="000000"/>
                <w:sz w:val="24"/>
                <w:szCs w:val="24"/>
              </w:rPr>
              <w:t>年</w:t>
            </w:r>
          </w:p>
        </w:tc>
        <w:tc>
          <w:tcPr>
            <w:tcW w:w="2673" w:type="dxa"/>
            <w:vAlign w:val="center"/>
          </w:tcPr>
          <w:p w:rsidR="00AC4F21" w:rsidRDefault="00E77616">
            <w:r>
              <w:rPr>
                <w:color w:val="000000"/>
                <w:sz w:val="24"/>
                <w:szCs w:val="24"/>
              </w:rPr>
              <w:t>王崇先生，北京大学金融学博士。</w:t>
            </w:r>
            <w:r>
              <w:rPr>
                <w:color w:val="000000"/>
                <w:sz w:val="24"/>
                <w:szCs w:val="24"/>
              </w:rPr>
              <w:t>2008</w:t>
            </w:r>
            <w:r>
              <w:rPr>
                <w:color w:val="000000"/>
                <w:sz w:val="24"/>
                <w:szCs w:val="24"/>
              </w:rPr>
              <w:t>年加入交银施罗德基金管理有</w:t>
            </w:r>
            <w:r>
              <w:rPr>
                <w:color w:val="000000"/>
                <w:sz w:val="24"/>
                <w:szCs w:val="24"/>
              </w:rPr>
              <w:lastRenderedPageBreak/>
              <w:t>限公司，历任行业分析师、高级研究员。</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AC4F21" w:rsidRDefault="00E77616">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AC4F21" w:rsidRDefault="00E77616">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AC4F21" w:rsidRDefault="00E77616">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w:t>
      </w:r>
      <w:r>
        <w:rPr>
          <w:color w:val="000000"/>
          <w:sz w:val="24"/>
          <w:szCs w:val="24"/>
        </w:rPr>
        <w:t>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w:t>
      </w:r>
      <w:r w:rsidRPr="00414345">
        <w:rPr>
          <w:color w:val="000000"/>
          <w:sz w:val="24"/>
          <w:szCs w:val="24"/>
        </w:rPr>
        <w:lastRenderedPageBreak/>
        <w:t>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AC4F21" w:rsidRDefault="00E77616">
      <w:pPr>
        <w:spacing w:before="29" w:line="288" w:lineRule="auto"/>
        <w:ind w:firstLineChars="200" w:firstLine="480"/>
        <w:rPr>
          <w:color w:val="000000"/>
          <w:sz w:val="24"/>
          <w:szCs w:val="24"/>
        </w:rPr>
      </w:pPr>
      <w:r>
        <w:rPr>
          <w:color w:val="000000"/>
          <w:sz w:val="24"/>
          <w:szCs w:val="24"/>
        </w:rPr>
        <w:t>2020</w:t>
      </w:r>
      <w:r>
        <w:rPr>
          <w:color w:val="000000"/>
          <w:sz w:val="24"/>
          <w:szCs w:val="24"/>
        </w:rPr>
        <w:t>年受新冠肺炎扩散影响，国内经济阶段性进入衰退区间，我们预计未来受海外出口拖累，经济复苏力度仍旧不宜乐观。一季度</w:t>
      </w:r>
      <w:r>
        <w:rPr>
          <w:color w:val="000000"/>
          <w:sz w:val="24"/>
          <w:szCs w:val="24"/>
        </w:rPr>
        <w:t>A</w:t>
      </w:r>
      <w:r>
        <w:rPr>
          <w:color w:val="000000"/>
          <w:sz w:val="24"/>
          <w:szCs w:val="24"/>
        </w:rPr>
        <w:t>股市场先扬后抑，除创业板以外主要指数收益率均为负，其中一至二月科技股涨幅遥遥领先，随着三月疫情海外扩散，内需必选消费板块三月大幅反弹；从具体行业来看，农业、医药、食品以及计算机等内需弱周期行业涨幅居前，金融、地产以及家电等对宏观经济高度敏感行业跌幅居前。</w:t>
      </w:r>
    </w:p>
    <w:p w:rsidR="00AC4F21" w:rsidRDefault="00E77616">
      <w:pPr>
        <w:spacing w:before="29" w:line="288" w:lineRule="auto"/>
        <w:ind w:firstLineChars="200" w:firstLine="480"/>
        <w:rPr>
          <w:color w:val="000000"/>
          <w:sz w:val="24"/>
          <w:szCs w:val="24"/>
        </w:rPr>
      </w:pPr>
      <w:r>
        <w:rPr>
          <w:color w:val="000000"/>
          <w:sz w:val="24"/>
          <w:szCs w:val="24"/>
        </w:rPr>
        <w:t>本基金一季度前期保持中性略高仓位，三月以后略有降</w:t>
      </w:r>
      <w:r>
        <w:rPr>
          <w:color w:val="000000"/>
          <w:sz w:val="24"/>
          <w:szCs w:val="24"/>
        </w:rPr>
        <w:t>仓，考虑到新冠肺炎疫情对经济周期的影响，部分经济敏感度较高的行业投资逻辑发生重大变化，一季度中后期我们大幅减持金融和消费电子，加仓必选消费，从整个季度来看本基金跑赢业绩比较基准。</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2020</w:t>
      </w:r>
      <w:r w:rsidRPr="00414345">
        <w:rPr>
          <w:color w:val="000000"/>
          <w:sz w:val="24"/>
          <w:szCs w:val="24"/>
        </w:rPr>
        <w:t>年二季度，我们对</w:t>
      </w:r>
      <w:r w:rsidRPr="00414345">
        <w:rPr>
          <w:color w:val="000000"/>
          <w:sz w:val="24"/>
          <w:szCs w:val="24"/>
        </w:rPr>
        <w:t>A</w:t>
      </w:r>
      <w:r w:rsidRPr="00414345">
        <w:rPr>
          <w:color w:val="000000"/>
          <w:sz w:val="24"/>
          <w:szCs w:val="24"/>
        </w:rPr>
        <w:t>股市场维持谨慎乐观的态度。考虑到目前的经济状况、利率水平以及政府采取的逆周期积极财政和货币政策，我们仍旧认为大类资产配置中权益最优；从估值盈利匹配度来看，有不少传统行业龙头公司股票仍旧值得投资和持有。另一方面，随着疫情全球扩散，出口形势堪忧，后续经济复苏的力度不宜乐观，</w:t>
      </w:r>
      <w:r w:rsidRPr="00414345">
        <w:rPr>
          <w:color w:val="000000"/>
          <w:sz w:val="24"/>
          <w:szCs w:val="24"/>
        </w:rPr>
        <w:t>A</w:t>
      </w:r>
      <w:r w:rsidRPr="00414345">
        <w:rPr>
          <w:color w:val="000000"/>
          <w:sz w:val="24"/>
          <w:szCs w:val="24"/>
        </w:rPr>
        <w:t>股上市公司盈利预测下调可能刚刚开始，在后续盈利预测不断下调过程中，不排除市场有阶段性再次回调的风险。本基金后续保持中性略低仓位，按照经济衰退、内需为先的思路，拟继续超配一二线房地产龙头、医疗服务和器械、软件及互联网、必选消费品、新能源汽车产业链上优质标的，坚守能力圈和安全边际，逆向投资，做中长期布局，努力为基金持有人带来稳健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lastRenderedPageBreak/>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2,649,847,428.98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83.68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2,649,847,428.98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83.68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4,788,100.00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0.15</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4,788,100.00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0.15</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481,546,949.06</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15.21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30,595,489.25</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0.97</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3,166,777,967.29</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1,116,433,608.84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35.34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lastRenderedPageBreak/>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19,147.31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5,094,732.32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0.16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272,315,454.33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8.62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140,049,065.23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4.43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17,552.98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249,946,115.89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7.91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1,783,875,676.90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56.46</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3119"/>
        <w:gridCol w:w="3118"/>
      </w:tblGrid>
      <w:tr w:rsidR="00F51C4E" w:rsidRPr="00FF0BBF" w:rsidTr="00AD114B">
        <w:trPr>
          <w:jc w:val="center"/>
        </w:trPr>
        <w:tc>
          <w:tcPr>
            <w:tcW w:w="2397"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行业类别</w:t>
            </w:r>
          </w:p>
        </w:tc>
        <w:tc>
          <w:tcPr>
            <w:tcW w:w="3119"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公允价值（人民币）</w:t>
            </w:r>
          </w:p>
        </w:tc>
        <w:tc>
          <w:tcPr>
            <w:tcW w:w="3118"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占基金资产净值比例（</w:t>
            </w:r>
            <w:r w:rsidRPr="00FF0BBF">
              <w:rPr>
                <w:rFonts w:hint="eastAsia"/>
                <w:color w:val="000000"/>
                <w:sz w:val="24"/>
              </w:rPr>
              <w:t>%</w:t>
            </w:r>
            <w:r w:rsidRPr="00FF0BBF">
              <w:rPr>
                <w:rFonts w:hint="eastAsia"/>
                <w:color w:val="000000"/>
                <w:sz w:val="24"/>
              </w:rPr>
              <w:t>）</w:t>
            </w:r>
          </w:p>
        </w:tc>
      </w:tr>
      <w:tr w:rsidR="00AC4F21">
        <w:trPr>
          <w:jc w:val="center"/>
        </w:trPr>
        <w:tc>
          <w:tcPr>
            <w:tcW w:w="2397" w:type="dxa"/>
            <w:vAlign w:val="center"/>
          </w:tcPr>
          <w:p w:rsidR="00AC4F21" w:rsidRDefault="00E77616">
            <w:pPr>
              <w:jc w:val="center"/>
            </w:pPr>
            <w:r>
              <w:rPr>
                <w:color w:val="000000"/>
                <w:sz w:val="24"/>
              </w:rPr>
              <w:t>房地产</w:t>
            </w:r>
          </w:p>
        </w:tc>
        <w:tc>
          <w:tcPr>
            <w:tcW w:w="3119" w:type="dxa"/>
            <w:vAlign w:val="center"/>
          </w:tcPr>
          <w:p w:rsidR="00AC4F21" w:rsidRDefault="00E77616">
            <w:pPr>
              <w:jc w:val="center"/>
            </w:pPr>
            <w:r>
              <w:rPr>
                <w:color w:val="000000"/>
                <w:sz w:val="24"/>
              </w:rPr>
              <w:t>167,715,400.45</w:t>
            </w:r>
          </w:p>
        </w:tc>
        <w:tc>
          <w:tcPr>
            <w:tcW w:w="3118" w:type="dxa"/>
            <w:vAlign w:val="center"/>
          </w:tcPr>
          <w:p w:rsidR="00AC4F21" w:rsidRDefault="00E77616">
            <w:pPr>
              <w:jc w:val="center"/>
            </w:pPr>
            <w:r>
              <w:rPr>
                <w:color w:val="000000"/>
                <w:sz w:val="24"/>
              </w:rPr>
              <w:t>5.31</w:t>
            </w:r>
          </w:p>
        </w:tc>
      </w:tr>
      <w:tr w:rsidR="00AC4F21">
        <w:trPr>
          <w:jc w:val="center"/>
        </w:trPr>
        <w:tc>
          <w:tcPr>
            <w:tcW w:w="2397" w:type="dxa"/>
            <w:vAlign w:val="center"/>
          </w:tcPr>
          <w:p w:rsidR="00AC4F21" w:rsidRDefault="00E77616">
            <w:pPr>
              <w:jc w:val="center"/>
            </w:pPr>
            <w:r>
              <w:rPr>
                <w:color w:val="000000"/>
                <w:sz w:val="24"/>
              </w:rPr>
              <w:t>金融</w:t>
            </w:r>
          </w:p>
        </w:tc>
        <w:tc>
          <w:tcPr>
            <w:tcW w:w="3119" w:type="dxa"/>
            <w:vAlign w:val="center"/>
          </w:tcPr>
          <w:p w:rsidR="00AC4F21" w:rsidRDefault="00E77616">
            <w:pPr>
              <w:jc w:val="center"/>
            </w:pPr>
            <w:r>
              <w:rPr>
                <w:color w:val="000000"/>
                <w:sz w:val="24"/>
              </w:rPr>
              <w:t>451,479,559.21</w:t>
            </w:r>
          </w:p>
        </w:tc>
        <w:tc>
          <w:tcPr>
            <w:tcW w:w="3118" w:type="dxa"/>
            <w:vAlign w:val="center"/>
          </w:tcPr>
          <w:p w:rsidR="00AC4F21" w:rsidRDefault="00E77616">
            <w:pPr>
              <w:jc w:val="center"/>
            </w:pPr>
            <w:r>
              <w:rPr>
                <w:color w:val="000000"/>
                <w:sz w:val="24"/>
              </w:rPr>
              <w:t>14.29</w:t>
            </w:r>
          </w:p>
        </w:tc>
      </w:tr>
      <w:tr w:rsidR="00AC4F21">
        <w:trPr>
          <w:jc w:val="center"/>
        </w:trPr>
        <w:tc>
          <w:tcPr>
            <w:tcW w:w="2397" w:type="dxa"/>
            <w:vAlign w:val="center"/>
          </w:tcPr>
          <w:p w:rsidR="00AC4F21" w:rsidRDefault="00E77616">
            <w:pPr>
              <w:jc w:val="center"/>
            </w:pPr>
            <w:r>
              <w:rPr>
                <w:color w:val="000000"/>
                <w:sz w:val="24"/>
              </w:rPr>
              <w:t>通讯服务</w:t>
            </w:r>
          </w:p>
        </w:tc>
        <w:tc>
          <w:tcPr>
            <w:tcW w:w="3119" w:type="dxa"/>
            <w:vAlign w:val="center"/>
          </w:tcPr>
          <w:p w:rsidR="00AC4F21" w:rsidRDefault="00E77616">
            <w:pPr>
              <w:jc w:val="center"/>
            </w:pPr>
            <w:r>
              <w:rPr>
                <w:color w:val="000000"/>
                <w:sz w:val="24"/>
              </w:rPr>
              <w:t>204,681,445.61</w:t>
            </w:r>
          </w:p>
        </w:tc>
        <w:tc>
          <w:tcPr>
            <w:tcW w:w="3118" w:type="dxa"/>
            <w:vAlign w:val="center"/>
          </w:tcPr>
          <w:p w:rsidR="00AC4F21" w:rsidRDefault="00E77616">
            <w:pPr>
              <w:jc w:val="center"/>
            </w:pPr>
            <w:r>
              <w:rPr>
                <w:color w:val="000000"/>
                <w:sz w:val="24"/>
              </w:rPr>
              <w:t>6.48</w:t>
            </w:r>
          </w:p>
        </w:tc>
      </w:tr>
      <w:tr w:rsidR="00AC4F21">
        <w:trPr>
          <w:jc w:val="center"/>
        </w:trPr>
        <w:tc>
          <w:tcPr>
            <w:tcW w:w="2397" w:type="dxa"/>
            <w:vAlign w:val="center"/>
          </w:tcPr>
          <w:p w:rsidR="00AC4F21" w:rsidRDefault="00E77616">
            <w:pPr>
              <w:jc w:val="center"/>
            </w:pPr>
            <w:r>
              <w:rPr>
                <w:color w:val="000000"/>
                <w:sz w:val="24"/>
              </w:rPr>
              <w:t>信息技术</w:t>
            </w:r>
          </w:p>
        </w:tc>
        <w:tc>
          <w:tcPr>
            <w:tcW w:w="3119" w:type="dxa"/>
            <w:vAlign w:val="center"/>
          </w:tcPr>
          <w:p w:rsidR="00AC4F21" w:rsidRDefault="00E77616">
            <w:pPr>
              <w:jc w:val="center"/>
            </w:pPr>
            <w:r>
              <w:rPr>
                <w:color w:val="000000"/>
                <w:sz w:val="24"/>
              </w:rPr>
              <w:t>42,095,346.81</w:t>
            </w:r>
          </w:p>
        </w:tc>
        <w:tc>
          <w:tcPr>
            <w:tcW w:w="3118" w:type="dxa"/>
            <w:vAlign w:val="center"/>
          </w:tcPr>
          <w:p w:rsidR="00AC4F21" w:rsidRDefault="00E77616">
            <w:pPr>
              <w:jc w:val="center"/>
            </w:pPr>
            <w:r>
              <w:rPr>
                <w:color w:val="000000"/>
                <w:sz w:val="24"/>
              </w:rPr>
              <w:t>1.33</w:t>
            </w:r>
          </w:p>
        </w:tc>
      </w:tr>
      <w:tr w:rsidR="00F51C4E" w:rsidRPr="00FF0BBF" w:rsidTr="00AD114B">
        <w:trPr>
          <w:jc w:val="center"/>
        </w:trPr>
        <w:tc>
          <w:tcPr>
            <w:tcW w:w="2397"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合计</w:t>
            </w:r>
          </w:p>
        </w:tc>
        <w:tc>
          <w:tcPr>
            <w:tcW w:w="3119"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865,971,752.08</w:t>
            </w:r>
          </w:p>
        </w:tc>
        <w:tc>
          <w:tcPr>
            <w:tcW w:w="3118" w:type="dxa"/>
            <w:vAlign w:val="center"/>
          </w:tcPr>
          <w:p w:rsidR="00F51C4E" w:rsidRPr="00FF0BBF" w:rsidRDefault="00F51C4E" w:rsidP="00AD114B">
            <w:pPr>
              <w:spacing w:before="29" w:line="360" w:lineRule="auto"/>
              <w:ind w:left="17"/>
              <w:jc w:val="center"/>
              <w:rPr>
                <w:color w:val="000000"/>
                <w:sz w:val="24"/>
              </w:rPr>
            </w:pPr>
            <w:r w:rsidRPr="00FF0BBF">
              <w:rPr>
                <w:rFonts w:hint="eastAsia"/>
                <w:color w:val="000000"/>
                <w:sz w:val="24"/>
              </w:rPr>
              <w:t>27.41</w:t>
            </w:r>
          </w:p>
        </w:tc>
      </w:tr>
    </w:tbl>
    <w:p w:rsidR="00F51C4E" w:rsidRDefault="00F51C4E" w:rsidP="00F51C4E">
      <w:pPr>
        <w:spacing w:before="29" w:line="360" w:lineRule="auto"/>
        <w:ind w:left="17"/>
        <w:rPr>
          <w:color w:val="000000"/>
          <w:sz w:val="24"/>
        </w:rPr>
      </w:pPr>
      <w:r w:rsidRPr="00FF0BBF">
        <w:rPr>
          <w:color w:val="000000"/>
          <w:sz w:val="24"/>
        </w:rPr>
        <w:t>注：以上分类采用全球行业分类标准（</w:t>
      </w:r>
      <w:r w:rsidRPr="00FF0BBF">
        <w:rPr>
          <w:color w:val="000000"/>
          <w:sz w:val="24"/>
        </w:rPr>
        <w:t>GICS</w:t>
      </w:r>
      <w:r w:rsidRPr="00FF0BBF">
        <w:rPr>
          <w:color w:val="000000"/>
          <w:sz w:val="24"/>
        </w:rPr>
        <w:t>）。</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AC4F21">
        <w:trPr>
          <w:jc w:val="center"/>
        </w:trPr>
        <w:tc>
          <w:tcPr>
            <w:tcW w:w="855" w:type="dxa"/>
            <w:vAlign w:val="center"/>
          </w:tcPr>
          <w:p w:rsidR="00AC4F21" w:rsidRDefault="00E77616">
            <w:pPr>
              <w:jc w:val="center"/>
            </w:pPr>
            <w:r>
              <w:rPr>
                <w:color w:val="000000"/>
                <w:sz w:val="24"/>
                <w:szCs w:val="24"/>
              </w:rPr>
              <w:t>1</w:t>
            </w:r>
          </w:p>
        </w:tc>
        <w:tc>
          <w:tcPr>
            <w:tcW w:w="1334" w:type="dxa"/>
            <w:vAlign w:val="center"/>
          </w:tcPr>
          <w:p w:rsidR="00AC4F21" w:rsidRDefault="00E77616">
            <w:pPr>
              <w:jc w:val="center"/>
            </w:pPr>
            <w:r>
              <w:rPr>
                <w:color w:val="000000"/>
                <w:sz w:val="24"/>
                <w:szCs w:val="24"/>
              </w:rPr>
              <w:t>603517</w:t>
            </w:r>
          </w:p>
        </w:tc>
        <w:tc>
          <w:tcPr>
            <w:tcW w:w="1777" w:type="dxa"/>
            <w:vAlign w:val="center"/>
          </w:tcPr>
          <w:p w:rsidR="00AC4F21" w:rsidRDefault="00E77616">
            <w:pPr>
              <w:jc w:val="center"/>
            </w:pPr>
            <w:r>
              <w:rPr>
                <w:color w:val="000000"/>
                <w:sz w:val="24"/>
                <w:szCs w:val="24"/>
              </w:rPr>
              <w:t>绝味食品</w:t>
            </w:r>
          </w:p>
        </w:tc>
        <w:tc>
          <w:tcPr>
            <w:tcW w:w="1334" w:type="dxa"/>
            <w:vAlign w:val="center"/>
          </w:tcPr>
          <w:p w:rsidR="00AC4F21" w:rsidRDefault="00E77616">
            <w:pPr>
              <w:jc w:val="right"/>
            </w:pPr>
            <w:r>
              <w:rPr>
                <w:color w:val="000000"/>
                <w:sz w:val="24"/>
                <w:szCs w:val="24"/>
              </w:rPr>
              <w:t>6,160,701</w:t>
            </w:r>
          </w:p>
        </w:tc>
        <w:tc>
          <w:tcPr>
            <w:tcW w:w="1924" w:type="dxa"/>
            <w:vAlign w:val="center"/>
          </w:tcPr>
          <w:p w:rsidR="00AC4F21" w:rsidRDefault="00E77616">
            <w:pPr>
              <w:jc w:val="right"/>
            </w:pPr>
            <w:r>
              <w:rPr>
                <w:color w:val="000000"/>
                <w:sz w:val="24"/>
                <w:szCs w:val="24"/>
              </w:rPr>
              <w:t>318,816,276.75</w:t>
            </w:r>
          </w:p>
        </w:tc>
        <w:tc>
          <w:tcPr>
            <w:tcW w:w="1644" w:type="dxa"/>
            <w:vAlign w:val="center"/>
          </w:tcPr>
          <w:p w:rsidR="00AC4F21" w:rsidRDefault="00E77616">
            <w:pPr>
              <w:jc w:val="right"/>
            </w:pPr>
            <w:r>
              <w:rPr>
                <w:color w:val="000000"/>
                <w:sz w:val="24"/>
                <w:szCs w:val="24"/>
              </w:rPr>
              <w:t>10.09</w:t>
            </w:r>
          </w:p>
        </w:tc>
      </w:tr>
      <w:tr w:rsidR="00AC4F21">
        <w:trPr>
          <w:jc w:val="center"/>
        </w:trPr>
        <w:tc>
          <w:tcPr>
            <w:tcW w:w="855" w:type="dxa"/>
            <w:vAlign w:val="center"/>
          </w:tcPr>
          <w:p w:rsidR="00AC4F21" w:rsidRDefault="00E77616">
            <w:pPr>
              <w:jc w:val="center"/>
            </w:pPr>
            <w:r>
              <w:rPr>
                <w:color w:val="000000"/>
                <w:sz w:val="24"/>
                <w:szCs w:val="24"/>
              </w:rPr>
              <w:t>2</w:t>
            </w:r>
          </w:p>
        </w:tc>
        <w:tc>
          <w:tcPr>
            <w:tcW w:w="1334" w:type="dxa"/>
            <w:vAlign w:val="center"/>
          </w:tcPr>
          <w:p w:rsidR="00AC4F21" w:rsidRDefault="00E77616">
            <w:pPr>
              <w:jc w:val="center"/>
            </w:pPr>
            <w:r>
              <w:rPr>
                <w:color w:val="000000"/>
                <w:sz w:val="24"/>
                <w:szCs w:val="24"/>
              </w:rPr>
              <w:t>002271</w:t>
            </w:r>
          </w:p>
        </w:tc>
        <w:tc>
          <w:tcPr>
            <w:tcW w:w="1777" w:type="dxa"/>
            <w:vAlign w:val="center"/>
          </w:tcPr>
          <w:p w:rsidR="00AC4F21" w:rsidRDefault="00E77616">
            <w:pPr>
              <w:jc w:val="center"/>
            </w:pPr>
            <w:r>
              <w:rPr>
                <w:color w:val="000000"/>
                <w:sz w:val="24"/>
                <w:szCs w:val="24"/>
              </w:rPr>
              <w:t>东方雨虹</w:t>
            </w:r>
          </w:p>
        </w:tc>
        <w:tc>
          <w:tcPr>
            <w:tcW w:w="1334" w:type="dxa"/>
            <w:vAlign w:val="center"/>
          </w:tcPr>
          <w:p w:rsidR="00AC4F21" w:rsidRDefault="00E77616">
            <w:pPr>
              <w:jc w:val="right"/>
            </w:pPr>
            <w:r>
              <w:rPr>
                <w:color w:val="000000"/>
                <w:sz w:val="24"/>
                <w:szCs w:val="24"/>
              </w:rPr>
              <w:t>7,008,966</w:t>
            </w:r>
          </w:p>
        </w:tc>
        <w:tc>
          <w:tcPr>
            <w:tcW w:w="1924" w:type="dxa"/>
            <w:vAlign w:val="center"/>
          </w:tcPr>
          <w:p w:rsidR="00AC4F21" w:rsidRDefault="00E77616">
            <w:pPr>
              <w:jc w:val="right"/>
            </w:pPr>
            <w:r>
              <w:rPr>
                <w:color w:val="000000"/>
                <w:sz w:val="24"/>
                <w:szCs w:val="24"/>
              </w:rPr>
              <w:t>238,515,112.98</w:t>
            </w:r>
          </w:p>
        </w:tc>
        <w:tc>
          <w:tcPr>
            <w:tcW w:w="1644" w:type="dxa"/>
            <w:vAlign w:val="center"/>
          </w:tcPr>
          <w:p w:rsidR="00AC4F21" w:rsidRDefault="00E77616">
            <w:pPr>
              <w:jc w:val="right"/>
            </w:pPr>
            <w:r>
              <w:rPr>
                <w:color w:val="000000"/>
                <w:sz w:val="24"/>
                <w:szCs w:val="24"/>
              </w:rPr>
              <w:t>7.55</w:t>
            </w:r>
          </w:p>
        </w:tc>
      </w:tr>
      <w:tr w:rsidR="00AC4F21">
        <w:trPr>
          <w:jc w:val="center"/>
        </w:trPr>
        <w:tc>
          <w:tcPr>
            <w:tcW w:w="855" w:type="dxa"/>
            <w:vAlign w:val="center"/>
          </w:tcPr>
          <w:p w:rsidR="00AC4F21" w:rsidRDefault="00E77616">
            <w:pPr>
              <w:jc w:val="center"/>
            </w:pPr>
            <w:r>
              <w:rPr>
                <w:color w:val="000000"/>
                <w:sz w:val="24"/>
                <w:szCs w:val="24"/>
              </w:rPr>
              <w:t>3</w:t>
            </w:r>
          </w:p>
        </w:tc>
        <w:tc>
          <w:tcPr>
            <w:tcW w:w="1334" w:type="dxa"/>
            <w:vAlign w:val="center"/>
          </w:tcPr>
          <w:p w:rsidR="00AC4F21" w:rsidRDefault="00E77616">
            <w:pPr>
              <w:jc w:val="center"/>
            </w:pPr>
            <w:r>
              <w:rPr>
                <w:color w:val="000000"/>
                <w:sz w:val="24"/>
                <w:szCs w:val="24"/>
              </w:rPr>
              <w:t>00700.HK</w:t>
            </w:r>
          </w:p>
        </w:tc>
        <w:tc>
          <w:tcPr>
            <w:tcW w:w="1777" w:type="dxa"/>
            <w:vAlign w:val="center"/>
          </w:tcPr>
          <w:p w:rsidR="00AC4F21" w:rsidRDefault="00E77616">
            <w:pPr>
              <w:jc w:val="center"/>
            </w:pPr>
            <w:r>
              <w:rPr>
                <w:color w:val="000000"/>
                <w:sz w:val="24"/>
                <w:szCs w:val="24"/>
              </w:rPr>
              <w:t>腾讯控股</w:t>
            </w:r>
          </w:p>
        </w:tc>
        <w:tc>
          <w:tcPr>
            <w:tcW w:w="1334" w:type="dxa"/>
            <w:vAlign w:val="center"/>
          </w:tcPr>
          <w:p w:rsidR="00AC4F21" w:rsidRDefault="00E77616">
            <w:pPr>
              <w:jc w:val="right"/>
            </w:pPr>
            <w:r>
              <w:rPr>
                <w:color w:val="000000"/>
                <w:sz w:val="24"/>
                <w:szCs w:val="24"/>
              </w:rPr>
              <w:t>589,200</w:t>
            </w:r>
          </w:p>
        </w:tc>
        <w:tc>
          <w:tcPr>
            <w:tcW w:w="1924" w:type="dxa"/>
            <w:vAlign w:val="center"/>
          </w:tcPr>
          <w:p w:rsidR="00AC4F21" w:rsidRDefault="00E77616">
            <w:pPr>
              <w:jc w:val="right"/>
            </w:pPr>
            <w:r>
              <w:rPr>
                <w:color w:val="000000"/>
                <w:sz w:val="24"/>
                <w:szCs w:val="24"/>
              </w:rPr>
              <w:t>204,681,445.61</w:t>
            </w:r>
          </w:p>
        </w:tc>
        <w:tc>
          <w:tcPr>
            <w:tcW w:w="1644" w:type="dxa"/>
            <w:vAlign w:val="center"/>
          </w:tcPr>
          <w:p w:rsidR="00AC4F21" w:rsidRDefault="00E77616">
            <w:pPr>
              <w:jc w:val="right"/>
            </w:pPr>
            <w:r>
              <w:rPr>
                <w:color w:val="000000"/>
                <w:sz w:val="24"/>
                <w:szCs w:val="24"/>
              </w:rPr>
              <w:t>6.48</w:t>
            </w:r>
          </w:p>
        </w:tc>
      </w:tr>
      <w:tr w:rsidR="00AC4F21">
        <w:trPr>
          <w:jc w:val="center"/>
        </w:trPr>
        <w:tc>
          <w:tcPr>
            <w:tcW w:w="855" w:type="dxa"/>
            <w:vAlign w:val="center"/>
          </w:tcPr>
          <w:p w:rsidR="00AC4F21" w:rsidRDefault="00E77616">
            <w:pPr>
              <w:jc w:val="center"/>
            </w:pPr>
            <w:r>
              <w:rPr>
                <w:color w:val="000000"/>
                <w:sz w:val="24"/>
                <w:szCs w:val="24"/>
              </w:rPr>
              <w:t>4</w:t>
            </w:r>
          </w:p>
        </w:tc>
        <w:tc>
          <w:tcPr>
            <w:tcW w:w="1334" w:type="dxa"/>
            <w:vAlign w:val="center"/>
          </w:tcPr>
          <w:p w:rsidR="00AC4F21" w:rsidRDefault="00E77616">
            <w:pPr>
              <w:jc w:val="center"/>
            </w:pPr>
            <w:r>
              <w:rPr>
                <w:color w:val="000000"/>
                <w:sz w:val="24"/>
                <w:szCs w:val="24"/>
              </w:rPr>
              <w:t>002044</w:t>
            </w:r>
          </w:p>
        </w:tc>
        <w:tc>
          <w:tcPr>
            <w:tcW w:w="1777" w:type="dxa"/>
            <w:vAlign w:val="center"/>
          </w:tcPr>
          <w:p w:rsidR="00AC4F21" w:rsidRDefault="00E77616">
            <w:pPr>
              <w:jc w:val="center"/>
            </w:pPr>
            <w:r>
              <w:rPr>
                <w:color w:val="000000"/>
                <w:sz w:val="24"/>
                <w:szCs w:val="24"/>
              </w:rPr>
              <w:t>美年健康</w:t>
            </w:r>
          </w:p>
        </w:tc>
        <w:tc>
          <w:tcPr>
            <w:tcW w:w="1334" w:type="dxa"/>
            <w:vAlign w:val="center"/>
          </w:tcPr>
          <w:p w:rsidR="00AC4F21" w:rsidRDefault="00E77616">
            <w:pPr>
              <w:jc w:val="right"/>
            </w:pPr>
            <w:r>
              <w:rPr>
                <w:color w:val="000000"/>
                <w:sz w:val="24"/>
                <w:szCs w:val="24"/>
              </w:rPr>
              <w:t>15,722,369</w:t>
            </w:r>
          </w:p>
        </w:tc>
        <w:tc>
          <w:tcPr>
            <w:tcW w:w="1924" w:type="dxa"/>
            <w:vAlign w:val="center"/>
          </w:tcPr>
          <w:p w:rsidR="00AC4F21" w:rsidRDefault="00E77616">
            <w:pPr>
              <w:jc w:val="right"/>
            </w:pPr>
            <w:r>
              <w:rPr>
                <w:color w:val="000000"/>
                <w:sz w:val="24"/>
                <w:szCs w:val="24"/>
              </w:rPr>
              <w:t>185,681,177.89</w:t>
            </w:r>
          </w:p>
        </w:tc>
        <w:tc>
          <w:tcPr>
            <w:tcW w:w="1644" w:type="dxa"/>
            <w:vAlign w:val="center"/>
          </w:tcPr>
          <w:p w:rsidR="00AC4F21" w:rsidRDefault="00E77616">
            <w:pPr>
              <w:jc w:val="right"/>
            </w:pPr>
            <w:r>
              <w:rPr>
                <w:color w:val="000000"/>
                <w:sz w:val="24"/>
                <w:szCs w:val="24"/>
              </w:rPr>
              <w:t>5.88</w:t>
            </w:r>
          </w:p>
        </w:tc>
      </w:tr>
      <w:tr w:rsidR="00AC4F21">
        <w:trPr>
          <w:jc w:val="center"/>
        </w:trPr>
        <w:tc>
          <w:tcPr>
            <w:tcW w:w="855" w:type="dxa"/>
            <w:vAlign w:val="center"/>
          </w:tcPr>
          <w:p w:rsidR="00AC4F21" w:rsidRDefault="00E77616">
            <w:pPr>
              <w:jc w:val="center"/>
            </w:pPr>
            <w:r>
              <w:rPr>
                <w:color w:val="000000"/>
                <w:sz w:val="24"/>
                <w:szCs w:val="24"/>
              </w:rPr>
              <w:lastRenderedPageBreak/>
              <w:t>5</w:t>
            </w:r>
          </w:p>
        </w:tc>
        <w:tc>
          <w:tcPr>
            <w:tcW w:w="1334" w:type="dxa"/>
            <w:vAlign w:val="center"/>
          </w:tcPr>
          <w:p w:rsidR="00AC4F21" w:rsidRDefault="00E77616">
            <w:pPr>
              <w:jc w:val="center"/>
            </w:pPr>
            <w:r>
              <w:rPr>
                <w:color w:val="000000"/>
                <w:sz w:val="24"/>
                <w:szCs w:val="24"/>
              </w:rPr>
              <w:t>002230</w:t>
            </w:r>
          </w:p>
        </w:tc>
        <w:tc>
          <w:tcPr>
            <w:tcW w:w="1777" w:type="dxa"/>
            <w:vAlign w:val="center"/>
          </w:tcPr>
          <w:p w:rsidR="00AC4F21" w:rsidRDefault="00E77616">
            <w:pPr>
              <w:jc w:val="center"/>
            </w:pPr>
            <w:r>
              <w:rPr>
                <w:color w:val="000000"/>
                <w:sz w:val="24"/>
                <w:szCs w:val="24"/>
              </w:rPr>
              <w:t>科大讯飞</w:t>
            </w:r>
          </w:p>
        </w:tc>
        <w:tc>
          <w:tcPr>
            <w:tcW w:w="1334" w:type="dxa"/>
            <w:vAlign w:val="center"/>
          </w:tcPr>
          <w:p w:rsidR="00AC4F21" w:rsidRDefault="00E77616">
            <w:pPr>
              <w:jc w:val="right"/>
            </w:pPr>
            <w:r>
              <w:rPr>
                <w:color w:val="000000"/>
                <w:sz w:val="24"/>
                <w:szCs w:val="24"/>
              </w:rPr>
              <w:t>5,395,790</w:t>
            </w:r>
          </w:p>
        </w:tc>
        <w:tc>
          <w:tcPr>
            <w:tcW w:w="1924" w:type="dxa"/>
            <w:vAlign w:val="center"/>
          </w:tcPr>
          <w:p w:rsidR="00AC4F21" w:rsidRDefault="00E77616">
            <w:pPr>
              <w:jc w:val="right"/>
            </w:pPr>
            <w:r>
              <w:rPr>
                <w:color w:val="000000"/>
                <w:sz w:val="24"/>
                <w:szCs w:val="24"/>
              </w:rPr>
              <w:t>182,538,313.40</w:t>
            </w:r>
          </w:p>
        </w:tc>
        <w:tc>
          <w:tcPr>
            <w:tcW w:w="1644" w:type="dxa"/>
            <w:vAlign w:val="center"/>
          </w:tcPr>
          <w:p w:rsidR="00AC4F21" w:rsidRDefault="00E77616">
            <w:pPr>
              <w:jc w:val="right"/>
            </w:pPr>
            <w:r>
              <w:rPr>
                <w:color w:val="000000"/>
                <w:sz w:val="24"/>
                <w:szCs w:val="24"/>
              </w:rPr>
              <w:t>5.78</w:t>
            </w:r>
          </w:p>
        </w:tc>
      </w:tr>
      <w:tr w:rsidR="00AC4F21">
        <w:trPr>
          <w:jc w:val="center"/>
        </w:trPr>
        <w:tc>
          <w:tcPr>
            <w:tcW w:w="855" w:type="dxa"/>
            <w:vAlign w:val="center"/>
          </w:tcPr>
          <w:p w:rsidR="00AC4F21" w:rsidRDefault="00E77616">
            <w:pPr>
              <w:jc w:val="center"/>
            </w:pPr>
            <w:r>
              <w:rPr>
                <w:color w:val="000000"/>
                <w:sz w:val="24"/>
                <w:szCs w:val="24"/>
              </w:rPr>
              <w:t>6</w:t>
            </w:r>
          </w:p>
        </w:tc>
        <w:tc>
          <w:tcPr>
            <w:tcW w:w="1334" w:type="dxa"/>
            <w:vAlign w:val="center"/>
          </w:tcPr>
          <w:p w:rsidR="00AC4F21" w:rsidRDefault="00E77616">
            <w:pPr>
              <w:jc w:val="center"/>
            </w:pPr>
            <w:r>
              <w:rPr>
                <w:color w:val="000000"/>
                <w:sz w:val="24"/>
                <w:szCs w:val="24"/>
              </w:rPr>
              <w:t>02202.HK</w:t>
            </w:r>
          </w:p>
        </w:tc>
        <w:tc>
          <w:tcPr>
            <w:tcW w:w="1777" w:type="dxa"/>
            <w:vAlign w:val="center"/>
          </w:tcPr>
          <w:p w:rsidR="00AC4F21" w:rsidRDefault="00E77616">
            <w:pPr>
              <w:jc w:val="center"/>
            </w:pPr>
            <w:r>
              <w:rPr>
                <w:color w:val="000000"/>
                <w:sz w:val="24"/>
                <w:szCs w:val="24"/>
              </w:rPr>
              <w:t>万科企业</w:t>
            </w:r>
          </w:p>
        </w:tc>
        <w:tc>
          <w:tcPr>
            <w:tcW w:w="1334" w:type="dxa"/>
            <w:vAlign w:val="center"/>
          </w:tcPr>
          <w:p w:rsidR="00AC4F21" w:rsidRDefault="00E77616">
            <w:pPr>
              <w:jc w:val="right"/>
            </w:pPr>
            <w:r>
              <w:rPr>
                <w:color w:val="000000"/>
                <w:sz w:val="24"/>
                <w:szCs w:val="24"/>
              </w:rPr>
              <w:t>7,184,200</w:t>
            </w:r>
          </w:p>
        </w:tc>
        <w:tc>
          <w:tcPr>
            <w:tcW w:w="1924" w:type="dxa"/>
            <w:vAlign w:val="center"/>
          </w:tcPr>
          <w:p w:rsidR="00AC4F21" w:rsidRDefault="00E77616">
            <w:pPr>
              <w:jc w:val="right"/>
            </w:pPr>
            <w:r>
              <w:rPr>
                <w:color w:val="000000"/>
                <w:sz w:val="24"/>
                <w:szCs w:val="24"/>
              </w:rPr>
              <w:t>167,715,400.45</w:t>
            </w:r>
          </w:p>
        </w:tc>
        <w:tc>
          <w:tcPr>
            <w:tcW w:w="1644" w:type="dxa"/>
            <w:vAlign w:val="center"/>
          </w:tcPr>
          <w:p w:rsidR="00AC4F21" w:rsidRDefault="00E77616">
            <w:pPr>
              <w:jc w:val="right"/>
            </w:pPr>
            <w:r>
              <w:rPr>
                <w:color w:val="000000"/>
                <w:sz w:val="24"/>
                <w:szCs w:val="24"/>
              </w:rPr>
              <w:t>5.31</w:t>
            </w:r>
          </w:p>
        </w:tc>
      </w:tr>
      <w:tr w:rsidR="00AC4F21">
        <w:trPr>
          <w:jc w:val="center"/>
        </w:trPr>
        <w:tc>
          <w:tcPr>
            <w:tcW w:w="855" w:type="dxa"/>
            <w:vAlign w:val="center"/>
          </w:tcPr>
          <w:p w:rsidR="00AC4F21" w:rsidRDefault="00E77616">
            <w:pPr>
              <w:jc w:val="center"/>
            </w:pPr>
            <w:r>
              <w:rPr>
                <w:color w:val="000000"/>
                <w:sz w:val="24"/>
                <w:szCs w:val="24"/>
              </w:rPr>
              <w:t>7</w:t>
            </w:r>
          </w:p>
        </w:tc>
        <w:tc>
          <w:tcPr>
            <w:tcW w:w="1334" w:type="dxa"/>
            <w:vAlign w:val="center"/>
          </w:tcPr>
          <w:p w:rsidR="00AC4F21" w:rsidRDefault="00E77616">
            <w:pPr>
              <w:jc w:val="center"/>
            </w:pPr>
            <w:r>
              <w:rPr>
                <w:color w:val="000000"/>
                <w:sz w:val="24"/>
                <w:szCs w:val="24"/>
              </w:rPr>
              <w:t>600048</w:t>
            </w:r>
          </w:p>
        </w:tc>
        <w:tc>
          <w:tcPr>
            <w:tcW w:w="1777" w:type="dxa"/>
            <w:vAlign w:val="center"/>
          </w:tcPr>
          <w:p w:rsidR="00AC4F21" w:rsidRDefault="00E77616">
            <w:pPr>
              <w:jc w:val="center"/>
            </w:pPr>
            <w:r>
              <w:rPr>
                <w:color w:val="000000"/>
                <w:sz w:val="24"/>
                <w:szCs w:val="24"/>
              </w:rPr>
              <w:t>保利地产</w:t>
            </w:r>
          </w:p>
        </w:tc>
        <w:tc>
          <w:tcPr>
            <w:tcW w:w="1334" w:type="dxa"/>
            <w:vAlign w:val="center"/>
          </w:tcPr>
          <w:p w:rsidR="00AC4F21" w:rsidRDefault="00E77616">
            <w:pPr>
              <w:jc w:val="right"/>
            </w:pPr>
            <w:r>
              <w:rPr>
                <w:color w:val="000000"/>
                <w:sz w:val="24"/>
                <w:szCs w:val="24"/>
              </w:rPr>
              <w:t>9,418,229</w:t>
            </w:r>
          </w:p>
        </w:tc>
        <w:tc>
          <w:tcPr>
            <w:tcW w:w="1924" w:type="dxa"/>
            <w:vAlign w:val="center"/>
          </w:tcPr>
          <w:p w:rsidR="00AC4F21" w:rsidRDefault="00E77616">
            <w:pPr>
              <w:jc w:val="right"/>
            </w:pPr>
            <w:r>
              <w:rPr>
                <w:color w:val="000000"/>
                <w:sz w:val="24"/>
                <w:szCs w:val="24"/>
              </w:rPr>
              <w:t>140,049,065.23</w:t>
            </w:r>
          </w:p>
        </w:tc>
        <w:tc>
          <w:tcPr>
            <w:tcW w:w="1644" w:type="dxa"/>
            <w:vAlign w:val="center"/>
          </w:tcPr>
          <w:p w:rsidR="00AC4F21" w:rsidRDefault="00E77616">
            <w:pPr>
              <w:jc w:val="right"/>
            </w:pPr>
            <w:r>
              <w:rPr>
                <w:color w:val="000000"/>
                <w:sz w:val="24"/>
                <w:szCs w:val="24"/>
              </w:rPr>
              <w:t>4.43</w:t>
            </w:r>
          </w:p>
        </w:tc>
      </w:tr>
      <w:tr w:rsidR="00AC4F21">
        <w:trPr>
          <w:jc w:val="center"/>
        </w:trPr>
        <w:tc>
          <w:tcPr>
            <w:tcW w:w="855" w:type="dxa"/>
            <w:vAlign w:val="center"/>
          </w:tcPr>
          <w:p w:rsidR="00AC4F21" w:rsidRDefault="00E77616">
            <w:pPr>
              <w:jc w:val="center"/>
            </w:pPr>
            <w:r>
              <w:rPr>
                <w:color w:val="000000"/>
                <w:sz w:val="24"/>
                <w:szCs w:val="24"/>
              </w:rPr>
              <w:t>8</w:t>
            </w:r>
          </w:p>
        </w:tc>
        <w:tc>
          <w:tcPr>
            <w:tcW w:w="1334" w:type="dxa"/>
            <w:vAlign w:val="center"/>
          </w:tcPr>
          <w:p w:rsidR="00AC4F21" w:rsidRDefault="00E77616">
            <w:pPr>
              <w:jc w:val="center"/>
            </w:pPr>
            <w:r>
              <w:rPr>
                <w:color w:val="000000"/>
                <w:sz w:val="24"/>
                <w:szCs w:val="24"/>
              </w:rPr>
              <w:t>600529</w:t>
            </w:r>
          </w:p>
        </w:tc>
        <w:tc>
          <w:tcPr>
            <w:tcW w:w="1777" w:type="dxa"/>
            <w:vAlign w:val="center"/>
          </w:tcPr>
          <w:p w:rsidR="00AC4F21" w:rsidRDefault="00E77616">
            <w:pPr>
              <w:jc w:val="center"/>
            </w:pPr>
            <w:r>
              <w:rPr>
                <w:color w:val="000000"/>
                <w:sz w:val="24"/>
                <w:szCs w:val="24"/>
              </w:rPr>
              <w:t>山东药玻</w:t>
            </w:r>
          </w:p>
        </w:tc>
        <w:tc>
          <w:tcPr>
            <w:tcW w:w="1334" w:type="dxa"/>
            <w:vAlign w:val="center"/>
          </w:tcPr>
          <w:p w:rsidR="00AC4F21" w:rsidRDefault="00E77616">
            <w:pPr>
              <w:jc w:val="right"/>
            </w:pPr>
            <w:r>
              <w:rPr>
                <w:color w:val="000000"/>
                <w:sz w:val="24"/>
                <w:szCs w:val="24"/>
              </w:rPr>
              <w:t>4,034,260</w:t>
            </w:r>
          </w:p>
        </w:tc>
        <w:tc>
          <w:tcPr>
            <w:tcW w:w="1924" w:type="dxa"/>
            <w:vAlign w:val="center"/>
          </w:tcPr>
          <w:p w:rsidR="00AC4F21" w:rsidRDefault="00E77616">
            <w:pPr>
              <w:jc w:val="right"/>
            </w:pPr>
            <w:r>
              <w:rPr>
                <w:color w:val="000000"/>
                <w:sz w:val="24"/>
                <w:szCs w:val="24"/>
              </w:rPr>
              <w:t>133,472,450.80</w:t>
            </w:r>
          </w:p>
        </w:tc>
        <w:tc>
          <w:tcPr>
            <w:tcW w:w="1644" w:type="dxa"/>
            <w:vAlign w:val="center"/>
          </w:tcPr>
          <w:p w:rsidR="00AC4F21" w:rsidRDefault="00E77616">
            <w:pPr>
              <w:jc w:val="right"/>
            </w:pPr>
            <w:r>
              <w:rPr>
                <w:color w:val="000000"/>
                <w:sz w:val="24"/>
                <w:szCs w:val="24"/>
              </w:rPr>
              <w:t>4.22</w:t>
            </w:r>
          </w:p>
        </w:tc>
      </w:tr>
      <w:tr w:rsidR="00AC4F21">
        <w:trPr>
          <w:jc w:val="center"/>
        </w:trPr>
        <w:tc>
          <w:tcPr>
            <w:tcW w:w="855" w:type="dxa"/>
            <w:vAlign w:val="center"/>
          </w:tcPr>
          <w:p w:rsidR="00AC4F21" w:rsidRDefault="00E77616">
            <w:pPr>
              <w:jc w:val="center"/>
            </w:pPr>
            <w:r>
              <w:rPr>
                <w:color w:val="000000"/>
                <w:sz w:val="24"/>
                <w:szCs w:val="24"/>
              </w:rPr>
              <w:t>9</w:t>
            </w:r>
          </w:p>
        </w:tc>
        <w:tc>
          <w:tcPr>
            <w:tcW w:w="1334" w:type="dxa"/>
            <w:vAlign w:val="center"/>
          </w:tcPr>
          <w:p w:rsidR="00AC4F21" w:rsidRDefault="00E77616">
            <w:pPr>
              <w:jc w:val="center"/>
            </w:pPr>
            <w:r>
              <w:rPr>
                <w:color w:val="000000"/>
                <w:sz w:val="24"/>
                <w:szCs w:val="24"/>
              </w:rPr>
              <w:t>01658.HK</w:t>
            </w:r>
          </w:p>
        </w:tc>
        <w:tc>
          <w:tcPr>
            <w:tcW w:w="1777" w:type="dxa"/>
            <w:vAlign w:val="center"/>
          </w:tcPr>
          <w:p w:rsidR="00AC4F21" w:rsidRDefault="00E77616">
            <w:pPr>
              <w:jc w:val="center"/>
            </w:pPr>
            <w:r>
              <w:rPr>
                <w:color w:val="000000"/>
                <w:sz w:val="24"/>
                <w:szCs w:val="24"/>
              </w:rPr>
              <w:t>邮储银行</w:t>
            </w:r>
          </w:p>
        </w:tc>
        <w:tc>
          <w:tcPr>
            <w:tcW w:w="1334" w:type="dxa"/>
            <w:vAlign w:val="center"/>
          </w:tcPr>
          <w:p w:rsidR="00AC4F21" w:rsidRDefault="00E77616">
            <w:pPr>
              <w:jc w:val="right"/>
            </w:pPr>
            <w:r>
              <w:rPr>
                <w:color w:val="000000"/>
                <w:sz w:val="24"/>
                <w:szCs w:val="24"/>
              </w:rPr>
              <w:t>28,451,000</w:t>
            </w:r>
          </w:p>
        </w:tc>
        <w:tc>
          <w:tcPr>
            <w:tcW w:w="1924" w:type="dxa"/>
            <w:vAlign w:val="center"/>
          </w:tcPr>
          <w:p w:rsidR="00AC4F21" w:rsidRDefault="00E77616">
            <w:pPr>
              <w:jc w:val="right"/>
            </w:pPr>
            <w:r>
              <w:rPr>
                <w:color w:val="000000"/>
                <w:sz w:val="24"/>
                <w:szCs w:val="24"/>
              </w:rPr>
              <w:t>122,699,603.46</w:t>
            </w:r>
          </w:p>
        </w:tc>
        <w:tc>
          <w:tcPr>
            <w:tcW w:w="1644" w:type="dxa"/>
            <w:vAlign w:val="center"/>
          </w:tcPr>
          <w:p w:rsidR="00AC4F21" w:rsidRDefault="00E77616">
            <w:pPr>
              <w:jc w:val="right"/>
            </w:pPr>
            <w:r>
              <w:rPr>
                <w:color w:val="000000"/>
                <w:sz w:val="24"/>
                <w:szCs w:val="24"/>
              </w:rPr>
              <w:t>3.88</w:t>
            </w:r>
          </w:p>
        </w:tc>
      </w:tr>
      <w:tr w:rsidR="00AC4F21">
        <w:trPr>
          <w:jc w:val="center"/>
        </w:trPr>
        <w:tc>
          <w:tcPr>
            <w:tcW w:w="855" w:type="dxa"/>
            <w:vAlign w:val="center"/>
          </w:tcPr>
          <w:p w:rsidR="00AC4F21" w:rsidRDefault="00E77616">
            <w:pPr>
              <w:jc w:val="center"/>
            </w:pPr>
            <w:r>
              <w:rPr>
                <w:color w:val="000000"/>
                <w:sz w:val="24"/>
                <w:szCs w:val="24"/>
              </w:rPr>
              <w:t>10</w:t>
            </w:r>
          </w:p>
        </w:tc>
        <w:tc>
          <w:tcPr>
            <w:tcW w:w="1334" w:type="dxa"/>
            <w:vAlign w:val="center"/>
          </w:tcPr>
          <w:p w:rsidR="00AC4F21" w:rsidRDefault="00E77616">
            <w:pPr>
              <w:jc w:val="center"/>
            </w:pPr>
            <w:r>
              <w:rPr>
                <w:color w:val="000000"/>
                <w:sz w:val="24"/>
                <w:szCs w:val="24"/>
              </w:rPr>
              <w:t>01398.HK</w:t>
            </w:r>
          </w:p>
        </w:tc>
        <w:tc>
          <w:tcPr>
            <w:tcW w:w="1777" w:type="dxa"/>
            <w:vAlign w:val="center"/>
          </w:tcPr>
          <w:p w:rsidR="00AC4F21" w:rsidRDefault="00E77616">
            <w:pPr>
              <w:jc w:val="center"/>
            </w:pPr>
            <w:r>
              <w:rPr>
                <w:color w:val="000000"/>
                <w:sz w:val="24"/>
                <w:szCs w:val="24"/>
              </w:rPr>
              <w:t>工商银行</w:t>
            </w:r>
          </w:p>
        </w:tc>
        <w:tc>
          <w:tcPr>
            <w:tcW w:w="1334" w:type="dxa"/>
            <w:vAlign w:val="center"/>
          </w:tcPr>
          <w:p w:rsidR="00AC4F21" w:rsidRDefault="00E77616">
            <w:pPr>
              <w:jc w:val="right"/>
            </w:pPr>
            <w:r>
              <w:rPr>
                <w:color w:val="000000"/>
                <w:sz w:val="24"/>
                <w:szCs w:val="24"/>
              </w:rPr>
              <w:t>23,548,000</w:t>
            </w:r>
          </w:p>
        </w:tc>
        <w:tc>
          <w:tcPr>
            <w:tcW w:w="1924" w:type="dxa"/>
            <w:vAlign w:val="center"/>
          </w:tcPr>
          <w:p w:rsidR="00AC4F21" w:rsidRDefault="00E77616">
            <w:pPr>
              <w:jc w:val="right"/>
            </w:pPr>
            <w:r>
              <w:rPr>
                <w:color w:val="000000"/>
                <w:sz w:val="24"/>
                <w:szCs w:val="24"/>
              </w:rPr>
              <w:t>114,248,938.36</w:t>
            </w:r>
          </w:p>
        </w:tc>
        <w:tc>
          <w:tcPr>
            <w:tcW w:w="1644" w:type="dxa"/>
            <w:vAlign w:val="center"/>
          </w:tcPr>
          <w:p w:rsidR="00AC4F21" w:rsidRDefault="00E77616">
            <w:pPr>
              <w:jc w:val="right"/>
            </w:pPr>
            <w:r>
              <w:rPr>
                <w:color w:val="000000"/>
                <w:sz w:val="24"/>
                <w:szCs w:val="24"/>
              </w:rPr>
              <w:t>3.62</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4,788,100.00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0.15</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4,788,100.00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0.15</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AC4F21">
        <w:trPr>
          <w:jc w:val="center"/>
        </w:trPr>
        <w:tc>
          <w:tcPr>
            <w:tcW w:w="850" w:type="dxa"/>
            <w:vAlign w:val="center"/>
          </w:tcPr>
          <w:p w:rsidR="00AC4F21" w:rsidRDefault="00E77616">
            <w:pPr>
              <w:jc w:val="center"/>
            </w:pPr>
            <w:r>
              <w:rPr>
                <w:color w:val="000000"/>
                <w:sz w:val="24"/>
                <w:szCs w:val="24"/>
              </w:rPr>
              <w:t>1</w:t>
            </w:r>
          </w:p>
        </w:tc>
        <w:tc>
          <w:tcPr>
            <w:tcW w:w="1475" w:type="dxa"/>
            <w:vAlign w:val="center"/>
          </w:tcPr>
          <w:p w:rsidR="00AC4F21" w:rsidRDefault="00E77616">
            <w:pPr>
              <w:jc w:val="center"/>
            </w:pPr>
            <w:r>
              <w:rPr>
                <w:color w:val="000000"/>
                <w:sz w:val="24"/>
                <w:szCs w:val="24"/>
              </w:rPr>
              <w:t>128102</w:t>
            </w:r>
          </w:p>
        </w:tc>
        <w:tc>
          <w:tcPr>
            <w:tcW w:w="1769" w:type="dxa"/>
            <w:vAlign w:val="center"/>
          </w:tcPr>
          <w:p w:rsidR="00AC4F21" w:rsidRDefault="00E77616">
            <w:pPr>
              <w:jc w:val="center"/>
            </w:pPr>
            <w:r>
              <w:rPr>
                <w:color w:val="000000"/>
                <w:sz w:val="24"/>
                <w:szCs w:val="24"/>
              </w:rPr>
              <w:t>海大转债</w:t>
            </w:r>
          </w:p>
        </w:tc>
        <w:tc>
          <w:tcPr>
            <w:tcW w:w="1387" w:type="dxa"/>
            <w:vAlign w:val="center"/>
          </w:tcPr>
          <w:p w:rsidR="00AC4F21" w:rsidRDefault="00E77616">
            <w:pPr>
              <w:jc w:val="right"/>
            </w:pPr>
            <w:r>
              <w:rPr>
                <w:color w:val="000000"/>
                <w:sz w:val="24"/>
                <w:szCs w:val="24"/>
              </w:rPr>
              <w:t>47,881</w:t>
            </w:r>
          </w:p>
        </w:tc>
        <w:tc>
          <w:tcPr>
            <w:tcW w:w="2150" w:type="dxa"/>
            <w:vAlign w:val="center"/>
          </w:tcPr>
          <w:p w:rsidR="00AC4F21" w:rsidRDefault="00E77616">
            <w:pPr>
              <w:jc w:val="right"/>
            </w:pPr>
            <w:r>
              <w:rPr>
                <w:color w:val="000000"/>
                <w:sz w:val="24"/>
                <w:szCs w:val="24"/>
              </w:rPr>
              <w:t>4,788,100.00</w:t>
            </w:r>
          </w:p>
        </w:tc>
        <w:tc>
          <w:tcPr>
            <w:tcW w:w="1237" w:type="dxa"/>
            <w:vAlign w:val="center"/>
          </w:tcPr>
          <w:p w:rsidR="00AC4F21" w:rsidRDefault="00E77616">
            <w:pPr>
              <w:jc w:val="right"/>
            </w:pPr>
            <w:r>
              <w:rPr>
                <w:color w:val="000000"/>
                <w:sz w:val="24"/>
                <w:szCs w:val="24"/>
              </w:rPr>
              <w:t>0.15</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lastRenderedPageBreak/>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584,082.95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29,923,671.95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87,734.35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30,595,489.25</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066A97" w:rsidRPr="00414345" w:rsidRDefault="00066A97" w:rsidP="00066A97">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3E62FB" w:rsidRPr="00414345" w:rsidTr="00BC216C">
        <w:trPr>
          <w:jc w:val="center"/>
        </w:trPr>
        <w:tc>
          <w:tcPr>
            <w:tcW w:w="1083"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lastRenderedPageBreak/>
              <w:t>序号</w:t>
            </w:r>
          </w:p>
        </w:tc>
        <w:tc>
          <w:tcPr>
            <w:tcW w:w="1302"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股票代码</w:t>
            </w:r>
          </w:p>
        </w:tc>
        <w:tc>
          <w:tcPr>
            <w:tcW w:w="13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股票名称</w:t>
            </w:r>
          </w:p>
        </w:tc>
        <w:tc>
          <w:tcPr>
            <w:tcW w:w="1805" w:type="dxa"/>
            <w:vAlign w:val="center"/>
          </w:tcPr>
          <w:p w:rsidR="003E62FB" w:rsidRPr="005F1F22" w:rsidRDefault="003E62FB" w:rsidP="00C15CAC">
            <w:pPr>
              <w:spacing w:before="29" w:line="288" w:lineRule="auto"/>
              <w:ind w:left="17"/>
              <w:jc w:val="center"/>
              <w:rPr>
                <w:color w:val="000000"/>
                <w:sz w:val="24"/>
                <w:szCs w:val="24"/>
              </w:rPr>
            </w:pPr>
            <w:r w:rsidRPr="00414345">
              <w:rPr>
                <w:color w:val="000000"/>
                <w:sz w:val="24"/>
                <w:szCs w:val="24"/>
              </w:rPr>
              <w:t>流通受限部分的公允价值</w:t>
            </w:r>
          </w:p>
        </w:tc>
        <w:tc>
          <w:tcPr>
            <w:tcW w:w="1655"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5F1F22">
              <w:rPr>
                <w:color w:val="000000"/>
                <w:sz w:val="24"/>
                <w:szCs w:val="24"/>
              </w:rPr>
              <w:t>(%)</w:t>
            </w:r>
          </w:p>
        </w:tc>
        <w:tc>
          <w:tcPr>
            <w:tcW w:w="136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流通受限情况说明</w:t>
            </w:r>
          </w:p>
        </w:tc>
      </w:tr>
      <w:tr w:rsidR="00AC4F21">
        <w:trPr>
          <w:jc w:val="center"/>
        </w:trPr>
        <w:tc>
          <w:tcPr>
            <w:tcW w:w="1129" w:type="dxa"/>
            <w:vAlign w:val="center"/>
          </w:tcPr>
          <w:p w:rsidR="00AC4F21" w:rsidRDefault="00E77616">
            <w:pPr>
              <w:jc w:val="center"/>
            </w:pPr>
            <w:r>
              <w:rPr>
                <w:color w:val="000000"/>
                <w:sz w:val="24"/>
                <w:szCs w:val="24"/>
              </w:rPr>
              <w:t>1</w:t>
            </w:r>
          </w:p>
        </w:tc>
        <w:tc>
          <w:tcPr>
            <w:tcW w:w="1356" w:type="dxa"/>
            <w:vAlign w:val="center"/>
          </w:tcPr>
          <w:p w:rsidR="00AC4F21" w:rsidRDefault="00E77616">
            <w:pPr>
              <w:jc w:val="center"/>
            </w:pPr>
            <w:r>
              <w:rPr>
                <w:color w:val="000000"/>
                <w:sz w:val="24"/>
                <w:szCs w:val="24"/>
              </w:rPr>
              <w:t>002230</w:t>
            </w:r>
          </w:p>
        </w:tc>
        <w:tc>
          <w:tcPr>
            <w:tcW w:w="1355" w:type="dxa"/>
            <w:vAlign w:val="center"/>
          </w:tcPr>
          <w:p w:rsidR="00AC4F21" w:rsidRDefault="00E77616">
            <w:pPr>
              <w:jc w:val="center"/>
            </w:pPr>
            <w:r>
              <w:rPr>
                <w:color w:val="000000"/>
                <w:sz w:val="24"/>
                <w:szCs w:val="24"/>
              </w:rPr>
              <w:t>科大讯飞</w:t>
            </w:r>
          </w:p>
        </w:tc>
        <w:tc>
          <w:tcPr>
            <w:tcW w:w="1880" w:type="dxa"/>
            <w:vAlign w:val="center"/>
          </w:tcPr>
          <w:p w:rsidR="00AC4F21" w:rsidRDefault="00E77616">
            <w:pPr>
              <w:jc w:val="right"/>
            </w:pPr>
            <w:r>
              <w:rPr>
                <w:color w:val="000000"/>
                <w:sz w:val="24"/>
                <w:szCs w:val="24"/>
              </w:rPr>
              <w:t>48,530,610.00</w:t>
            </w:r>
          </w:p>
        </w:tc>
        <w:tc>
          <w:tcPr>
            <w:tcW w:w="1724" w:type="dxa"/>
            <w:vAlign w:val="center"/>
          </w:tcPr>
          <w:p w:rsidR="00AC4F21" w:rsidRDefault="00E77616">
            <w:pPr>
              <w:jc w:val="right"/>
            </w:pPr>
            <w:r>
              <w:rPr>
                <w:color w:val="000000"/>
                <w:sz w:val="24"/>
                <w:szCs w:val="24"/>
              </w:rPr>
              <w:t>1.54</w:t>
            </w:r>
          </w:p>
        </w:tc>
        <w:tc>
          <w:tcPr>
            <w:tcW w:w="1424" w:type="dxa"/>
            <w:vAlign w:val="center"/>
          </w:tcPr>
          <w:p w:rsidR="00AC4F21" w:rsidRDefault="00E77616">
            <w:pPr>
              <w:jc w:val="right"/>
            </w:pPr>
            <w:r>
              <w:rPr>
                <w:color w:val="000000"/>
                <w:sz w:val="24"/>
                <w:szCs w:val="24"/>
              </w:rPr>
              <w:t>限售股</w:t>
            </w:r>
          </w:p>
        </w:tc>
      </w:tr>
      <w:tr w:rsidR="00AC4F21">
        <w:trPr>
          <w:jc w:val="center"/>
        </w:trPr>
        <w:tc>
          <w:tcPr>
            <w:tcW w:w="1129" w:type="dxa"/>
            <w:vAlign w:val="center"/>
          </w:tcPr>
          <w:p w:rsidR="00AC4F21" w:rsidRDefault="00E77616">
            <w:pPr>
              <w:jc w:val="center"/>
            </w:pPr>
            <w:r>
              <w:rPr>
                <w:color w:val="000000"/>
                <w:sz w:val="24"/>
                <w:szCs w:val="24"/>
              </w:rPr>
              <w:t>2</w:t>
            </w:r>
          </w:p>
        </w:tc>
        <w:tc>
          <w:tcPr>
            <w:tcW w:w="1356" w:type="dxa"/>
            <w:vAlign w:val="center"/>
          </w:tcPr>
          <w:p w:rsidR="00AC4F21" w:rsidRDefault="00E77616">
            <w:pPr>
              <w:jc w:val="center"/>
            </w:pPr>
            <w:r>
              <w:rPr>
                <w:color w:val="000000"/>
                <w:sz w:val="24"/>
                <w:szCs w:val="24"/>
              </w:rPr>
              <w:t>600529</w:t>
            </w:r>
          </w:p>
        </w:tc>
        <w:tc>
          <w:tcPr>
            <w:tcW w:w="1355" w:type="dxa"/>
            <w:vAlign w:val="center"/>
          </w:tcPr>
          <w:p w:rsidR="00AC4F21" w:rsidRDefault="00E77616">
            <w:pPr>
              <w:jc w:val="center"/>
            </w:pPr>
            <w:r>
              <w:rPr>
                <w:color w:val="000000"/>
                <w:sz w:val="24"/>
                <w:szCs w:val="24"/>
              </w:rPr>
              <w:t>山东药玻</w:t>
            </w:r>
          </w:p>
        </w:tc>
        <w:tc>
          <w:tcPr>
            <w:tcW w:w="1880" w:type="dxa"/>
            <w:vAlign w:val="center"/>
          </w:tcPr>
          <w:p w:rsidR="00AC4F21" w:rsidRDefault="00E77616">
            <w:pPr>
              <w:jc w:val="right"/>
            </w:pPr>
            <w:r>
              <w:rPr>
                <w:color w:val="000000"/>
                <w:sz w:val="24"/>
                <w:szCs w:val="24"/>
              </w:rPr>
              <w:t>28,224,000.00</w:t>
            </w:r>
          </w:p>
        </w:tc>
        <w:tc>
          <w:tcPr>
            <w:tcW w:w="1724" w:type="dxa"/>
            <w:vAlign w:val="center"/>
          </w:tcPr>
          <w:p w:rsidR="00AC4F21" w:rsidRDefault="00E77616">
            <w:pPr>
              <w:jc w:val="right"/>
            </w:pPr>
            <w:r>
              <w:rPr>
                <w:color w:val="000000"/>
                <w:sz w:val="24"/>
                <w:szCs w:val="24"/>
              </w:rPr>
              <w:t>0.89</w:t>
            </w:r>
          </w:p>
        </w:tc>
        <w:tc>
          <w:tcPr>
            <w:tcW w:w="1424" w:type="dxa"/>
            <w:vAlign w:val="center"/>
          </w:tcPr>
          <w:p w:rsidR="00AC4F21" w:rsidRDefault="00E77616">
            <w:pPr>
              <w:jc w:val="right"/>
            </w:pPr>
            <w:r>
              <w:rPr>
                <w:color w:val="000000"/>
                <w:sz w:val="24"/>
                <w:szCs w:val="24"/>
              </w:rPr>
              <w:t>限售股</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2,964,855,301.50</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18.58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2,964,855,282.92</w:t>
            </w:r>
          </w:p>
        </w:tc>
      </w:tr>
    </w:tbl>
    <w:p w:rsidR="004061AC" w:rsidRPr="00414345" w:rsidRDefault="00E77616" w:rsidP="00D64173">
      <w:pPr>
        <w:autoSpaceDE w:val="0"/>
        <w:autoSpaceDN w:val="0"/>
        <w:adjustRightInd w:val="0"/>
        <w:spacing w:before="29" w:line="288" w:lineRule="auto"/>
        <w:jc w:val="left"/>
        <w:rPr>
          <w:color w:val="000000"/>
          <w:sz w:val="24"/>
          <w:szCs w:val="24"/>
        </w:rPr>
      </w:pPr>
      <w:r>
        <w:rPr>
          <w:color w:val="000000"/>
          <w:sz w:val="24"/>
          <w:szCs w:val="24"/>
        </w:rPr>
        <w:t>注：</w:t>
      </w:r>
      <w:r w:rsidR="00D64173" w:rsidRPr="00D64173">
        <w:rPr>
          <w:rFonts w:hint="eastAsia"/>
          <w:color w:val="000000"/>
          <w:sz w:val="24"/>
          <w:szCs w:val="24"/>
        </w:rPr>
        <w:t>本基金合同生效后，前三年封闭运作，在封闭期内，本基金不办理申购、赎回业务，但投资人可在本基金上市交易后通过上海证券交易所转让基金份额，也可以办理将已持有基金份额的转托管业务。本报告期内基金总赎回份额含跨系统转托管导致强制赎回的份额。</w:t>
      </w:r>
      <w:bookmarkStart w:id="0" w:name="_GoBack"/>
      <w:bookmarkEnd w:id="0"/>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lastRenderedPageBreak/>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8.1 影响投资者决策的其他重要信息</w:t>
      </w:r>
    </w:p>
    <w:p w:rsidR="003C50AD" w:rsidRPr="004F4D27" w:rsidRDefault="003C50AD" w:rsidP="003C50AD">
      <w:pPr>
        <w:spacing w:line="360" w:lineRule="auto"/>
        <w:ind w:firstLineChars="200" w:firstLine="420"/>
        <w:rPr>
          <w:rFonts w:ascii="宋体" w:hAnsi="宋体"/>
          <w:color w:val="000000"/>
        </w:rPr>
      </w:pPr>
      <w:r w:rsidRPr="004F4D27">
        <w:rPr>
          <w:rFonts w:ascii="宋体" w:hAnsi="宋体"/>
          <w:color w:val="000000"/>
        </w:rPr>
        <w:t>根据有关法律法规规定和基金合同的约定，本基金已于2020年3月9日在上海证券交易所上市。有关详情请查阅本基金管理人于2020年3月4日发布的《交银施罗德瑞丰三年封闭运作混合型证券投资基金上市交易公告书》。</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AC4F21" w:rsidRDefault="00E77616">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、中国证监会准予交银施罗德瑞丰三年封闭运作混合型证券投资基金募集注册的文件；</w:t>
      </w:r>
      <w:r>
        <w:rPr>
          <w:color w:val="000000"/>
          <w:sz w:val="24"/>
          <w:szCs w:val="24"/>
        </w:rPr>
        <w:t xml:space="preserve"> </w:t>
      </w:r>
    </w:p>
    <w:p w:rsidR="00AC4F21" w:rsidRDefault="00E77616">
      <w:pPr>
        <w:spacing w:before="29" w:line="288" w:lineRule="auto"/>
        <w:ind w:firstLineChars="200" w:firstLine="480"/>
        <w:rPr>
          <w:color w:val="000000"/>
          <w:sz w:val="24"/>
          <w:szCs w:val="24"/>
        </w:rPr>
      </w:pPr>
      <w:r>
        <w:rPr>
          <w:color w:val="000000"/>
          <w:sz w:val="24"/>
          <w:szCs w:val="24"/>
        </w:rPr>
        <w:t>2</w:t>
      </w:r>
      <w:r>
        <w:rPr>
          <w:color w:val="000000"/>
          <w:sz w:val="24"/>
          <w:szCs w:val="24"/>
        </w:rPr>
        <w:t>、《交银施罗德瑞丰三年封闭运作混合型证券投资基金基金合同》；</w:t>
      </w:r>
      <w:r>
        <w:rPr>
          <w:color w:val="000000"/>
          <w:sz w:val="24"/>
          <w:szCs w:val="24"/>
        </w:rPr>
        <w:t xml:space="preserve"> </w:t>
      </w:r>
    </w:p>
    <w:p w:rsidR="00AC4F21" w:rsidRDefault="00E77616">
      <w:pPr>
        <w:spacing w:before="29" w:line="288" w:lineRule="auto"/>
        <w:ind w:firstLineChars="200" w:firstLine="480"/>
        <w:rPr>
          <w:color w:val="000000"/>
          <w:sz w:val="24"/>
          <w:szCs w:val="24"/>
        </w:rPr>
      </w:pPr>
      <w:r>
        <w:rPr>
          <w:color w:val="000000"/>
          <w:sz w:val="24"/>
          <w:szCs w:val="24"/>
        </w:rPr>
        <w:t>3</w:t>
      </w:r>
      <w:r>
        <w:rPr>
          <w:color w:val="000000"/>
          <w:sz w:val="24"/>
          <w:szCs w:val="24"/>
        </w:rPr>
        <w:t>、《交银施罗德瑞丰三年封闭运作混合型证券投资基金招募说明书》；</w:t>
      </w:r>
      <w:r>
        <w:rPr>
          <w:color w:val="000000"/>
          <w:sz w:val="24"/>
          <w:szCs w:val="24"/>
        </w:rPr>
        <w:t xml:space="preserve"> </w:t>
      </w:r>
    </w:p>
    <w:p w:rsidR="00AC4F21" w:rsidRDefault="00E77616">
      <w:pPr>
        <w:spacing w:before="29" w:line="288" w:lineRule="auto"/>
        <w:ind w:firstLineChars="200" w:firstLine="480"/>
        <w:rPr>
          <w:color w:val="000000"/>
          <w:sz w:val="24"/>
          <w:szCs w:val="24"/>
        </w:rPr>
      </w:pPr>
      <w:r>
        <w:rPr>
          <w:color w:val="000000"/>
          <w:sz w:val="24"/>
          <w:szCs w:val="24"/>
        </w:rPr>
        <w:t>4</w:t>
      </w:r>
      <w:r>
        <w:rPr>
          <w:color w:val="000000"/>
          <w:sz w:val="24"/>
          <w:szCs w:val="24"/>
        </w:rPr>
        <w:t>、《交银施罗德瑞丰三年封闭运作混合型证券投资基金托管协议》；</w:t>
      </w:r>
      <w:r>
        <w:rPr>
          <w:color w:val="000000"/>
          <w:sz w:val="24"/>
          <w:szCs w:val="24"/>
        </w:rPr>
        <w:t xml:space="preserve"> </w:t>
      </w:r>
    </w:p>
    <w:p w:rsidR="00AC4F21" w:rsidRDefault="00E77616">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、关于申请募集注册交银施罗德瑞丰三年封闭运作混合型证券投资基金的法律意见书；</w:t>
      </w:r>
      <w:r>
        <w:rPr>
          <w:color w:val="000000"/>
          <w:sz w:val="24"/>
          <w:szCs w:val="24"/>
        </w:rPr>
        <w:t xml:space="preserve"> </w:t>
      </w:r>
    </w:p>
    <w:p w:rsidR="00AC4F21" w:rsidRDefault="00E77616">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AC4F21" w:rsidRDefault="00E77616">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、报告期内交银施罗德瑞丰三年封闭运作混合型证券投资基金在指定报刊上各项公告的原稿。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AC4F21" w:rsidRDefault="00E77616">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w:t>
      </w:r>
      <w:r>
        <w:rPr>
          <w:color w:val="000000"/>
          <w:sz w:val="24"/>
          <w:szCs w:val="24"/>
        </w:rPr>
        <w:t>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616" w:rsidRDefault="00E77616" w:rsidP="00876D65">
      <w:r>
        <w:separator/>
      </w:r>
    </w:p>
  </w:endnote>
  <w:endnote w:type="continuationSeparator" w:id="0">
    <w:p w:rsidR="00E77616" w:rsidRDefault="00E77616"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D64173">
      <w:rPr>
        <w:noProof/>
        <w:kern w:val="0"/>
        <w:szCs w:val="21"/>
      </w:rPr>
      <w:t>11</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D64173">
      <w:rPr>
        <w:noProof/>
        <w:kern w:val="0"/>
        <w:szCs w:val="21"/>
      </w:rPr>
      <w:t>12</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616" w:rsidRDefault="00E77616" w:rsidP="00876D65">
      <w:r>
        <w:separator/>
      </w:r>
    </w:p>
  </w:footnote>
  <w:footnote w:type="continuationSeparator" w:id="0">
    <w:p w:rsidR="00E77616" w:rsidRDefault="00E77616"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交银施罗德瑞丰三年封闭运作混合型证券投资基金</w:t>
    </w:r>
    <w:r w:rsidRPr="003E676C">
      <w:rPr>
        <w:sz w:val="24"/>
        <w:szCs w:val="24"/>
      </w:rPr>
      <w:t>2020</w:t>
    </w:r>
    <w:r w:rsidRPr="003E676C">
      <w:rPr>
        <w:sz w:val="24"/>
        <w:szCs w:val="24"/>
      </w:rPr>
      <w:t>年第</w:t>
    </w:r>
    <w:r w:rsidRPr="003E676C">
      <w:rPr>
        <w:sz w:val="24"/>
        <w:szCs w:val="24"/>
      </w:rPr>
      <w:t>1</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4F21"/>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4173"/>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77616"/>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8B96B-8852-45CE-86E8-149A8B24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TotalTime>
  <Pages>12</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601</cp:revision>
  <dcterms:created xsi:type="dcterms:W3CDTF">2012-10-16T06:07:00Z</dcterms:created>
  <dcterms:modified xsi:type="dcterms:W3CDTF">2020-04-16T09:23:00Z</dcterms:modified>
</cp:coreProperties>
</file>