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交银施罗德科技创新灵活配置混合型证券投资基金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中国工商银行股份有限公司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基金托管人中国工商银行股份有限公司根据本基金合同规定，于2020年4月21日复核了本报告中的财务指标、净值表现和投资组合报告等内容，保证复核内容不存在虚假记载、误导性陈述或者重大遗漏。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交银科技创新灵活配置混合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519767</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519767</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2016年5月5日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175,279,737.41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本基金重点关注以科技为创新驱动力、在产业竞争中掌握核心竞争优势的优质上市公司，在控制风险并保持基金资产良好的流动性的前提下，力争实现基金资产的长期稳定增值。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 其中，本基金股票投资重点关注直接受益于科技创新红利、或在新科技、新技术推动下盈利水平长期显著提升的其他上市公司。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60%×沪深300指数+40%×中证综合债券指数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(2020年1月1日-2020年3月31日)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23,188,831.12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-6,752,779.33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-0.0399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231,605,925.86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1.321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-0.97%</w:t>
            </w:r>
          </w:p>
        </w:tc>
        <w:tc>
          <w:tcPr>
            <w:vAlign w:val="center"/>
          </w:tcPr>
          <w:p>
            <w:pPr>
              <w:jc w:val="center"/>
            </w:pPr>
            <w:r>
              <w:rPr>
                <w:color w:val="000000"/>
                <w:sz w:val="24"/>
                <w:szCs w:val="24"/>
              </w:rPr>
              <w:t>2.32%</w:t>
            </w:r>
          </w:p>
        </w:tc>
        <w:tc>
          <w:tcPr>
            <w:vAlign w:val="center"/>
          </w:tcPr>
          <w:p>
            <w:pPr>
              <w:jc w:val="center"/>
            </w:pPr>
            <w:r>
              <w:rPr>
                <w:color w:val="000000"/>
                <w:sz w:val="24"/>
                <w:szCs w:val="24"/>
              </w:rPr>
              <w:t>-4.90%</w:t>
            </w:r>
          </w:p>
        </w:tc>
        <w:tc>
          <w:tcPr>
            <w:vAlign w:val="center"/>
          </w:tcPr>
          <w:p>
            <w:pPr>
              <w:jc w:val="center"/>
            </w:pPr>
            <w:r>
              <w:rPr>
                <w:color w:val="000000"/>
                <w:sz w:val="24"/>
                <w:szCs w:val="24"/>
              </w:rPr>
              <w:t>1.15%</w:t>
            </w:r>
          </w:p>
        </w:tc>
        <w:tc>
          <w:tcPr>
            <w:vAlign w:val="center"/>
          </w:tcPr>
          <w:p>
            <w:pPr>
              <w:jc w:val="center"/>
            </w:pPr>
            <w:r>
              <w:rPr>
                <w:color w:val="000000"/>
                <w:sz w:val="24"/>
                <w:szCs w:val="24"/>
              </w:rPr>
              <w:t>3.93%</w:t>
            </w:r>
          </w:p>
        </w:tc>
        <w:tc>
          <w:tcPr>
            <w:vAlign w:val="center"/>
          </w:tcPr>
          <w:p>
            <w:pPr>
              <w:jc w:val="center"/>
            </w:pPr>
            <w:r>
              <w:rPr>
                <w:color w:val="000000"/>
                <w:sz w:val="24"/>
                <w:szCs w:val="24"/>
              </w:rPr>
              <w:t>1.17%</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交银施罗德科技创新灵活配置混合型证券投资基金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2016年5月5日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芮晨</w:t>
            </w:r>
          </w:p>
        </w:tc>
        <w:tc>
          <w:tcPr>
            <w:vAlign w:val="center"/>
          </w:tcPr>
          <w:p>
            <w:pPr>
              <w:jc w:val="center"/>
            </w:pPr>
            <w:r>
              <w:rPr>
                <w:color w:val="000000"/>
                <w:sz w:val="24"/>
                <w:szCs w:val="24"/>
              </w:rPr>
              <w:t>交银先锋混合、交银科技创新灵活配置混合的基金经理</w:t>
            </w:r>
          </w:p>
        </w:tc>
        <w:tc>
          <w:tcPr>
            <w:vAlign w:val="center"/>
          </w:tcPr>
          <w:p>
            <w:pPr>
              <w:jc w:val="center"/>
            </w:pPr>
            <w:r>
              <w:rPr>
                <w:color w:val="000000"/>
                <w:sz w:val="24"/>
                <w:szCs w:val="24"/>
              </w:rPr>
              <w:t>2016-05-05</w:t>
            </w:r>
          </w:p>
        </w:tc>
        <w:tc>
          <w:tcPr>
            <w:vAlign w:val="center"/>
          </w:tcPr>
          <w:p>
            <w:pPr>
              <w:jc w:val="center"/>
            </w:pPr>
            <w:r>
              <w:rPr>
                <w:color w:val="000000"/>
                <w:sz w:val="24"/>
                <w:szCs w:val="24"/>
              </w:rPr>
              <w:t>-</w:t>
            </w:r>
          </w:p>
        </w:tc>
        <w:tc>
          <w:tcPr>
            <w:vAlign w:val="center"/>
          </w:tcPr>
          <w:p>
            <w:pPr>
              <w:jc w:val="center"/>
            </w:pPr>
            <w:r>
              <w:rPr>
                <w:color w:val="000000"/>
                <w:sz w:val="24"/>
                <w:szCs w:val="24"/>
              </w:rPr>
              <w:t>13年</w:t>
            </w:r>
          </w:p>
        </w:tc>
        <w:tc>
          <w:tcPr>
            <w:vAlign w:val="center"/>
          </w:tcPr>
          <w:p>
            <w:pPr>
              <w:jc w:val="both"/>
            </w:pPr>
            <w:r>
              <w:rPr>
                <w:color w:val="000000"/>
                <w:sz w:val="24"/>
                <w:szCs w:val="24"/>
              </w:rPr>
              <w:t>芮晨先生，内蒙古科技大学工学士。历任深圳尚诚资产管理有限公司研究员、研究副总监，国联安基金管理有限公司行业研究员、投资经理，浙商证券资产管理有限公司投资主办。2015年加入交银施罗德基金管理有限公司。2016年8月16日至2019年5月29日担任交银施罗德数据产业灵活配置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一季度遭遇新冠疫情的影响，全世界资本市场大幅波动，波动幅度从100年的时间跨度来看，也是罕见的。由于中国采取了迅速而强有力管控措施，新冠疫情在较短的时间内得到有效控制并下降到很低的水平。反映到A股上，调整幅度在全世界看都是相当缓和的。本基金一季度超越业绩比较基准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二季度，新冠疫情对全球经济无论从需求还是供给都产生了很大冲击，但现在还很难做出量化的分析，还需要持续跟踪。我们希望二季度新冠病患的发病数量能够看到拐点，这样对全球经济的冲击就是短期的，可较快恢复的。</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211,417,838.83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89.64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211,417,838.83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89.64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23,842,286.48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10.11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595,172.81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0.25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235,855,298.12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84,853,189.00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36.64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94,355,585.83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40.74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4,402,515.00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10,544,317.00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9,155,112.00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8,107,120.00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211,417,838.83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91.28</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300572</w:t>
            </w:r>
          </w:p>
        </w:tc>
        <w:tc>
          <w:tcPr>
            <w:vAlign w:val="center"/>
          </w:tcPr>
          <w:p>
            <w:pPr>
              <w:jc w:val="center"/>
            </w:pPr>
            <w:r>
              <w:rPr>
                <w:color w:val="000000"/>
                <w:sz w:val="24"/>
                <w:szCs w:val="24"/>
              </w:rPr>
              <w:t>安车检测</w:t>
            </w:r>
          </w:p>
        </w:tc>
        <w:tc>
          <w:tcPr>
            <w:vAlign w:val="center"/>
          </w:tcPr>
          <w:p>
            <w:pPr>
              <w:jc w:val="right"/>
            </w:pPr>
            <w:r>
              <w:rPr>
                <w:color w:val="000000"/>
                <w:sz w:val="24"/>
                <w:szCs w:val="24"/>
              </w:rPr>
              <w:t>488,090</w:t>
            </w:r>
          </w:p>
        </w:tc>
        <w:tc>
          <w:tcPr>
            <w:vAlign w:val="center"/>
          </w:tcPr>
          <w:p>
            <w:pPr>
              <w:jc w:val="right"/>
            </w:pPr>
            <w:r>
              <w:rPr>
                <w:color w:val="000000"/>
                <w:sz w:val="24"/>
                <w:szCs w:val="24"/>
              </w:rPr>
              <w:t>18,976,939.20</w:t>
            </w:r>
          </w:p>
        </w:tc>
        <w:tc>
          <w:tcPr>
            <w:vAlign w:val="center"/>
          </w:tcPr>
          <w:p>
            <w:pPr>
              <w:jc w:val="right"/>
            </w:pPr>
            <w:r>
              <w:rPr>
                <w:color w:val="000000"/>
                <w:sz w:val="24"/>
                <w:szCs w:val="24"/>
              </w:rPr>
              <w:t>8.19</w:t>
            </w:r>
          </w:p>
        </w:tc>
      </w:tr>
      <w:tr>
        <w:tc>
          <w:tcPr>
            <w:vAlign w:val="center"/>
          </w:tcPr>
          <w:p>
            <w:pPr>
              <w:jc w:val="center"/>
            </w:pPr>
            <w:r>
              <w:rPr>
                <w:color w:val="000000"/>
                <w:sz w:val="24"/>
                <w:szCs w:val="24"/>
              </w:rPr>
              <w:t>2</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1,504,984</w:t>
            </w:r>
          </w:p>
        </w:tc>
        <w:tc>
          <w:tcPr>
            <w:vAlign w:val="center"/>
          </w:tcPr>
          <w:p>
            <w:pPr>
              <w:jc w:val="right"/>
            </w:pPr>
            <w:r>
              <w:rPr>
                <w:color w:val="000000"/>
                <w:sz w:val="24"/>
                <w:szCs w:val="24"/>
              </w:rPr>
              <w:t>18,812,300.00</w:t>
            </w:r>
          </w:p>
        </w:tc>
        <w:tc>
          <w:tcPr>
            <w:vAlign w:val="center"/>
          </w:tcPr>
          <w:p>
            <w:pPr>
              <w:jc w:val="right"/>
            </w:pPr>
            <w:r>
              <w:rPr>
                <w:color w:val="000000"/>
                <w:sz w:val="24"/>
                <w:szCs w:val="24"/>
              </w:rPr>
              <w:t>8.12</w:t>
            </w:r>
          </w:p>
        </w:tc>
      </w:tr>
      <w:tr>
        <w:tc>
          <w:tcPr>
            <w:vAlign w:val="center"/>
          </w:tcPr>
          <w:p>
            <w:pPr>
              <w:jc w:val="center"/>
            </w:pPr>
            <w:r>
              <w:rPr>
                <w:color w:val="000000"/>
                <w:sz w:val="24"/>
                <w:szCs w:val="24"/>
              </w:rPr>
              <w:t>3</w:t>
            </w:r>
          </w:p>
        </w:tc>
        <w:tc>
          <w:tcPr>
            <w:vAlign w:val="center"/>
          </w:tcPr>
          <w:p>
            <w:pPr>
              <w:jc w:val="center"/>
            </w:pPr>
            <w:r>
              <w:rPr>
                <w:color w:val="000000"/>
                <w:sz w:val="24"/>
                <w:szCs w:val="24"/>
              </w:rPr>
              <w:t>300395</w:t>
            </w:r>
          </w:p>
        </w:tc>
        <w:tc>
          <w:tcPr>
            <w:vAlign w:val="center"/>
          </w:tcPr>
          <w:p>
            <w:pPr>
              <w:jc w:val="center"/>
            </w:pPr>
            <w:r>
              <w:rPr>
                <w:color w:val="000000"/>
                <w:sz w:val="24"/>
                <w:szCs w:val="24"/>
              </w:rPr>
              <w:t>菲利华</w:t>
            </w:r>
          </w:p>
        </w:tc>
        <w:tc>
          <w:tcPr>
            <w:vAlign w:val="center"/>
          </w:tcPr>
          <w:p>
            <w:pPr>
              <w:jc w:val="right"/>
            </w:pPr>
            <w:r>
              <w:rPr>
                <w:color w:val="000000"/>
                <w:sz w:val="24"/>
                <w:szCs w:val="24"/>
              </w:rPr>
              <w:t>829,266</w:t>
            </w:r>
          </w:p>
        </w:tc>
        <w:tc>
          <w:tcPr>
            <w:vAlign w:val="center"/>
          </w:tcPr>
          <w:p>
            <w:pPr>
              <w:jc w:val="right"/>
            </w:pPr>
            <w:r>
              <w:rPr>
                <w:color w:val="000000"/>
                <w:sz w:val="24"/>
                <w:szCs w:val="24"/>
              </w:rPr>
              <w:t>17,240,440.14</w:t>
            </w:r>
          </w:p>
        </w:tc>
        <w:tc>
          <w:tcPr>
            <w:vAlign w:val="center"/>
          </w:tcPr>
          <w:p>
            <w:pPr>
              <w:jc w:val="right"/>
            </w:pPr>
            <w:r>
              <w:rPr>
                <w:color w:val="000000"/>
                <w:sz w:val="24"/>
                <w:szCs w:val="24"/>
              </w:rPr>
              <w:t>7.44</w:t>
            </w:r>
          </w:p>
        </w:tc>
      </w:tr>
      <w:tr>
        <w:tc>
          <w:tcPr>
            <w:vAlign w:val="center"/>
          </w:tcPr>
          <w:p>
            <w:pPr>
              <w:jc w:val="center"/>
            </w:pPr>
            <w:r>
              <w:rPr>
                <w:color w:val="000000"/>
                <w:sz w:val="24"/>
                <w:szCs w:val="24"/>
              </w:rPr>
              <w:t>4</w:t>
            </w:r>
          </w:p>
        </w:tc>
        <w:tc>
          <w:tcPr>
            <w:vAlign w:val="center"/>
          </w:tcPr>
          <w:p>
            <w:pPr>
              <w:jc w:val="center"/>
            </w:pPr>
            <w:r>
              <w:rPr>
                <w:color w:val="000000"/>
                <w:sz w:val="24"/>
                <w:szCs w:val="24"/>
              </w:rPr>
              <w:t>603195</w:t>
            </w:r>
          </w:p>
        </w:tc>
        <w:tc>
          <w:tcPr>
            <w:vAlign w:val="center"/>
          </w:tcPr>
          <w:p>
            <w:pPr>
              <w:jc w:val="center"/>
            </w:pPr>
            <w:r>
              <w:rPr>
                <w:color w:val="000000"/>
                <w:sz w:val="24"/>
                <w:szCs w:val="24"/>
              </w:rPr>
              <w:t>公牛集团</w:t>
            </w:r>
          </w:p>
        </w:tc>
        <w:tc>
          <w:tcPr>
            <w:vAlign w:val="center"/>
          </w:tcPr>
          <w:p>
            <w:pPr>
              <w:jc w:val="right"/>
            </w:pPr>
            <w:r>
              <w:rPr>
                <w:color w:val="000000"/>
                <w:sz w:val="24"/>
                <w:szCs w:val="24"/>
              </w:rPr>
              <w:t>96,767</w:t>
            </w:r>
          </w:p>
        </w:tc>
        <w:tc>
          <w:tcPr>
            <w:vAlign w:val="center"/>
          </w:tcPr>
          <w:p>
            <w:pPr>
              <w:jc w:val="right"/>
            </w:pPr>
            <w:r>
              <w:rPr>
                <w:color w:val="000000"/>
                <w:sz w:val="24"/>
                <w:szCs w:val="24"/>
              </w:rPr>
              <w:t>14,995,981.99</w:t>
            </w:r>
          </w:p>
        </w:tc>
        <w:tc>
          <w:tcPr>
            <w:vAlign w:val="center"/>
          </w:tcPr>
          <w:p>
            <w:pPr>
              <w:jc w:val="right"/>
            </w:pPr>
            <w:r>
              <w:rPr>
                <w:color w:val="000000"/>
                <w:sz w:val="24"/>
                <w:szCs w:val="24"/>
              </w:rPr>
              <w:t>6.47</w:t>
            </w:r>
          </w:p>
        </w:tc>
      </w:tr>
      <w:tr>
        <w:tc>
          <w:tcPr>
            <w:vAlign w:val="center"/>
          </w:tcPr>
          <w:p>
            <w:pPr>
              <w:jc w:val="center"/>
            </w:pPr>
            <w:r>
              <w:rPr>
                <w:color w:val="000000"/>
                <w:sz w:val="24"/>
                <w:szCs w:val="24"/>
              </w:rPr>
              <w:t>5</w:t>
            </w:r>
          </w:p>
        </w:tc>
        <w:tc>
          <w:tcPr>
            <w:vAlign w:val="center"/>
          </w:tcPr>
          <w:p>
            <w:pPr>
              <w:jc w:val="center"/>
            </w:pPr>
            <w:r>
              <w:rPr>
                <w:color w:val="000000"/>
                <w:sz w:val="24"/>
                <w:szCs w:val="24"/>
              </w:rPr>
              <w:t>300601</w:t>
            </w:r>
          </w:p>
        </w:tc>
        <w:tc>
          <w:tcPr>
            <w:vAlign w:val="center"/>
          </w:tcPr>
          <w:p>
            <w:pPr>
              <w:jc w:val="center"/>
            </w:pPr>
            <w:r>
              <w:rPr>
                <w:color w:val="000000"/>
                <w:sz w:val="24"/>
                <w:szCs w:val="24"/>
              </w:rPr>
              <w:t>康泰生物</w:t>
            </w:r>
          </w:p>
        </w:tc>
        <w:tc>
          <w:tcPr>
            <w:vAlign w:val="center"/>
          </w:tcPr>
          <w:p>
            <w:pPr>
              <w:jc w:val="right"/>
            </w:pPr>
            <w:r>
              <w:rPr>
                <w:color w:val="000000"/>
                <w:sz w:val="24"/>
                <w:szCs w:val="24"/>
              </w:rPr>
              <w:t>114,600</w:t>
            </w:r>
          </w:p>
        </w:tc>
        <w:tc>
          <w:tcPr>
            <w:vAlign w:val="center"/>
          </w:tcPr>
          <w:p>
            <w:pPr>
              <w:jc w:val="right"/>
            </w:pPr>
            <w:r>
              <w:rPr>
                <w:color w:val="000000"/>
                <w:sz w:val="24"/>
                <w:szCs w:val="24"/>
              </w:rPr>
              <w:t>13,133,160.00</w:t>
            </w:r>
          </w:p>
        </w:tc>
        <w:tc>
          <w:tcPr>
            <w:vAlign w:val="center"/>
          </w:tcPr>
          <w:p>
            <w:pPr>
              <w:jc w:val="right"/>
            </w:pPr>
            <w:r>
              <w:rPr>
                <w:color w:val="000000"/>
                <w:sz w:val="24"/>
                <w:szCs w:val="24"/>
              </w:rPr>
              <w:t>5.67</w:t>
            </w:r>
          </w:p>
        </w:tc>
      </w:tr>
      <w:tr>
        <w:tc>
          <w:tcPr>
            <w:vAlign w:val="center"/>
          </w:tcPr>
          <w:p>
            <w:pPr>
              <w:jc w:val="center"/>
            </w:pPr>
            <w:r>
              <w:rPr>
                <w:color w:val="000000"/>
                <w:sz w:val="24"/>
                <w:szCs w:val="24"/>
              </w:rPr>
              <w:t>6</w:t>
            </w:r>
          </w:p>
        </w:tc>
        <w:tc>
          <w:tcPr>
            <w:vAlign w:val="center"/>
          </w:tcPr>
          <w:p>
            <w:pPr>
              <w:jc w:val="center"/>
            </w:pPr>
            <w:r>
              <w:rPr>
                <w:color w:val="000000"/>
                <w:sz w:val="24"/>
                <w:szCs w:val="24"/>
              </w:rPr>
              <w:t>300624</w:t>
            </w:r>
          </w:p>
        </w:tc>
        <w:tc>
          <w:tcPr>
            <w:vAlign w:val="center"/>
          </w:tcPr>
          <w:p>
            <w:pPr>
              <w:jc w:val="center"/>
            </w:pPr>
            <w:r>
              <w:rPr>
                <w:color w:val="000000"/>
                <w:sz w:val="24"/>
                <w:szCs w:val="24"/>
              </w:rPr>
              <w:t>万兴科技</w:t>
            </w:r>
          </w:p>
        </w:tc>
        <w:tc>
          <w:tcPr>
            <w:vAlign w:val="center"/>
          </w:tcPr>
          <w:p>
            <w:pPr>
              <w:jc w:val="right"/>
            </w:pPr>
            <w:r>
              <w:rPr>
                <w:color w:val="000000"/>
                <w:sz w:val="24"/>
                <w:szCs w:val="24"/>
              </w:rPr>
              <w:t>146,000</w:t>
            </w:r>
          </w:p>
        </w:tc>
        <w:tc>
          <w:tcPr>
            <w:vAlign w:val="center"/>
          </w:tcPr>
          <w:p>
            <w:pPr>
              <w:jc w:val="right"/>
            </w:pPr>
            <w:r>
              <w:rPr>
                <w:color w:val="000000"/>
                <w:sz w:val="24"/>
                <w:szCs w:val="24"/>
              </w:rPr>
              <w:t>11,234,700.00</w:t>
            </w:r>
          </w:p>
        </w:tc>
        <w:tc>
          <w:tcPr>
            <w:vAlign w:val="center"/>
          </w:tcPr>
          <w:p>
            <w:pPr>
              <w:jc w:val="right"/>
            </w:pPr>
            <w:r>
              <w:rPr>
                <w:color w:val="000000"/>
                <w:sz w:val="24"/>
                <w:szCs w:val="24"/>
              </w:rPr>
              <w:t>4.85</w:t>
            </w:r>
          </w:p>
        </w:tc>
      </w:tr>
      <w:tr>
        <w:tc>
          <w:tcPr>
            <w:vAlign w:val="center"/>
          </w:tcPr>
          <w:p>
            <w:pPr>
              <w:jc w:val="center"/>
            </w:pPr>
            <w:r>
              <w:rPr>
                <w:color w:val="000000"/>
                <w:sz w:val="24"/>
                <w:szCs w:val="24"/>
              </w:rPr>
              <w:t>7</w:t>
            </w:r>
          </w:p>
        </w:tc>
        <w:tc>
          <w:tcPr>
            <w:vAlign w:val="center"/>
          </w:tcPr>
          <w:p>
            <w:pPr>
              <w:jc w:val="center"/>
            </w:pPr>
            <w:r>
              <w:rPr>
                <w:color w:val="000000"/>
                <w:sz w:val="24"/>
                <w:szCs w:val="24"/>
              </w:rPr>
              <w:t>002439</w:t>
            </w:r>
          </w:p>
        </w:tc>
        <w:tc>
          <w:tcPr>
            <w:vAlign w:val="center"/>
          </w:tcPr>
          <w:p>
            <w:pPr>
              <w:jc w:val="center"/>
            </w:pPr>
            <w:r>
              <w:rPr>
                <w:color w:val="000000"/>
                <w:sz w:val="24"/>
                <w:szCs w:val="24"/>
              </w:rPr>
              <w:t>启明星辰</w:t>
            </w:r>
          </w:p>
        </w:tc>
        <w:tc>
          <w:tcPr>
            <w:vAlign w:val="center"/>
          </w:tcPr>
          <w:p>
            <w:pPr>
              <w:jc w:val="right"/>
            </w:pPr>
            <w:r>
              <w:rPr>
                <w:color w:val="000000"/>
                <w:sz w:val="24"/>
                <w:szCs w:val="24"/>
              </w:rPr>
              <w:t>298,100</w:t>
            </w:r>
          </w:p>
        </w:tc>
        <w:tc>
          <w:tcPr>
            <w:vAlign w:val="center"/>
          </w:tcPr>
          <w:p>
            <w:pPr>
              <w:jc w:val="right"/>
            </w:pPr>
            <w:r>
              <w:rPr>
                <w:color w:val="000000"/>
                <w:sz w:val="24"/>
                <w:szCs w:val="24"/>
              </w:rPr>
              <w:t>11,029,700.00</w:t>
            </w:r>
          </w:p>
        </w:tc>
        <w:tc>
          <w:tcPr>
            <w:vAlign w:val="center"/>
          </w:tcPr>
          <w:p>
            <w:pPr>
              <w:jc w:val="right"/>
            </w:pPr>
            <w:r>
              <w:rPr>
                <w:color w:val="000000"/>
                <w:sz w:val="24"/>
                <w:szCs w:val="24"/>
              </w:rPr>
              <w:t>4.76</w:t>
            </w:r>
          </w:p>
        </w:tc>
      </w:tr>
      <w:tr>
        <w:tc>
          <w:tcPr>
            <w:vAlign w:val="center"/>
          </w:tcPr>
          <w:p>
            <w:pPr>
              <w:jc w:val="center"/>
            </w:pPr>
            <w:r>
              <w:rPr>
                <w:color w:val="000000"/>
                <w:sz w:val="24"/>
                <w:szCs w:val="24"/>
              </w:rPr>
              <w:t>8</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709,100</w:t>
            </w:r>
          </w:p>
        </w:tc>
        <w:tc>
          <w:tcPr>
            <w:vAlign w:val="center"/>
          </w:tcPr>
          <w:p>
            <w:pPr>
              <w:jc w:val="right"/>
            </w:pPr>
            <w:r>
              <w:rPr>
                <w:color w:val="000000"/>
                <w:sz w:val="24"/>
                <w:szCs w:val="24"/>
              </w:rPr>
              <w:t>10,544,317.00</w:t>
            </w:r>
          </w:p>
        </w:tc>
        <w:tc>
          <w:tcPr>
            <w:vAlign w:val="center"/>
          </w:tcPr>
          <w:p>
            <w:pPr>
              <w:jc w:val="right"/>
            </w:pPr>
            <w:r>
              <w:rPr>
                <w:color w:val="000000"/>
                <w:sz w:val="24"/>
                <w:szCs w:val="24"/>
              </w:rPr>
              <w:t>4.55</w:t>
            </w:r>
          </w:p>
        </w:tc>
      </w:tr>
      <w:tr>
        <w:tc>
          <w:tcPr>
            <w:vAlign w:val="center"/>
          </w:tcPr>
          <w:p>
            <w:pPr>
              <w:jc w:val="center"/>
            </w:pPr>
            <w:r>
              <w:rPr>
                <w:color w:val="000000"/>
                <w:sz w:val="24"/>
                <w:szCs w:val="24"/>
              </w:rPr>
              <w:t>9</w:t>
            </w:r>
          </w:p>
        </w:tc>
        <w:tc>
          <w:tcPr>
            <w:vAlign w:val="center"/>
          </w:tcPr>
          <w:p>
            <w:pPr>
              <w:jc w:val="center"/>
            </w:pPr>
            <w:r>
              <w:rPr>
                <w:color w:val="000000"/>
                <w:sz w:val="24"/>
                <w:szCs w:val="24"/>
              </w:rPr>
              <w:t>002044</w:t>
            </w:r>
          </w:p>
        </w:tc>
        <w:tc>
          <w:tcPr>
            <w:vAlign w:val="center"/>
          </w:tcPr>
          <w:p>
            <w:pPr>
              <w:jc w:val="center"/>
            </w:pPr>
            <w:r>
              <w:rPr>
                <w:color w:val="000000"/>
                <w:sz w:val="24"/>
                <w:szCs w:val="24"/>
              </w:rPr>
              <w:t>美年健康</w:t>
            </w:r>
          </w:p>
        </w:tc>
        <w:tc>
          <w:tcPr>
            <w:vAlign w:val="center"/>
          </w:tcPr>
          <w:p>
            <w:pPr>
              <w:jc w:val="right"/>
            </w:pPr>
            <w:r>
              <w:rPr>
                <w:color w:val="000000"/>
                <w:sz w:val="24"/>
                <w:szCs w:val="24"/>
              </w:rPr>
              <w:t>775,200</w:t>
            </w:r>
          </w:p>
        </w:tc>
        <w:tc>
          <w:tcPr>
            <w:vAlign w:val="center"/>
          </w:tcPr>
          <w:p>
            <w:pPr>
              <w:jc w:val="right"/>
            </w:pPr>
            <w:r>
              <w:rPr>
                <w:color w:val="000000"/>
                <w:sz w:val="24"/>
                <w:szCs w:val="24"/>
              </w:rPr>
              <w:t>9,155,112.00</w:t>
            </w:r>
          </w:p>
        </w:tc>
        <w:tc>
          <w:tcPr>
            <w:vAlign w:val="center"/>
          </w:tcPr>
          <w:p>
            <w:pPr>
              <w:jc w:val="right"/>
            </w:pPr>
            <w:r>
              <w:rPr>
                <w:color w:val="000000"/>
                <w:sz w:val="24"/>
                <w:szCs w:val="24"/>
              </w:rPr>
              <w:t>3.95</w:t>
            </w:r>
          </w:p>
        </w:tc>
      </w:tr>
      <w:tr>
        <w:tc>
          <w:tcPr>
            <w:vAlign w:val="center"/>
          </w:tcPr>
          <w:p>
            <w:pPr>
              <w:jc w:val="center"/>
            </w:pPr>
            <w:r>
              <w:rPr>
                <w:color w:val="000000"/>
                <w:sz w:val="24"/>
                <w:szCs w:val="24"/>
              </w:rPr>
              <w:t>10</w:t>
            </w:r>
          </w:p>
        </w:tc>
        <w:tc>
          <w:tcPr>
            <w:vAlign w:val="center"/>
          </w:tcPr>
          <w:p>
            <w:pPr>
              <w:jc w:val="center"/>
            </w:pPr>
            <w:r>
              <w:rPr>
                <w:color w:val="000000"/>
                <w:sz w:val="24"/>
                <w:szCs w:val="24"/>
              </w:rPr>
              <w:t>300253</w:t>
            </w:r>
          </w:p>
        </w:tc>
        <w:tc>
          <w:tcPr>
            <w:vAlign w:val="center"/>
          </w:tcPr>
          <w:p>
            <w:pPr>
              <w:jc w:val="center"/>
            </w:pPr>
            <w:r>
              <w:rPr>
                <w:color w:val="000000"/>
                <w:sz w:val="24"/>
                <w:szCs w:val="24"/>
              </w:rPr>
              <w:t>卫宁健康</w:t>
            </w:r>
          </w:p>
        </w:tc>
        <w:tc>
          <w:tcPr>
            <w:vAlign w:val="center"/>
          </w:tcPr>
          <w:p>
            <w:pPr>
              <w:jc w:val="right"/>
            </w:pPr>
            <w:r>
              <w:rPr>
                <w:color w:val="000000"/>
                <w:sz w:val="24"/>
                <w:szCs w:val="24"/>
              </w:rPr>
              <w:t>427,704</w:t>
            </w:r>
          </w:p>
        </w:tc>
        <w:tc>
          <w:tcPr>
            <w:vAlign w:val="center"/>
          </w:tcPr>
          <w:p>
            <w:pPr>
              <w:jc w:val="right"/>
            </w:pPr>
            <w:r>
              <w:rPr>
                <w:color w:val="000000"/>
                <w:sz w:val="24"/>
                <w:szCs w:val="24"/>
              </w:rPr>
              <w:t>8,968,952.88</w:t>
            </w:r>
          </w:p>
        </w:tc>
        <w:tc>
          <w:tcPr>
            <w:vAlign w:val="center"/>
          </w:tcPr>
          <w:p>
            <w:pPr>
              <w:jc w:val="right"/>
            </w:pPr>
            <w:r>
              <w:rPr>
                <w:color w:val="000000"/>
                <w:sz w:val="24"/>
                <w:szCs w:val="24"/>
              </w:rPr>
              <w:t>3.87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125,533.52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4,676.35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464,962.94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595,172.81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181,564,565.22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66,674,089.37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72,958,917.18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175,279,737.41</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2020/1/1-2020/3/31</w:t>
            </w:r>
          </w:p>
        </w:tc>
        <w:tc>
          <w:tcPr>
            <w:vAlign w:val="center"/>
          </w:tcPr>
          <w:p>
            <w:pPr>
              <w:jc w:val="center"/>
            </w:pPr>
            <w:r>
              <w:rPr>
                <w:rFonts w:ascii="宋体" w:hAnsi="宋体"/>
                <w:color w:val="000000"/>
                <w:kern w:val="0"/>
              </w:rPr>
              <w:t>16,419,540.23</w:t>
            </w:r>
          </w:p>
        </w:tc>
        <w:tc>
          <w:tcPr>
            <w:vAlign w:val="center"/>
          </w:tcPr>
          <w:p>
            <w:pPr>
              <w:jc w:val="center"/>
            </w:pPr>
            <w:r>
              <w:rPr>
                <w:rFonts w:ascii="宋体" w:hAnsi="宋体"/>
                <w:color w:val="000000"/>
                <w:kern w:val="0"/>
              </w:rPr>
              <w:t>19,156,449.55</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35,575,989.78</w:t>
            </w:r>
          </w:p>
        </w:tc>
        <w:tc>
          <w:tcPr>
            <w:vAlign w:val="center"/>
          </w:tcPr>
          <w:p>
            <w:pPr>
              <w:jc w:val="center"/>
            </w:pPr>
            <w:r>
              <w:rPr>
                <w:rFonts w:ascii="宋体" w:hAnsi="宋体"/>
                <w:color w:val="000000"/>
                <w:kern w:val="0"/>
              </w:rPr>
              <w:t>20.30%</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1、中国证监会准予交银施罗德科技创新灵活配置混合型证券投资基金募集注册的文件；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2、《交银施罗德科技创新灵活配置混合型证券投资基金基金合同》；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3、《交银施罗德科技创新灵活配置混合型证券投资基金招募说明书》；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4、《交银施罗德科技创新灵活配置混合型证券投资基金托管协议》；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5、关于申请募集注册交银施罗德科技创新灵活配置混合型证券投资基金的法律意见书；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8、报告期内交银施罗德科技创新灵活配置混合型证券投资基金在指定报刊上各项公告的原稿。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交银施罗德科技创新灵活配置混合型证券投资基金2020年第1季度报告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