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交银施罗德环球精选价值证券投资基金</w:t>
      </w:r>
    </w:p>
    <w:p w:rsidP="005546C0" w:rsidR="00F22F00" w:rsidRDefault="00F22F00" w:rsidRPr="006A23FB">
      <w:pPr>
        <w:spacing w:before="29" w:line="288" w:lineRule="auto"/>
        <w:jc w:val="center"/>
        <w:rPr>
          <w:b/>
          <w:sz w:val="36"/>
          <w:szCs w:val="36"/>
        </w:rPr>
      </w:pPr>
      <w:r w:rsidRPr="006A23FB">
        <w:rPr>
          <w:b/>
          <w:sz w:val="36"/>
          <w:szCs w:val="36"/>
        </w:rPr>
        <w:t>2020年第1季度报告</w:t>
      </w:r>
    </w:p>
    <w:p w:rsidP="005546C0" w:rsidR="00397616" w:rsidRDefault="00623556" w:rsidRPr="006A23FB">
      <w:pPr>
        <w:spacing w:before="29" w:line="288" w:lineRule="auto"/>
        <w:jc w:val="center"/>
        <w:rPr>
          <w:b/>
          <w:sz w:val="36"/>
          <w:szCs w:val="36"/>
        </w:rPr>
      </w:pPr>
      <w:r w:rsidRPr="006A23FB">
        <w:rPr>
          <w:b/>
          <w:sz w:val="36"/>
          <w:szCs w:val="36"/>
        </w:rPr>
        <w:t>2020年3月31日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二〇二〇年四月二十二日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312" w:afterLines="100" w:before="312"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本报告期自2020年1月1日起至3月31日止。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交银环球精选混合(QDII)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2008年8月22日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60,037,914.86</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70%×标准普尔全球大中盘指数(S&amp;P Global LargeMidCap Index)+30%×恒生指数</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(2020年1月1日-2020年3月31日)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2,168,794.44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-16,420,169.81</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-0.2707</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108,484,531.90</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1.807</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-12.98%</w:t>
            </w:r>
          </w:p>
        </w:tc>
        <w:tc>
          <w:tcPr>
            <w:vAlign w:val="center"/>
          </w:tcPr>
          <w:p>
            <w:pPr>
              <w:jc w:val="right"/>
            </w:pPr>
            <w:r>
              <w:rPr>
                <w:color w:val="000000"/>
                <w:sz w:val="24"/>
              </w:rPr>
              <w:t>2.30%</w:t>
            </w:r>
          </w:p>
        </w:tc>
        <w:tc>
          <w:tcPr>
            <w:vAlign w:val="center"/>
          </w:tcPr>
          <w:p>
            <w:pPr>
              <w:jc w:val="right"/>
            </w:pPr>
            <w:r>
              <w:rPr>
                <w:color w:val="000000"/>
                <w:sz w:val="24"/>
              </w:rPr>
              <w:t>-19.62%</w:t>
            </w:r>
          </w:p>
        </w:tc>
        <w:tc>
          <w:tcPr>
            <w:vAlign w:val="center"/>
          </w:tcPr>
          <w:p>
            <w:pPr>
              <w:jc w:val="right"/>
            </w:pPr>
            <w:r>
              <w:rPr>
                <w:color w:val="000000"/>
                <w:sz w:val="24"/>
              </w:rPr>
              <w:t>2.45%</w:t>
            </w:r>
          </w:p>
        </w:tc>
        <w:tc>
          <w:tcPr>
            <w:vAlign w:val="center"/>
          </w:tcPr>
          <w:p>
            <w:pPr>
              <w:jc w:val="right"/>
            </w:pPr>
            <w:r>
              <w:rPr>
                <w:color w:val="000000"/>
                <w:sz w:val="24"/>
              </w:rPr>
              <w:t>6.64%</w:t>
            </w:r>
          </w:p>
        </w:tc>
        <w:tc>
          <w:tcPr>
            <w:vAlign w:val="center"/>
          </w:tcPr>
          <w:p>
            <w:pPr>
              <w:jc w:val="right"/>
            </w:pPr>
            <w:r>
              <w:rPr>
                <w:color w:val="000000"/>
                <w:sz w:val="24"/>
              </w:rPr>
              <w:t>-0.15%</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交银施罗德环球精选价值证券投资基金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2008年8月22日</w:t>
      </w:r>
      <w:r w:rsidRPr="008640AE">
        <w:rPr>
          <w:color w:val="000000"/>
          <w:kern w:val="0"/>
          <w:sz w:val="24"/>
        </w:rPr>
        <w:t>至</w:t>
      </w:r>
      <w:r w:rsidRPr="008640AE">
        <w:rPr>
          <w:color w:val="000000"/>
          <w:kern w:val="0"/>
          <w:sz w:val="24"/>
        </w:rPr>
        <w:t>2020年3月31日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交银环球精选混合(QDII)、交银沪港深价值精选混合、交银核心资产混合的基金经理，公司跨境投资副总监</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2015年11月21日至2019年9月19日担任交银施罗德全球自然资源证券投资基金的基金经理。</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2015年12月12日至2019年9月19日担任交银施罗德全球自然资源证券投资基金的基金经理。</w:t>
            </w:r>
          </w:p>
        </w:tc>
      </w:tr>
      <w:tr>
        <w:tc>
          <w:tcPr>
            <w:vAlign w:val="center"/>
          </w:tcPr>
          <w:p>
            <w:pPr>
              <w:jc w:val="center"/>
            </w:pPr>
            <w:r>
              <w:rPr>
                <w:color w:val="000000"/>
                <w:sz w:val="24"/>
              </w:rPr>
              <w:t>陈舒薇</w:t>
            </w:r>
          </w:p>
        </w:tc>
        <w:tc>
          <w:tcPr>
            <w:vAlign w:val="center"/>
          </w:tcPr>
          <w:p>
            <w:pPr>
              <w:jc w:val="center"/>
            </w:pPr>
            <w:r>
              <w:rPr>
                <w:color w:val="000000"/>
                <w:sz w:val="24"/>
              </w:rPr>
              <w:t>交银环球精选混合(QDII)的基金经理</w:t>
            </w:r>
          </w:p>
        </w:tc>
        <w:tc>
          <w:tcPr>
            <w:vAlign w:val="center"/>
          </w:tcPr>
          <w:p>
            <w:pPr>
              <w:jc w:val="center"/>
            </w:pPr>
            <w:r>
              <w:rPr>
                <w:color w:val="000000"/>
                <w:sz w:val="24"/>
              </w:rPr>
              <w:t>2020-01-08</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left"/>
            </w:pPr>
            <w:r>
              <w:rPr>
                <w:color w:val="000000"/>
                <w:sz w:val="24"/>
              </w:rPr>
              <w:t>陈舒薇女士，宾夕法尼亚大学MBA、上海交通大学金融硕士、上海交通大学学士。历任东方证券分析师、中金公司分析师、光大证券分析师、香港瑞士信贷分析师。2019年加入交银施罗德基金管理有限公司，曾任跨境投资部基金经理助理。</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firstColumn="1" w:firstRow="1" w:lastColumn="0" w:lastRow="0" w:noHBand="0" w:noVBand="1"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21年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2020年一季度，受累于新冠疫情的全球蔓延以及油价暴跌的连续负面消息影响，全球流动性紧张，风险偏好快速回落，海外权益市场自二月下旬以来出现了巨幅下跌，随着各国政府不断出台宽松货币政策及刺激政策，自三月下旬权益市场开始止跌反弹。一季度，纳斯达克指数跌幅14.18%，标普500指数下跌20.00%；香港恒生指数也同步调整16.27%。</w:t>
      </w:r>
    </w:p>
    <w:p>
      <w:pPr>
        <w:spacing w:before="29" w:line="288" w:lineRule="auto"/>
        <w:ind w:firstLine="480" w:firstLineChars="200"/>
        <w:rPr>
          <w:color w:val="000000"/>
          <w:sz w:val="24"/>
        </w:rPr>
      </w:pPr>
      <w:r>
        <w:rPr>
          <w:color w:val="000000"/>
          <w:sz w:val="24"/>
        </w:rPr>
        <w:t>回顾2020年一季度，我们调整仓位结构以应对下跌市场。对于欧美股市，我们增加医药、必选消费等防御板块的持仓，减少能源等周期性个股的持仓；港股方面，我们增加医药、互联网板块配置，减少可选消费、非银行金融和硬件类持仓。整体来看，我们为投资者获得超越基准指数的回报。</w:t>
      </w:r>
    </w:p>
    <w:p w:rsidP="005546C0" w:rsidR="00B0116D" w:rsidRDefault="00B0116D" w:rsidRPr="008640AE">
      <w:pPr>
        <w:spacing w:before="29" w:line="288" w:lineRule="auto"/>
        <w:ind w:firstLine="480" w:firstLineChars="200"/>
        <w:rPr>
          <w:color w:val="000000"/>
          <w:sz w:val="24"/>
        </w:rPr>
      </w:pPr>
      <w:r w:rsidRPr="008640AE">
        <w:rPr>
          <w:color w:val="000000"/>
          <w:sz w:val="24"/>
        </w:rPr>
        <w:t>展望2020年二季度，我们持谨慎乐观的态度。美股方面，在近期紧急出台了一系列稳市场政策：1）降息至0利率及7000亿美元QE；2）实质性的开放式QE；3）美国史上最大紧急经济刺激法案。这些政策使投资者恐慌情绪得到极大缓解，然而从盈利端来看，二季度至三季度的预期下修才刚刚开始，下修幅度要视疫情的控制情况，下修的边界还需等待一到两周才能确认，预计短期反弹高度或有限，但市场底部或已基本形成。港股方面，随着一、二月各项经济数据的出台以及三月的高频数据显示，再叠加对出口和全球经济失速的担忧，原来“报复性消费”的市场预期正逐步向下修正，国内相关刺激政策相信也会陆续出台，我们认为，全球及国内的宽松政策和中国早于其他国家的复工形势将利好内地公司的业绩表现，港股有望获得超越美股市场的表现。对于海外市场，我们仍将重点关注科技、消费品龙头。对于香港市场，医药和互联网领域是我们接下来重点关注的方向：1）互联网板块来看，在未来中概股持续回归的趋势下，将是南下资金配置的重要方向；2）更多的创新药、医药服务类公司选择在港股首发上市，为投资人带来更早介入的机会。我们将继续在上述领域寻找投资标的，继续勤勉尽责地积极调研，努力为投资人赚取回报。</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本基金（各类）份额净值及业绩表现请见“3.1主要财务指标” 及“3.2.1 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P="007977A8" w:rsidR="007977A8" w:rsidRDefault="007977A8" w:rsidRPr="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
      </w:r>
      <w:r w:rsidRPr="007977A8">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p>
        </w:tc>
        <w:tc>
          <w:tcPr>
            <w:tcW w:type="dxa" w:w="1559"/>
            <w:shd w:color="auto" w:fill="auto" w:val="clear"/>
            <w:vAlign w:val="center"/>
          </w:tcPr>
          <w:p w:rsidP="00890782" w:rsidR="00363E15" w:rsidRDefault="00363E15" w:rsidRPr="008640AE">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91,536,539.46</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83.07</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90,595,348.82</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82.22</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941,190.64</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0.85</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r w:rsidR="0008226F" w:rsidRPr="008640AE">
              <w:rPr>
                <w:color w:val="000000"/>
                <w:sz w:val="24"/>
              </w:rPr>
              <w:t>凭证</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17,317,934.90</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15.72</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1,332,344.65</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1.21</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110,186,819.01</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P="009F647F" w:rsidR="009F647F" w:rsidRDefault="009F647F" w:rsidRPr="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
      </w:r>
      <w:r w:rsidRPr="009F647F">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美国</w:t>
            </w:r>
          </w:p>
        </w:tc>
        <w:tc>
          <w:tcPr>
            <w:vAlign w:val="center"/>
          </w:tcPr>
          <w:p>
            <w:pPr>
              <w:jc w:val="right"/>
            </w:pPr>
            <w:r>
              <w:rPr>
                <w:color w:val="000000"/>
                <w:sz w:val="24"/>
              </w:rPr>
              <w:t>45,484,419.82</w:t>
            </w:r>
          </w:p>
        </w:tc>
        <w:tc>
          <w:tcPr>
            <w:vAlign w:val="center"/>
          </w:tcPr>
          <w:p>
            <w:pPr>
              <w:jc w:val="right"/>
            </w:pPr>
            <w:r>
              <w:rPr>
                <w:color w:val="000000"/>
                <w:sz w:val="24"/>
              </w:rPr>
              <w:t>41.93</w:t>
            </w:r>
          </w:p>
        </w:tc>
      </w:tr>
      <w:tr>
        <w:tc>
          <w:tcPr>
            <w:vAlign w:val="center"/>
          </w:tcPr>
          <w:p>
            <w:pPr>
              <w:jc w:val="left"/>
            </w:pPr>
            <w:r>
              <w:rPr>
                <w:color w:val="000000"/>
                <w:sz w:val="24"/>
              </w:rPr>
              <w:t>香港</w:t>
            </w:r>
          </w:p>
        </w:tc>
        <w:tc>
          <w:tcPr>
            <w:vAlign w:val="center"/>
          </w:tcPr>
          <w:p>
            <w:pPr>
              <w:jc w:val="right"/>
            </w:pPr>
            <w:r>
              <w:rPr>
                <w:color w:val="000000"/>
                <w:sz w:val="24"/>
              </w:rPr>
              <w:t>18,538,672.79</w:t>
            </w:r>
          </w:p>
        </w:tc>
        <w:tc>
          <w:tcPr>
            <w:vAlign w:val="center"/>
          </w:tcPr>
          <w:p>
            <w:pPr>
              <w:jc w:val="right"/>
            </w:pPr>
            <w:r>
              <w:rPr>
                <w:color w:val="000000"/>
                <w:sz w:val="24"/>
              </w:rPr>
              <w:t>17.09</w:t>
            </w:r>
          </w:p>
        </w:tc>
      </w:tr>
      <w:tr>
        <w:tc>
          <w:tcPr>
            <w:vAlign w:val="center"/>
          </w:tcPr>
          <w:p>
            <w:pPr>
              <w:jc w:val="left"/>
            </w:pPr>
            <w:r>
              <w:rPr>
                <w:color w:val="000000"/>
                <w:sz w:val="24"/>
              </w:rPr>
              <w:t>瑞士</w:t>
            </w:r>
          </w:p>
        </w:tc>
        <w:tc>
          <w:tcPr>
            <w:vAlign w:val="center"/>
          </w:tcPr>
          <w:p>
            <w:pPr>
              <w:jc w:val="right"/>
            </w:pPr>
            <w:r>
              <w:rPr>
                <w:color w:val="000000"/>
                <w:sz w:val="24"/>
              </w:rPr>
              <w:t>7,121,012.73</w:t>
            </w:r>
          </w:p>
        </w:tc>
        <w:tc>
          <w:tcPr>
            <w:vAlign w:val="center"/>
          </w:tcPr>
          <w:p>
            <w:pPr>
              <w:jc w:val="right"/>
            </w:pPr>
            <w:r>
              <w:rPr>
                <w:color w:val="000000"/>
                <w:sz w:val="24"/>
              </w:rPr>
              <w:t>6.56</w:t>
            </w:r>
          </w:p>
        </w:tc>
      </w:tr>
      <w:tr>
        <w:tc>
          <w:tcPr>
            <w:vAlign w:val="center"/>
          </w:tcPr>
          <w:p>
            <w:pPr>
              <w:jc w:val="left"/>
            </w:pPr>
            <w:r>
              <w:rPr>
                <w:color w:val="000000"/>
                <w:sz w:val="24"/>
              </w:rPr>
              <w:t>法国</w:t>
            </w:r>
          </w:p>
        </w:tc>
        <w:tc>
          <w:tcPr>
            <w:vAlign w:val="center"/>
          </w:tcPr>
          <w:p>
            <w:pPr>
              <w:jc w:val="right"/>
            </w:pPr>
            <w:r>
              <w:rPr>
                <w:color w:val="000000"/>
                <w:sz w:val="24"/>
              </w:rPr>
              <w:t>6,030,447.21</w:t>
            </w:r>
          </w:p>
        </w:tc>
        <w:tc>
          <w:tcPr>
            <w:vAlign w:val="center"/>
          </w:tcPr>
          <w:p>
            <w:pPr>
              <w:jc w:val="right"/>
            </w:pPr>
            <w:r>
              <w:rPr>
                <w:color w:val="000000"/>
                <w:sz w:val="24"/>
              </w:rPr>
              <w:t>5.56</w:t>
            </w:r>
          </w:p>
        </w:tc>
      </w:tr>
      <w:tr>
        <w:tc>
          <w:tcPr>
            <w:vAlign w:val="center"/>
          </w:tcPr>
          <w:p>
            <w:pPr>
              <w:jc w:val="left"/>
            </w:pPr>
            <w:r>
              <w:rPr>
                <w:color w:val="000000"/>
                <w:sz w:val="24"/>
              </w:rPr>
              <w:t>日本</w:t>
            </w:r>
          </w:p>
        </w:tc>
        <w:tc>
          <w:tcPr>
            <w:vAlign w:val="center"/>
          </w:tcPr>
          <w:p>
            <w:pPr>
              <w:jc w:val="right"/>
            </w:pPr>
            <w:r>
              <w:rPr>
                <w:color w:val="000000"/>
                <w:sz w:val="24"/>
              </w:rPr>
              <w:t>4,069,471.13</w:t>
            </w:r>
          </w:p>
        </w:tc>
        <w:tc>
          <w:tcPr>
            <w:vAlign w:val="center"/>
          </w:tcPr>
          <w:p>
            <w:pPr>
              <w:jc w:val="right"/>
            </w:pPr>
            <w:r>
              <w:rPr>
                <w:color w:val="000000"/>
                <w:sz w:val="24"/>
              </w:rPr>
              <w:t>3.75</w:t>
            </w:r>
          </w:p>
        </w:tc>
      </w:tr>
      <w:tr>
        <w:tc>
          <w:tcPr>
            <w:vAlign w:val="center"/>
          </w:tcPr>
          <w:p>
            <w:pPr>
              <w:jc w:val="left"/>
            </w:pPr>
            <w:r>
              <w:rPr>
                <w:color w:val="000000"/>
                <w:sz w:val="24"/>
              </w:rPr>
              <w:t>韩国</w:t>
            </w:r>
          </w:p>
        </w:tc>
        <w:tc>
          <w:tcPr>
            <w:vAlign w:val="center"/>
          </w:tcPr>
          <w:p>
            <w:pPr>
              <w:jc w:val="right"/>
            </w:pPr>
            <w:r>
              <w:rPr>
                <w:color w:val="000000"/>
                <w:sz w:val="24"/>
              </w:rPr>
              <w:t>2,729,706.14</w:t>
            </w:r>
          </w:p>
        </w:tc>
        <w:tc>
          <w:tcPr>
            <w:vAlign w:val="center"/>
          </w:tcPr>
          <w:p>
            <w:pPr>
              <w:jc w:val="right"/>
            </w:pPr>
            <w:r>
              <w:rPr>
                <w:color w:val="000000"/>
                <w:sz w:val="24"/>
              </w:rPr>
              <w:t>2.52</w:t>
            </w:r>
          </w:p>
        </w:tc>
      </w:tr>
      <w:tr>
        <w:tc>
          <w:tcPr>
            <w:vAlign w:val="center"/>
          </w:tcPr>
          <w:p>
            <w:pPr>
              <w:jc w:val="left"/>
            </w:pPr>
            <w:r>
              <w:rPr>
                <w:color w:val="000000"/>
                <w:sz w:val="24"/>
              </w:rPr>
              <w:t>荷兰</w:t>
            </w:r>
          </w:p>
        </w:tc>
        <w:tc>
          <w:tcPr>
            <w:vAlign w:val="center"/>
          </w:tcPr>
          <w:p>
            <w:pPr>
              <w:jc w:val="right"/>
            </w:pPr>
            <w:r>
              <w:rPr>
                <w:color w:val="000000"/>
                <w:sz w:val="24"/>
              </w:rPr>
              <w:t>2,585,878.31</w:t>
            </w:r>
          </w:p>
        </w:tc>
        <w:tc>
          <w:tcPr>
            <w:vAlign w:val="center"/>
          </w:tcPr>
          <w:p>
            <w:pPr>
              <w:jc w:val="right"/>
            </w:pPr>
            <w:r>
              <w:rPr>
                <w:color w:val="000000"/>
                <w:sz w:val="24"/>
              </w:rPr>
              <w:t>2.38</w:t>
            </w:r>
          </w:p>
        </w:tc>
      </w:tr>
      <w:tr>
        <w:tc>
          <w:tcPr>
            <w:vAlign w:val="center"/>
          </w:tcPr>
          <w:p>
            <w:pPr>
              <w:jc w:val="left"/>
            </w:pPr>
            <w:r>
              <w:rPr>
                <w:color w:val="000000"/>
                <w:sz w:val="24"/>
              </w:rPr>
              <w:t>德国</w:t>
            </w:r>
          </w:p>
        </w:tc>
        <w:tc>
          <w:tcPr>
            <w:vAlign w:val="center"/>
          </w:tcPr>
          <w:p>
            <w:pPr>
              <w:jc w:val="right"/>
            </w:pPr>
            <w:r>
              <w:rPr>
                <w:color w:val="000000"/>
                <w:sz w:val="24"/>
              </w:rPr>
              <w:t>1,915,575.67</w:t>
            </w:r>
          </w:p>
        </w:tc>
        <w:tc>
          <w:tcPr>
            <w:vAlign w:val="center"/>
          </w:tcPr>
          <w:p>
            <w:pPr>
              <w:jc w:val="right"/>
            </w:pPr>
            <w:r>
              <w:rPr>
                <w:color w:val="000000"/>
                <w:sz w:val="24"/>
              </w:rPr>
              <w:t>1.77</w:t>
            </w:r>
          </w:p>
        </w:tc>
      </w:tr>
      <w:tr>
        <w:tc>
          <w:tcPr>
            <w:vAlign w:val="center"/>
          </w:tcPr>
          <w:p>
            <w:pPr>
              <w:jc w:val="left"/>
            </w:pPr>
            <w:r>
              <w:rPr>
                <w:color w:val="000000"/>
                <w:sz w:val="24"/>
              </w:rPr>
              <w:t>英国</w:t>
            </w:r>
          </w:p>
        </w:tc>
        <w:tc>
          <w:tcPr>
            <w:vAlign w:val="center"/>
          </w:tcPr>
          <w:p>
            <w:pPr>
              <w:jc w:val="right"/>
            </w:pPr>
            <w:r>
              <w:rPr>
                <w:color w:val="000000"/>
                <w:sz w:val="24"/>
              </w:rPr>
              <w:t>1,587,991.70</w:t>
            </w:r>
          </w:p>
        </w:tc>
        <w:tc>
          <w:tcPr>
            <w:vAlign w:val="center"/>
          </w:tcPr>
          <w:p>
            <w:pPr>
              <w:jc w:val="right"/>
            </w:pPr>
            <w:r>
              <w:rPr>
                <w:color w:val="000000"/>
                <w:sz w:val="24"/>
              </w:rPr>
              <w:t>1.46</w:t>
            </w:r>
          </w:p>
        </w:tc>
      </w:tr>
      <w:tr>
        <w:tc>
          <w:tcPr>
            <w:vAlign w:val="center"/>
          </w:tcPr>
          <w:p>
            <w:pPr>
              <w:jc w:val="left"/>
            </w:pPr>
            <w:r>
              <w:rPr>
                <w:color w:val="000000"/>
                <w:sz w:val="24"/>
              </w:rPr>
              <w:t>奥地利</w:t>
            </w:r>
          </w:p>
        </w:tc>
        <w:tc>
          <w:tcPr>
            <w:vAlign w:val="center"/>
          </w:tcPr>
          <w:p>
            <w:pPr>
              <w:jc w:val="right"/>
            </w:pPr>
            <w:r>
              <w:rPr>
                <w:color w:val="000000"/>
                <w:sz w:val="24"/>
              </w:rPr>
              <w:t>802,261.95</w:t>
            </w:r>
          </w:p>
        </w:tc>
        <w:tc>
          <w:tcPr>
            <w:vAlign w:val="center"/>
          </w:tcPr>
          <w:p>
            <w:pPr>
              <w:jc w:val="right"/>
            </w:pPr>
            <w:r>
              <w:rPr>
                <w:color w:val="000000"/>
                <w:sz w:val="24"/>
              </w:rPr>
              <w:t>0.74</w:t>
            </w:r>
          </w:p>
        </w:tc>
      </w:tr>
      <w:tr>
        <w:tc>
          <w:tcPr>
            <w:vAlign w:val="center"/>
          </w:tcPr>
          <w:p>
            <w:pPr>
              <w:jc w:val="left"/>
            </w:pPr>
            <w:r>
              <w:rPr>
                <w:color w:val="000000"/>
                <w:sz w:val="24"/>
              </w:rPr>
              <w:t>澳大利亚</w:t>
            </w:r>
          </w:p>
        </w:tc>
        <w:tc>
          <w:tcPr>
            <w:vAlign w:val="center"/>
          </w:tcPr>
          <w:p>
            <w:pPr>
              <w:jc w:val="right"/>
            </w:pPr>
            <w:r>
              <w:rPr>
                <w:color w:val="000000"/>
                <w:sz w:val="24"/>
              </w:rPr>
              <w:t>671,102.01</w:t>
            </w:r>
          </w:p>
        </w:tc>
        <w:tc>
          <w:tcPr>
            <w:vAlign w:val="center"/>
          </w:tcPr>
          <w:p>
            <w:pPr>
              <w:jc w:val="right"/>
            </w:pPr>
            <w:r>
              <w:rPr>
                <w:color w:val="000000"/>
                <w:sz w:val="24"/>
              </w:rPr>
              <w:t>0.62</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91,536,539.46</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84.38</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P="00DB3862" w:rsidR="00DB3862" w:rsidRDefault="00DB3862" w:rsidRPr="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
      </w:r>
      <w:r w:rsidRPr="00DB3862">
        <w:rPr>
          <w:rFonts w:hint="eastAsia"/>
          <w:color w:val="000000"/>
          <w:kern w:val="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DB3862" w:rsidRPr="008640AE">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信息技术</w:t>
            </w:r>
          </w:p>
        </w:tc>
        <w:tc>
          <w:tcPr>
            <w:vAlign w:val="center"/>
          </w:tcPr>
          <w:p>
            <w:pPr>
              <w:jc w:val="right"/>
            </w:pPr>
            <w:r>
              <w:rPr>
                <w:color w:val="000000"/>
                <w:sz w:val="24"/>
              </w:rPr>
              <w:t>17,855,096.23</w:t>
            </w:r>
          </w:p>
        </w:tc>
        <w:tc>
          <w:tcPr>
            <w:vAlign w:val="center"/>
          </w:tcPr>
          <w:p>
            <w:pPr>
              <w:jc w:val="right"/>
            </w:pPr>
            <w:r>
              <w:rPr>
                <w:color w:val="000000"/>
                <w:sz w:val="24"/>
              </w:rPr>
              <w:t>16.46</w:t>
            </w:r>
          </w:p>
        </w:tc>
      </w:tr>
      <w:tr>
        <w:tc>
          <w:tcPr>
            <w:vAlign w:val="center"/>
          </w:tcPr>
          <w:p>
            <w:pPr>
              <w:jc w:val="left"/>
            </w:pPr>
            <w:r>
              <w:rPr>
                <w:color w:val="000000"/>
                <w:sz w:val="24"/>
              </w:rPr>
              <w:t>保健</w:t>
            </w:r>
          </w:p>
        </w:tc>
        <w:tc>
          <w:tcPr>
            <w:vAlign w:val="center"/>
          </w:tcPr>
          <w:p>
            <w:pPr>
              <w:jc w:val="right"/>
            </w:pPr>
            <w:r>
              <w:rPr>
                <w:color w:val="000000"/>
                <w:sz w:val="24"/>
              </w:rPr>
              <w:t>15,829,846.12</w:t>
            </w:r>
          </w:p>
        </w:tc>
        <w:tc>
          <w:tcPr>
            <w:vAlign w:val="center"/>
          </w:tcPr>
          <w:p>
            <w:pPr>
              <w:jc w:val="right"/>
            </w:pPr>
            <w:r>
              <w:rPr>
                <w:color w:val="000000"/>
                <w:sz w:val="24"/>
              </w:rPr>
              <w:t>14.59</w:t>
            </w:r>
          </w:p>
        </w:tc>
      </w:tr>
      <w:tr>
        <w:tc>
          <w:tcPr>
            <w:vAlign w:val="center"/>
          </w:tcPr>
          <w:p>
            <w:pPr>
              <w:jc w:val="left"/>
            </w:pPr>
            <w:r>
              <w:rPr>
                <w:color w:val="000000"/>
                <w:sz w:val="24"/>
              </w:rPr>
              <w:t>非必需消费品</w:t>
            </w:r>
          </w:p>
        </w:tc>
        <w:tc>
          <w:tcPr>
            <w:vAlign w:val="center"/>
          </w:tcPr>
          <w:p>
            <w:pPr>
              <w:jc w:val="right"/>
            </w:pPr>
            <w:r>
              <w:rPr>
                <w:color w:val="000000"/>
                <w:sz w:val="24"/>
              </w:rPr>
              <w:t>13,583,670.41</w:t>
            </w:r>
          </w:p>
        </w:tc>
        <w:tc>
          <w:tcPr>
            <w:vAlign w:val="center"/>
          </w:tcPr>
          <w:p>
            <w:pPr>
              <w:jc w:val="right"/>
            </w:pPr>
            <w:r>
              <w:rPr>
                <w:color w:val="000000"/>
                <w:sz w:val="24"/>
              </w:rPr>
              <w:t>12.52</w:t>
            </w:r>
          </w:p>
        </w:tc>
      </w:tr>
      <w:tr>
        <w:tc>
          <w:tcPr>
            <w:vAlign w:val="center"/>
          </w:tcPr>
          <w:p>
            <w:pPr>
              <w:jc w:val="left"/>
            </w:pPr>
            <w:r>
              <w:rPr>
                <w:color w:val="000000"/>
                <w:sz w:val="24"/>
              </w:rPr>
              <w:t>必需消费品</w:t>
            </w:r>
          </w:p>
        </w:tc>
        <w:tc>
          <w:tcPr>
            <w:vAlign w:val="center"/>
          </w:tcPr>
          <w:p>
            <w:pPr>
              <w:jc w:val="right"/>
            </w:pPr>
            <w:r>
              <w:rPr>
                <w:color w:val="000000"/>
                <w:sz w:val="24"/>
              </w:rPr>
              <w:t>10,742,752.48</w:t>
            </w:r>
          </w:p>
        </w:tc>
        <w:tc>
          <w:tcPr>
            <w:vAlign w:val="center"/>
          </w:tcPr>
          <w:p>
            <w:pPr>
              <w:jc w:val="right"/>
            </w:pPr>
            <w:r>
              <w:rPr>
                <w:color w:val="000000"/>
                <w:sz w:val="24"/>
              </w:rPr>
              <w:t>9.90</w:t>
            </w:r>
          </w:p>
        </w:tc>
      </w:tr>
      <w:tr>
        <w:tc>
          <w:tcPr>
            <w:vAlign w:val="center"/>
          </w:tcPr>
          <w:p>
            <w:pPr>
              <w:jc w:val="left"/>
            </w:pPr>
            <w:r>
              <w:rPr>
                <w:color w:val="000000"/>
                <w:sz w:val="24"/>
              </w:rPr>
              <w:t>电信服务</w:t>
            </w:r>
          </w:p>
        </w:tc>
        <w:tc>
          <w:tcPr>
            <w:vAlign w:val="center"/>
          </w:tcPr>
          <w:p>
            <w:pPr>
              <w:jc w:val="right"/>
            </w:pPr>
            <w:r>
              <w:rPr>
                <w:color w:val="000000"/>
                <w:sz w:val="24"/>
              </w:rPr>
              <w:t>10,311,831.11</w:t>
            </w:r>
          </w:p>
        </w:tc>
        <w:tc>
          <w:tcPr>
            <w:vAlign w:val="center"/>
          </w:tcPr>
          <w:p>
            <w:pPr>
              <w:jc w:val="right"/>
            </w:pPr>
            <w:r>
              <w:rPr>
                <w:color w:val="000000"/>
                <w:sz w:val="24"/>
              </w:rPr>
              <w:t>9.51</w:t>
            </w:r>
          </w:p>
        </w:tc>
      </w:tr>
      <w:tr>
        <w:tc>
          <w:tcPr>
            <w:vAlign w:val="center"/>
          </w:tcPr>
          <w:p>
            <w:pPr>
              <w:jc w:val="left"/>
            </w:pPr>
            <w:r>
              <w:rPr>
                <w:color w:val="000000"/>
                <w:sz w:val="24"/>
              </w:rPr>
              <w:t>工业</w:t>
            </w:r>
          </w:p>
        </w:tc>
        <w:tc>
          <w:tcPr>
            <w:vAlign w:val="center"/>
          </w:tcPr>
          <w:p>
            <w:pPr>
              <w:jc w:val="right"/>
            </w:pPr>
            <w:r>
              <w:rPr>
                <w:color w:val="000000"/>
                <w:sz w:val="24"/>
              </w:rPr>
              <w:t>10,056,624.94</w:t>
            </w:r>
          </w:p>
        </w:tc>
        <w:tc>
          <w:tcPr>
            <w:vAlign w:val="center"/>
          </w:tcPr>
          <w:p>
            <w:pPr>
              <w:jc w:val="right"/>
            </w:pPr>
            <w:r>
              <w:rPr>
                <w:color w:val="000000"/>
                <w:sz w:val="24"/>
              </w:rPr>
              <w:t>9.27</w:t>
            </w:r>
          </w:p>
        </w:tc>
      </w:tr>
      <w:tr>
        <w:tc>
          <w:tcPr>
            <w:vAlign w:val="center"/>
          </w:tcPr>
          <w:p>
            <w:pPr>
              <w:jc w:val="left"/>
            </w:pPr>
            <w:r>
              <w:rPr>
                <w:color w:val="000000"/>
                <w:sz w:val="24"/>
              </w:rPr>
              <w:t>金融业</w:t>
            </w:r>
          </w:p>
        </w:tc>
        <w:tc>
          <w:tcPr>
            <w:vAlign w:val="center"/>
          </w:tcPr>
          <w:p>
            <w:pPr>
              <w:jc w:val="right"/>
            </w:pPr>
            <w:r>
              <w:rPr>
                <w:color w:val="000000"/>
                <w:sz w:val="24"/>
              </w:rPr>
              <w:t>8,255,654.15</w:t>
            </w:r>
          </w:p>
        </w:tc>
        <w:tc>
          <w:tcPr>
            <w:vAlign w:val="center"/>
          </w:tcPr>
          <w:p>
            <w:pPr>
              <w:jc w:val="right"/>
            </w:pPr>
            <w:r>
              <w:rPr>
                <w:color w:val="000000"/>
                <w:sz w:val="24"/>
              </w:rPr>
              <w:t>7.61</w:t>
            </w:r>
          </w:p>
        </w:tc>
      </w:tr>
      <w:tr>
        <w:tc>
          <w:tcPr>
            <w:vAlign w:val="center"/>
          </w:tcPr>
          <w:p>
            <w:pPr>
              <w:jc w:val="left"/>
            </w:pPr>
            <w:r>
              <w:rPr>
                <w:color w:val="000000"/>
                <w:sz w:val="24"/>
              </w:rPr>
              <w:t>能源</w:t>
            </w:r>
          </w:p>
        </w:tc>
        <w:tc>
          <w:tcPr>
            <w:vAlign w:val="center"/>
          </w:tcPr>
          <w:p>
            <w:pPr>
              <w:jc w:val="right"/>
            </w:pPr>
            <w:r>
              <w:rPr>
                <w:color w:val="000000"/>
                <w:sz w:val="24"/>
              </w:rPr>
              <w:t>1,885,079.63</w:t>
            </w:r>
          </w:p>
        </w:tc>
        <w:tc>
          <w:tcPr>
            <w:vAlign w:val="center"/>
          </w:tcPr>
          <w:p>
            <w:pPr>
              <w:jc w:val="right"/>
            </w:pPr>
            <w:r>
              <w:rPr>
                <w:color w:val="000000"/>
                <w:sz w:val="24"/>
              </w:rPr>
              <w:t>1.74</w:t>
            </w:r>
          </w:p>
        </w:tc>
      </w:tr>
      <w:tr>
        <w:tc>
          <w:tcPr>
            <w:vAlign w:val="center"/>
          </w:tcPr>
          <w:p>
            <w:pPr>
              <w:jc w:val="left"/>
            </w:pPr>
            <w:r>
              <w:rPr>
                <w:color w:val="000000"/>
                <w:sz w:val="24"/>
              </w:rPr>
              <w:t>房地产</w:t>
            </w:r>
          </w:p>
        </w:tc>
        <w:tc>
          <w:tcPr>
            <w:vAlign w:val="center"/>
          </w:tcPr>
          <w:p>
            <w:pPr>
              <w:jc w:val="right"/>
            </w:pPr>
            <w:r>
              <w:rPr>
                <w:color w:val="000000"/>
                <w:sz w:val="24"/>
              </w:rPr>
              <w:t>1,535,053.47</w:t>
            </w:r>
          </w:p>
        </w:tc>
        <w:tc>
          <w:tcPr>
            <w:vAlign w:val="center"/>
          </w:tcPr>
          <w:p>
            <w:pPr>
              <w:jc w:val="right"/>
            </w:pPr>
            <w:r>
              <w:rPr>
                <w:color w:val="000000"/>
                <w:sz w:val="24"/>
              </w:rPr>
              <w:t>1.41</w:t>
            </w:r>
          </w:p>
        </w:tc>
      </w:tr>
      <w:tr>
        <w:tc>
          <w:tcPr>
            <w:vAlign w:val="center"/>
          </w:tcPr>
          <w:p>
            <w:pPr>
              <w:jc w:val="left"/>
            </w:pPr>
            <w:r>
              <w:rPr>
                <w:color w:val="000000"/>
                <w:sz w:val="24"/>
              </w:rPr>
              <w:t>材料</w:t>
            </w:r>
          </w:p>
        </w:tc>
        <w:tc>
          <w:tcPr>
            <w:vAlign w:val="center"/>
          </w:tcPr>
          <w:p>
            <w:pPr>
              <w:jc w:val="right"/>
            </w:pPr>
            <w:r>
              <w:rPr>
                <w:color w:val="000000"/>
                <w:sz w:val="24"/>
              </w:rPr>
              <w:t>1,069,334.77</w:t>
            </w:r>
          </w:p>
        </w:tc>
        <w:tc>
          <w:tcPr>
            <w:vAlign w:val="center"/>
          </w:tcPr>
          <w:p>
            <w:pPr>
              <w:jc w:val="right"/>
            </w:pPr>
            <w:r>
              <w:rPr>
                <w:color w:val="000000"/>
                <w:sz w:val="24"/>
              </w:rPr>
              <w:t>0.99</w:t>
            </w:r>
          </w:p>
        </w:tc>
      </w:tr>
      <w:tr>
        <w:tc>
          <w:tcPr>
            <w:vAlign w:val="center"/>
          </w:tcPr>
          <w:p>
            <w:pPr>
              <w:jc w:val="left"/>
            </w:pPr>
            <w:r>
              <w:rPr>
                <w:color w:val="000000"/>
                <w:sz w:val="24"/>
              </w:rPr>
              <w:t>公共事业</w:t>
            </w:r>
          </w:p>
        </w:tc>
        <w:tc>
          <w:tcPr>
            <w:vAlign w:val="center"/>
          </w:tcPr>
          <w:p>
            <w:pPr>
              <w:jc w:val="right"/>
            </w:pPr>
            <w:r>
              <w:rPr>
                <w:color w:val="000000"/>
                <w:sz w:val="24"/>
              </w:rPr>
              <w:t>411,596.15</w:t>
            </w:r>
          </w:p>
        </w:tc>
        <w:tc>
          <w:tcPr>
            <w:vAlign w:val="center"/>
          </w:tcPr>
          <w:p>
            <w:pPr>
              <w:jc w:val="right"/>
            </w:pPr>
            <w:r>
              <w:rPr>
                <w:color w:val="000000"/>
                <w:sz w:val="24"/>
              </w:rPr>
              <w:t>0.38</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lastRenderedPageBreak/>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91,536,539.46</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84.38</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firstColumn="1" w:firstRow="1" w:lastColumn="0" w:lastRow="0" w:noHBand="0" w:noVBand="1"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ROCHE HOLDING AG-GEN</w:t>
            </w:r>
          </w:p>
        </w:tc>
        <w:tc>
          <w:tcPr>
            <w:vAlign w:val="center"/>
          </w:tcPr>
          <w:p>
            <w:pPr>
              <w:jc w:val="center"/>
            </w:pPr>
            <w:r>
              <w:rPr>
                <w:color w:val="000000"/>
                <w:sz w:val="24"/>
              </w:rPr>
              <w:t>罗氏</w:t>
            </w:r>
          </w:p>
        </w:tc>
        <w:tc>
          <w:tcPr>
            <w:vAlign w:val="center"/>
          </w:tcPr>
          <w:p>
            <w:pPr>
              <w:jc w:val="center"/>
            </w:pPr>
            <w:r>
              <w:rPr>
                <w:color w:val="000000"/>
                <w:sz w:val="24"/>
              </w:rPr>
              <w:t>ROG SW</w:t>
            </w:r>
          </w:p>
        </w:tc>
        <w:tc>
          <w:tcPr>
            <w:vAlign w:val="center"/>
          </w:tcPr>
          <w:p>
            <w:pPr>
              <w:jc w:val="center"/>
            </w:pPr>
            <w:r>
              <w:rPr>
                <w:color w:val="000000"/>
                <w:sz w:val="24"/>
              </w:rPr>
              <w:t>瑞士证券交易所</w:t>
            </w:r>
          </w:p>
        </w:tc>
        <w:tc>
          <w:tcPr>
            <w:vAlign w:val="center"/>
          </w:tcPr>
          <w:p>
            <w:pPr>
              <w:jc w:val="center"/>
            </w:pPr>
            <w:r>
              <w:rPr>
                <w:color w:val="000000"/>
                <w:sz w:val="24"/>
              </w:rPr>
              <w:t>瑞士</w:t>
            </w:r>
          </w:p>
        </w:tc>
        <w:tc>
          <w:tcPr>
            <w:vAlign w:val="center"/>
          </w:tcPr>
          <w:p>
            <w:pPr>
              <w:jc w:val="right"/>
            </w:pPr>
            <w:r>
              <w:rPr>
                <w:color w:val="000000"/>
                <w:sz w:val="24"/>
              </w:rPr>
              <w:t>1,678</w:t>
            </w:r>
          </w:p>
        </w:tc>
        <w:tc>
          <w:tcPr>
            <w:vAlign w:val="center"/>
          </w:tcPr>
          <w:p>
            <w:pPr>
              <w:jc w:val="right"/>
            </w:pPr>
            <w:r>
              <w:rPr>
                <w:color w:val="000000"/>
                <w:sz w:val="24"/>
              </w:rPr>
              <w:t>3,860,248.60</w:t>
            </w:r>
          </w:p>
        </w:tc>
        <w:tc>
          <w:tcPr>
            <w:vAlign w:val="center"/>
          </w:tcPr>
          <w:p>
            <w:pPr>
              <w:jc w:val="right"/>
            </w:pPr>
            <w:r>
              <w:rPr>
                <w:color w:val="000000"/>
                <w:sz w:val="24"/>
              </w:rPr>
              <w:t>3.56</w:t>
            </w:r>
          </w:p>
        </w:tc>
      </w:tr>
      <w:tr>
        <w:tc>
          <w:tcPr>
            <w:vAlign w:val="center"/>
          </w:tcPr>
          <w:p>
            <w:pPr>
              <w:jc w:val="center"/>
            </w:pPr>
            <w:r>
              <w:rPr>
                <w:color w:val="000000"/>
                <w:sz w:val="24"/>
              </w:rPr>
              <w:t>2</w:t>
            </w:r>
          </w:p>
        </w:tc>
        <w:tc>
          <w:tcPr>
            <w:vAlign w:val="center"/>
          </w:tcPr>
          <w:p>
            <w:pPr>
              <w:jc w:val="center"/>
            </w:pPr>
            <w:r>
              <w:rPr>
                <w:color w:val="000000"/>
                <w:sz w:val="24"/>
              </w:rPr>
              <w:t>NESTLE SA-REG</w:t>
            </w:r>
          </w:p>
        </w:tc>
        <w:tc>
          <w:tcPr>
            <w:vAlign w:val="center"/>
          </w:tcPr>
          <w:p>
            <w:pPr>
              <w:jc w:val="center"/>
            </w:pPr>
            <w:r>
              <w:rPr>
                <w:color w:val="000000"/>
                <w:sz w:val="24"/>
              </w:rPr>
              <w:t>雀巢</w:t>
            </w:r>
          </w:p>
        </w:tc>
        <w:tc>
          <w:tcPr>
            <w:vAlign w:val="center"/>
          </w:tcPr>
          <w:p>
            <w:pPr>
              <w:jc w:val="center"/>
            </w:pPr>
            <w:r>
              <w:rPr>
                <w:color w:val="000000"/>
                <w:sz w:val="24"/>
              </w:rPr>
              <w:t>NESN SW</w:t>
            </w:r>
          </w:p>
        </w:tc>
        <w:tc>
          <w:tcPr>
            <w:vAlign w:val="center"/>
          </w:tcPr>
          <w:p>
            <w:pPr>
              <w:jc w:val="center"/>
            </w:pPr>
            <w:r>
              <w:rPr>
                <w:color w:val="000000"/>
                <w:sz w:val="24"/>
              </w:rPr>
              <w:t>瑞士证券交易所</w:t>
            </w:r>
          </w:p>
        </w:tc>
        <w:tc>
          <w:tcPr>
            <w:vAlign w:val="center"/>
          </w:tcPr>
          <w:p>
            <w:pPr>
              <w:jc w:val="center"/>
            </w:pPr>
            <w:r>
              <w:rPr>
                <w:color w:val="000000"/>
                <w:sz w:val="24"/>
              </w:rPr>
              <w:t>瑞士</w:t>
            </w:r>
          </w:p>
        </w:tc>
        <w:tc>
          <w:tcPr>
            <w:vAlign w:val="center"/>
          </w:tcPr>
          <w:p>
            <w:pPr>
              <w:jc w:val="right"/>
            </w:pPr>
            <w:r>
              <w:rPr>
                <w:color w:val="000000"/>
                <w:sz w:val="24"/>
              </w:rPr>
              <w:t>4,476</w:t>
            </w:r>
          </w:p>
        </w:tc>
        <w:tc>
          <w:tcPr>
            <w:vAlign w:val="center"/>
          </w:tcPr>
          <w:p>
            <w:pPr>
              <w:jc w:val="right"/>
            </w:pPr>
            <w:r>
              <w:rPr>
                <w:color w:val="000000"/>
                <w:sz w:val="24"/>
              </w:rPr>
              <w:t>3,260,764.13</w:t>
            </w:r>
          </w:p>
        </w:tc>
        <w:tc>
          <w:tcPr>
            <w:vAlign w:val="center"/>
          </w:tcPr>
          <w:p>
            <w:pPr>
              <w:jc w:val="right"/>
            </w:pPr>
            <w:r>
              <w:rPr>
                <w:color w:val="000000"/>
                <w:sz w:val="24"/>
              </w:rPr>
              <w:t>3.01</w:t>
            </w:r>
          </w:p>
        </w:tc>
      </w:tr>
      <w:tr>
        <w:tc>
          <w:tcPr>
            <w:vAlign w:val="center"/>
          </w:tcPr>
          <w:p>
            <w:pPr>
              <w:jc w:val="center"/>
            </w:pPr>
            <w:r>
              <w:rPr>
                <w:color w:val="000000"/>
                <w:sz w:val="24"/>
              </w:rPr>
              <w:t>3</w:t>
            </w:r>
          </w:p>
        </w:tc>
        <w:tc>
          <w:tcPr>
            <w:vAlign w:val="center"/>
          </w:tcPr>
          <w:p>
            <w:pPr>
              <w:jc w:val="center"/>
            </w:pPr>
            <w:r>
              <w:rPr>
                <w:color w:val="000000"/>
                <w:sz w:val="24"/>
              </w:rPr>
              <w:t>ALPHABET INC</w:t>
            </w:r>
          </w:p>
        </w:tc>
        <w:tc>
          <w:tcPr>
            <w:vAlign w:val="center"/>
          </w:tcPr>
          <w:p>
            <w:pPr>
              <w:jc w:val="center"/>
            </w:pPr>
            <w:r>
              <w:rPr>
                <w:color w:val="000000"/>
                <w:sz w:val="24"/>
              </w:rPr>
              <w:t>Alphabet公司</w:t>
            </w:r>
          </w:p>
        </w:tc>
        <w:tc>
          <w:tcPr>
            <w:vAlign w:val="center"/>
          </w:tcPr>
          <w:p>
            <w:pPr>
              <w:jc w:val="center"/>
            </w:pPr>
            <w:r>
              <w:rPr>
                <w:color w:val="000000"/>
                <w:sz w:val="24"/>
              </w:rPr>
              <w:t>GOOGL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394</w:t>
            </w:r>
          </w:p>
        </w:tc>
        <w:tc>
          <w:tcPr>
            <w:vAlign w:val="center"/>
          </w:tcPr>
          <w:p>
            <w:pPr>
              <w:jc w:val="right"/>
            </w:pPr>
            <w:r>
              <w:rPr>
                <w:color w:val="000000"/>
                <w:sz w:val="24"/>
              </w:rPr>
              <w:t>3,243,617.59</w:t>
            </w:r>
          </w:p>
        </w:tc>
        <w:tc>
          <w:tcPr>
            <w:vAlign w:val="center"/>
          </w:tcPr>
          <w:p>
            <w:pPr>
              <w:jc w:val="right"/>
            </w:pPr>
            <w:r>
              <w:rPr>
                <w:color w:val="000000"/>
                <w:sz w:val="24"/>
              </w:rPr>
              <w:t>2.99</w:t>
            </w:r>
          </w:p>
        </w:tc>
      </w:tr>
      <w:tr>
        <w:tc>
          <w:tcPr>
            <w:vAlign w:val="center"/>
          </w:tcPr>
          <w:p>
            <w:pPr>
              <w:jc w:val="center"/>
            </w:pPr>
            <w:r>
              <w:rPr>
                <w:color w:val="000000"/>
                <w:sz w:val="24"/>
              </w:rPr>
              <w:t>4</w:t>
            </w:r>
          </w:p>
        </w:tc>
        <w:tc>
          <w:tcPr>
            <w:vAlign w:val="center"/>
          </w:tcPr>
          <w:p>
            <w:pPr>
              <w:jc w:val="center"/>
            </w:pPr>
            <w:r>
              <w:rPr>
                <w:color w:val="000000"/>
                <w:sz w:val="24"/>
              </w:rPr>
              <w:t>MICROSOFT CORP</w:t>
            </w:r>
          </w:p>
        </w:tc>
        <w:tc>
          <w:tcPr>
            <w:vAlign w:val="center"/>
          </w:tcPr>
          <w:p>
            <w:pPr>
              <w:jc w:val="center"/>
            </w:pPr>
            <w:r>
              <w:rPr>
                <w:color w:val="000000"/>
                <w:sz w:val="24"/>
              </w:rPr>
              <w:t>微软</w:t>
            </w:r>
          </w:p>
        </w:tc>
        <w:tc>
          <w:tcPr>
            <w:vAlign w:val="center"/>
          </w:tcPr>
          <w:p>
            <w:pPr>
              <w:jc w:val="center"/>
            </w:pPr>
            <w:r>
              <w:rPr>
                <w:color w:val="000000"/>
                <w:sz w:val="24"/>
              </w:rPr>
              <w:t>MSFT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2,772</w:t>
            </w:r>
          </w:p>
        </w:tc>
        <w:tc>
          <w:tcPr>
            <w:vAlign w:val="center"/>
          </w:tcPr>
          <w:p>
            <w:pPr>
              <w:jc w:val="right"/>
            </w:pPr>
            <w:r>
              <w:rPr>
                <w:color w:val="000000"/>
                <w:sz w:val="24"/>
              </w:rPr>
              <w:t>3,097,408.19</w:t>
            </w:r>
          </w:p>
        </w:tc>
        <w:tc>
          <w:tcPr>
            <w:vAlign w:val="center"/>
          </w:tcPr>
          <w:p>
            <w:pPr>
              <w:jc w:val="right"/>
            </w:pPr>
            <w:r>
              <w:rPr>
                <w:color w:val="000000"/>
                <w:sz w:val="24"/>
              </w:rPr>
              <w:t>2.86</w:t>
            </w:r>
          </w:p>
        </w:tc>
      </w:tr>
      <w:tr>
        <w:tc>
          <w:tcPr>
            <w:vAlign w:val="center"/>
          </w:tcPr>
          <w:p>
            <w:pPr>
              <w:jc w:val="center"/>
            </w:pPr>
            <w:r>
              <w:rPr>
                <w:color w:val="000000"/>
                <w:sz w:val="24"/>
              </w:rPr>
              <w:t>5</w:t>
            </w:r>
          </w:p>
        </w:tc>
        <w:tc>
          <w:tcPr>
            <w:vAlign w:val="center"/>
          </w:tcPr>
          <w:p>
            <w:pPr>
              <w:jc w:val="center"/>
            </w:pPr>
            <w:r>
              <w:rPr>
                <w:color w:val="000000"/>
                <w:sz w:val="24"/>
              </w:rPr>
              <w:t>AMAZON.COM INC</w:t>
            </w:r>
          </w:p>
        </w:tc>
        <w:tc>
          <w:tcPr>
            <w:vAlign w:val="center"/>
          </w:tcPr>
          <w:p>
            <w:pPr>
              <w:jc w:val="center"/>
            </w:pPr>
            <w:r>
              <w:rPr>
                <w:color w:val="000000"/>
                <w:sz w:val="24"/>
              </w:rPr>
              <w:t>亚马逊公司</w:t>
            </w:r>
          </w:p>
        </w:tc>
        <w:tc>
          <w:tcPr>
            <w:vAlign w:val="center"/>
          </w:tcPr>
          <w:p>
            <w:pPr>
              <w:jc w:val="center"/>
            </w:pPr>
            <w:r>
              <w:rPr>
                <w:color w:val="000000"/>
                <w:sz w:val="24"/>
              </w:rPr>
              <w:t>AMZN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212</w:t>
            </w:r>
          </w:p>
        </w:tc>
        <w:tc>
          <w:tcPr>
            <w:vAlign w:val="center"/>
          </w:tcPr>
          <w:p>
            <w:pPr>
              <w:jc w:val="right"/>
            </w:pPr>
            <w:r>
              <w:rPr>
                <w:color w:val="000000"/>
                <w:sz w:val="24"/>
              </w:rPr>
              <w:t>2,928,559.77</w:t>
            </w:r>
          </w:p>
        </w:tc>
        <w:tc>
          <w:tcPr>
            <w:vAlign w:val="center"/>
          </w:tcPr>
          <w:p>
            <w:pPr>
              <w:jc w:val="right"/>
            </w:pPr>
            <w:r>
              <w:rPr>
                <w:color w:val="000000"/>
                <w:sz w:val="24"/>
              </w:rPr>
              <w:t>2.70</w:t>
            </w:r>
          </w:p>
        </w:tc>
      </w:tr>
      <w:tr>
        <w:tc>
          <w:tcPr>
            <w:vAlign w:val="center"/>
          </w:tcPr>
          <w:p>
            <w:pPr>
              <w:jc w:val="center"/>
            </w:pPr>
            <w:r>
              <w:rPr>
                <w:color w:val="000000"/>
                <w:sz w:val="24"/>
              </w:rPr>
              <w:t>6</w:t>
            </w:r>
          </w:p>
        </w:tc>
        <w:tc>
          <w:tcPr>
            <w:vAlign w:val="center"/>
          </w:tcPr>
          <w:p>
            <w:pPr>
              <w:jc w:val="center"/>
            </w:pPr>
            <w:r>
              <w:rPr>
                <w:color w:val="000000"/>
                <w:sz w:val="24"/>
              </w:rPr>
              <w:t>ASML HOLDING NV</w:t>
            </w:r>
          </w:p>
        </w:tc>
        <w:tc>
          <w:tcPr>
            <w:vAlign w:val="center"/>
          </w:tcPr>
          <w:p>
            <w:pPr>
              <w:jc w:val="center"/>
            </w:pPr>
            <w:r>
              <w:rPr>
                <w:color w:val="000000"/>
                <w:sz w:val="24"/>
              </w:rPr>
              <w:t>阿斯麦控股公司</w:t>
            </w:r>
          </w:p>
        </w:tc>
        <w:tc>
          <w:tcPr>
            <w:vAlign w:val="center"/>
          </w:tcPr>
          <w:p>
            <w:pPr>
              <w:jc w:val="center"/>
            </w:pPr>
            <w:r>
              <w:rPr>
                <w:color w:val="000000"/>
                <w:sz w:val="24"/>
              </w:rPr>
              <w:t>ASML NA</w:t>
            </w:r>
          </w:p>
        </w:tc>
        <w:tc>
          <w:tcPr>
            <w:vAlign w:val="center"/>
          </w:tcPr>
          <w:p>
            <w:pPr>
              <w:jc w:val="center"/>
            </w:pPr>
            <w:r>
              <w:rPr>
                <w:color w:val="000000"/>
                <w:sz w:val="24"/>
              </w:rPr>
              <w:t>荷兰证券交易所</w:t>
            </w:r>
          </w:p>
        </w:tc>
        <w:tc>
          <w:tcPr>
            <w:vAlign w:val="center"/>
          </w:tcPr>
          <w:p>
            <w:pPr>
              <w:jc w:val="center"/>
            </w:pPr>
            <w:r>
              <w:rPr>
                <w:color w:val="000000"/>
                <w:sz w:val="24"/>
              </w:rPr>
              <w:t>荷兰</w:t>
            </w:r>
          </w:p>
        </w:tc>
        <w:tc>
          <w:tcPr>
            <w:vAlign w:val="center"/>
          </w:tcPr>
          <w:p>
            <w:pPr>
              <w:jc w:val="right"/>
            </w:pPr>
            <w:r>
              <w:rPr>
                <w:color w:val="000000"/>
                <w:sz w:val="24"/>
              </w:rPr>
              <w:t>1,372</w:t>
            </w:r>
          </w:p>
        </w:tc>
        <w:tc>
          <w:tcPr>
            <w:vAlign w:val="center"/>
          </w:tcPr>
          <w:p>
            <w:pPr>
              <w:jc w:val="right"/>
            </w:pPr>
            <w:r>
              <w:rPr>
                <w:color w:val="000000"/>
                <w:sz w:val="24"/>
              </w:rPr>
              <w:t>2,585,878.31</w:t>
            </w:r>
          </w:p>
        </w:tc>
        <w:tc>
          <w:tcPr>
            <w:vAlign w:val="center"/>
          </w:tcPr>
          <w:p>
            <w:pPr>
              <w:jc w:val="right"/>
            </w:pPr>
            <w:r>
              <w:rPr>
                <w:color w:val="000000"/>
                <w:sz w:val="24"/>
              </w:rPr>
              <w:t>2.38</w:t>
            </w:r>
          </w:p>
        </w:tc>
      </w:tr>
      <w:tr>
        <w:tc>
          <w:tcPr>
            <w:vAlign w:val="center"/>
          </w:tcPr>
          <w:p>
            <w:pPr>
              <w:jc w:val="center"/>
            </w:pPr>
            <w:r>
              <w:rPr>
                <w:color w:val="000000"/>
                <w:sz w:val="24"/>
              </w:rPr>
              <w:t>7</w:t>
            </w:r>
          </w:p>
        </w:tc>
        <w:tc>
          <w:tcPr>
            <w:vAlign w:val="center"/>
          </w:tcPr>
          <w:p>
            <w:pPr>
              <w:jc w:val="center"/>
            </w:pPr>
            <w:r>
              <w:rPr>
                <w:color w:val="000000"/>
                <w:sz w:val="24"/>
              </w:rPr>
              <w:t>UNITEDHEALTH GROUP I</w:t>
            </w:r>
          </w:p>
        </w:tc>
        <w:tc>
          <w:tcPr>
            <w:vAlign w:val="center"/>
          </w:tcPr>
          <w:p>
            <w:pPr>
              <w:jc w:val="center"/>
            </w:pPr>
            <w:r>
              <w:rPr>
                <w:color w:val="000000"/>
                <w:sz w:val="24"/>
              </w:rPr>
              <w:t>联合健康</w:t>
            </w:r>
          </w:p>
        </w:tc>
        <w:tc>
          <w:tcPr>
            <w:vAlign w:val="center"/>
          </w:tcPr>
          <w:p>
            <w:pPr>
              <w:jc w:val="center"/>
            </w:pPr>
            <w:r>
              <w:rPr>
                <w:color w:val="000000"/>
                <w:sz w:val="24"/>
              </w:rPr>
              <w:t>UNH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1,294</w:t>
            </w:r>
          </w:p>
        </w:tc>
        <w:tc>
          <w:tcPr>
            <w:vAlign w:val="center"/>
          </w:tcPr>
          <w:p>
            <w:pPr>
              <w:jc w:val="right"/>
            </w:pPr>
            <w:r>
              <w:rPr>
                <w:color w:val="000000"/>
                <w:sz w:val="24"/>
              </w:rPr>
              <w:t>2,286,345.62</w:t>
            </w:r>
          </w:p>
        </w:tc>
        <w:tc>
          <w:tcPr>
            <w:vAlign w:val="center"/>
          </w:tcPr>
          <w:p>
            <w:pPr>
              <w:jc w:val="right"/>
            </w:pPr>
            <w:r>
              <w:rPr>
                <w:color w:val="000000"/>
                <w:sz w:val="24"/>
              </w:rPr>
              <w:t>2.11</w:t>
            </w:r>
          </w:p>
        </w:tc>
      </w:tr>
      <w:tr>
        <w:tc>
          <w:tcPr>
            <w:vAlign w:val="center"/>
          </w:tcPr>
          <w:p>
            <w:pPr>
              <w:jc w:val="center"/>
            </w:pPr>
            <w:r>
              <w:rPr>
                <w:color w:val="000000"/>
                <w:sz w:val="24"/>
              </w:rPr>
              <w:t>8</w:t>
            </w:r>
          </w:p>
        </w:tc>
        <w:tc>
          <w:tcPr>
            <w:vAlign w:val="center"/>
          </w:tcPr>
          <w:p>
            <w:pPr>
              <w:jc w:val="center"/>
            </w:pPr>
            <w:r>
              <w:rPr>
                <w:color w:val="000000"/>
                <w:sz w:val="24"/>
              </w:rPr>
              <w:t>VISA INC-CLASS A SHARES</w:t>
            </w:r>
          </w:p>
        </w:tc>
        <w:tc>
          <w:tcPr>
            <w:vAlign w:val="center"/>
          </w:tcPr>
          <w:p>
            <w:pPr>
              <w:jc w:val="center"/>
            </w:pPr>
            <w:r>
              <w:rPr>
                <w:color w:val="000000"/>
                <w:sz w:val="24"/>
              </w:rPr>
              <w:t>维萨公司</w:t>
            </w:r>
          </w:p>
        </w:tc>
        <w:tc>
          <w:tcPr>
            <w:vAlign w:val="center"/>
          </w:tcPr>
          <w:p>
            <w:pPr>
              <w:jc w:val="center"/>
            </w:pPr>
            <w:r>
              <w:rPr>
                <w:color w:val="000000"/>
                <w:sz w:val="24"/>
              </w:rPr>
              <w:t>V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1,972</w:t>
            </w:r>
          </w:p>
        </w:tc>
        <w:tc>
          <w:tcPr>
            <w:vAlign w:val="center"/>
          </w:tcPr>
          <w:p>
            <w:pPr>
              <w:jc w:val="right"/>
            </w:pPr>
            <w:r>
              <w:rPr>
                <w:color w:val="000000"/>
                <w:sz w:val="24"/>
              </w:rPr>
              <w:t>2,251,139.19</w:t>
            </w:r>
          </w:p>
        </w:tc>
        <w:tc>
          <w:tcPr>
            <w:vAlign w:val="center"/>
          </w:tcPr>
          <w:p>
            <w:pPr>
              <w:jc w:val="right"/>
            </w:pPr>
            <w:r>
              <w:rPr>
                <w:color w:val="000000"/>
                <w:sz w:val="24"/>
              </w:rPr>
              <w:t>2.08</w:t>
            </w:r>
          </w:p>
        </w:tc>
      </w:tr>
      <w:tr>
        <w:tc>
          <w:tcPr>
            <w:vAlign w:val="center"/>
          </w:tcPr>
          <w:p>
            <w:pPr>
              <w:jc w:val="center"/>
            </w:pPr>
            <w:r>
              <w:rPr>
                <w:color w:val="000000"/>
                <w:sz w:val="24"/>
              </w:rPr>
              <w:t>9</w:t>
            </w:r>
          </w:p>
        </w:tc>
        <w:tc>
          <w:tcPr>
            <w:vAlign w:val="center"/>
          </w:tcPr>
          <w:p>
            <w:pPr>
              <w:jc w:val="center"/>
            </w:pPr>
            <w:r>
              <w:rPr>
                <w:color w:val="000000"/>
                <w:sz w:val="24"/>
              </w:rPr>
              <w:t>MERCK &amp; CO. INC.</w:t>
            </w:r>
          </w:p>
        </w:tc>
        <w:tc>
          <w:tcPr>
            <w:vAlign w:val="center"/>
          </w:tcPr>
          <w:p>
            <w:pPr>
              <w:jc w:val="center"/>
            </w:pPr>
            <w:r>
              <w:rPr>
                <w:color w:val="000000"/>
                <w:sz w:val="24"/>
              </w:rPr>
              <w:t>默克</w:t>
            </w:r>
          </w:p>
        </w:tc>
        <w:tc>
          <w:tcPr>
            <w:vAlign w:val="center"/>
          </w:tcPr>
          <w:p>
            <w:pPr>
              <w:jc w:val="center"/>
            </w:pPr>
            <w:r>
              <w:rPr>
                <w:color w:val="000000"/>
                <w:sz w:val="24"/>
              </w:rPr>
              <w:t>MRK US</w:t>
            </w:r>
          </w:p>
        </w:tc>
        <w:tc>
          <w:tcPr>
            <w:vAlign w:val="center"/>
          </w:tcPr>
          <w:p>
            <w:pPr>
              <w:jc w:val="center"/>
            </w:pPr>
            <w:r>
              <w:rPr>
                <w:color w:val="000000"/>
                <w:sz w:val="24"/>
              </w:rPr>
              <w:t>美国证券交易所</w:t>
            </w:r>
          </w:p>
        </w:tc>
        <w:tc>
          <w:tcPr>
            <w:vAlign w:val="center"/>
          </w:tcPr>
          <w:p>
            <w:pPr>
              <w:jc w:val="center"/>
            </w:pPr>
            <w:r>
              <w:rPr>
                <w:color w:val="000000"/>
                <w:sz w:val="24"/>
              </w:rPr>
              <w:t>美国</w:t>
            </w:r>
          </w:p>
        </w:tc>
        <w:tc>
          <w:tcPr>
            <w:vAlign w:val="center"/>
          </w:tcPr>
          <w:p>
            <w:pPr>
              <w:jc w:val="right"/>
            </w:pPr>
            <w:r>
              <w:rPr>
                <w:color w:val="000000"/>
                <w:sz w:val="24"/>
              </w:rPr>
              <w:t>4,128</w:t>
            </w:r>
          </w:p>
        </w:tc>
        <w:tc>
          <w:tcPr>
            <w:vAlign w:val="center"/>
          </w:tcPr>
          <w:p>
            <w:pPr>
              <w:jc w:val="right"/>
            </w:pPr>
            <w:r>
              <w:rPr>
                <w:color w:val="000000"/>
                <w:sz w:val="24"/>
              </w:rPr>
              <w:t>2,250,286.71</w:t>
            </w:r>
          </w:p>
        </w:tc>
        <w:tc>
          <w:tcPr>
            <w:vAlign w:val="center"/>
          </w:tcPr>
          <w:p>
            <w:pPr>
              <w:jc w:val="right"/>
            </w:pPr>
            <w:r>
              <w:rPr>
                <w:color w:val="000000"/>
                <w:sz w:val="24"/>
              </w:rPr>
              <w:t>2.07</w:t>
            </w:r>
          </w:p>
        </w:tc>
      </w:tr>
      <w:tr>
        <w:tc>
          <w:tcPr>
            <w:vAlign w:val="center"/>
          </w:tcPr>
          <w:p>
            <w:pPr>
              <w:jc w:val="center"/>
            </w:pPr>
            <w:r>
              <w:rPr>
                <w:color w:val="000000"/>
                <w:sz w:val="24"/>
              </w:rPr>
              <w:t>10</w:t>
            </w:r>
          </w:p>
        </w:tc>
        <w:tc>
          <w:tcPr>
            <w:vAlign w:val="center"/>
          </w:tcPr>
          <w:p>
            <w:pPr>
              <w:jc w:val="center"/>
            </w:pPr>
            <w:r>
              <w:rPr>
                <w:color w:val="000000"/>
                <w:sz w:val="24"/>
              </w:rPr>
              <w:t>SCHNEIDER ELECTRIC S</w:t>
            </w:r>
          </w:p>
        </w:tc>
        <w:tc>
          <w:tcPr>
            <w:vAlign w:val="center"/>
          </w:tcPr>
          <w:p>
            <w:pPr>
              <w:jc w:val="center"/>
            </w:pPr>
            <w:r>
              <w:rPr>
                <w:color w:val="000000"/>
                <w:sz w:val="24"/>
              </w:rPr>
              <w:t>施耐德电气股份公司</w:t>
            </w:r>
          </w:p>
        </w:tc>
        <w:tc>
          <w:tcPr>
            <w:vAlign w:val="center"/>
          </w:tcPr>
          <w:p>
            <w:pPr>
              <w:jc w:val="center"/>
            </w:pPr>
            <w:r>
              <w:rPr>
                <w:color w:val="000000"/>
                <w:sz w:val="24"/>
              </w:rPr>
              <w:t>SU FP</w:t>
            </w:r>
          </w:p>
        </w:tc>
        <w:tc>
          <w:tcPr>
            <w:vAlign w:val="center"/>
          </w:tcPr>
          <w:p>
            <w:pPr>
              <w:jc w:val="center"/>
            </w:pPr>
            <w:r>
              <w:rPr>
                <w:color w:val="000000"/>
                <w:sz w:val="24"/>
              </w:rPr>
              <w:t>法国证券交易所</w:t>
            </w:r>
          </w:p>
        </w:tc>
        <w:tc>
          <w:tcPr>
            <w:vAlign w:val="center"/>
          </w:tcPr>
          <w:p>
            <w:pPr>
              <w:jc w:val="center"/>
            </w:pPr>
            <w:r>
              <w:rPr>
                <w:color w:val="000000"/>
                <w:sz w:val="24"/>
              </w:rPr>
              <w:t>法国</w:t>
            </w:r>
          </w:p>
        </w:tc>
        <w:tc>
          <w:tcPr>
            <w:vAlign w:val="center"/>
          </w:tcPr>
          <w:p>
            <w:pPr>
              <w:jc w:val="right"/>
            </w:pPr>
            <w:r>
              <w:rPr>
                <w:color w:val="000000"/>
                <w:sz w:val="24"/>
              </w:rPr>
              <w:t>3,417</w:t>
            </w:r>
          </w:p>
        </w:tc>
        <w:tc>
          <w:tcPr>
            <w:vAlign w:val="center"/>
          </w:tcPr>
          <w:p>
            <w:pPr>
              <w:jc w:val="right"/>
            </w:pPr>
            <w:r>
              <w:rPr>
                <w:color w:val="000000"/>
                <w:sz w:val="24"/>
              </w:rPr>
              <w:t>2,087,318.81</w:t>
            </w:r>
          </w:p>
        </w:tc>
        <w:tc>
          <w:tcPr>
            <w:vAlign w:val="center"/>
          </w:tcPr>
          <w:p>
            <w:pPr>
              <w:jc w:val="right"/>
            </w:pPr>
            <w:r>
              <w:rPr>
                <w:color w:val="000000"/>
                <w:sz w:val="24"/>
              </w:rPr>
              <w:t>1.92</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AE0579">
        <w:rPr>
          <w:b/>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bookmarkStart w:id="2" w:name="_GoBack"/>
      <w:r w:rsidRPr="00AE0579">
        <w:rPr>
          <w:b/>
          <w:color w:val="000000"/>
          <w:sz w:val="24"/>
        </w:rPr>
        <w:t>5.10.2</w:t>
      </w:r>
      <w:bookmarkEnd w:id="2"/>
      <w:r w:rsidR="00521EDE" w:rsidRPr="008640AE">
        <w:rPr>
          <w:color w:val="000000"/>
          <w:sz w:val="24"/>
        </w:rPr>
        <w:t>本基金投资的前十名股票中，没有超出基金合同规定的备选股票库之外的股票。</w:t>
      </w:r>
    </w:p>
    <w:p w:rsidP="005546C0" w:rsidR="0076518F" w:rsidRDefault="0076518F" w:rsidRPr="00090DB5">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090DB5">
          <w:rPr>
            <w:b/>
            <w:color w:val="000000"/>
            <w:kern w:val="0"/>
            <w:sz w:val="24"/>
          </w:rPr>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P="00B93C3A" w:rsidR="00B93C3A" w:rsidRDefault="00B93C3A" w:rsidRPr="008640AE">
      <w:pPr>
        <w:autoSpaceDE w:val="0"/>
        <w:autoSpaceDN w:val="0"/>
        <w:adjustRightInd w:val="0"/>
        <w:spacing w:before="29" w:line="288" w:lineRule="auto"/>
        <w:jc w:val="right"/>
        <w:rPr>
          <w:color w:val="000000"/>
          <w:kern w:val="0"/>
          <w:sz w:val="24"/>
        </w:rPr>
      </w:pPr>
      <w:r w:rsidRPr="00B93C3A">
        <w:rPr>
          <w:rFonts w:hint="eastAsia"/>
          <w:color w:val="000000"/>
          <w:kern w:val="0"/>
          <w:sz w:val="24"/>
        </w:rPr>
        <w:t/>
      </w:r>
      <w:r w:rsidRPr="00B93C3A">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139,394.75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558.26</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1,192,391.64</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1,332,344.65</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090DB5">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090DB5">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090DB5">
          <w:rPr>
            <w:b/>
            <w:color w:val="000000"/>
            <w:kern w:val="0"/>
            <w:sz w:val="24"/>
          </w:rPr>
          <w:t>5.10.5</w:t>
        </w:r>
      </w:smartTag>
      <w:r w:rsidRPr="00090DB5">
        <w:rPr>
          <w:b/>
          <w:color w:val="000000"/>
          <w:kern w:val="0"/>
          <w:sz w:val="24"/>
        </w:rPr>
        <w:t>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090DB5">
      <w:pPr>
        <w:autoSpaceDE w:val="0"/>
        <w:autoSpaceDN w:val="0"/>
        <w:adjustRightInd w:val="0"/>
        <w:spacing w:before="29" w:line="288" w:lineRule="auto"/>
        <w:jc w:val="left"/>
        <w:rPr>
          <w:b/>
          <w:color w:val="000000"/>
          <w:kern w:val="0"/>
          <w:sz w:val="24"/>
        </w:rPr>
      </w:pPr>
      <w:r w:rsidRPr="00090DB5">
        <w:rPr>
          <w:b/>
          <w:color w:val="000000"/>
          <w:kern w:val="0"/>
          <w:sz w:val="24"/>
        </w:rPr>
        <w:t/>
      </w:r>
      <w:r w:rsidR="0076518F" w:rsidRPr="00090DB5">
        <w:rPr>
          <w:b/>
          <w:color w:val="000000"/>
          <w:kern w:val="0"/>
          <w:sz w:val="24"/>
        </w:rPr>
        <w:t>5.10.6</w:t>
      </w:r>
      <w:r w:rsidR="001C46E1" w:rsidRPr="00090DB5">
        <w:rPr>
          <w:b/>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lastRenderedPageBreak/>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firstColumn="0" w:firstRow="0" w:lastColumn="0" w:lastRow="0" w:noHBand="0" w:noVBand="0"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60,013,831.66</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9,402,157.57</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9,378,074.37</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60,037,914.86</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1032"/>
        <w:gridCol w:w="1776"/>
        <w:gridCol w:w="1317"/>
        <w:gridCol w:w="1633"/>
        <w:gridCol w:w="1767"/>
        <w:gridCol w:w="1343"/>
      </w:tblGrid>
      <w:tr w:rsidR="005E64DA" w:rsidRPr="008640AE" w:rsidTr="001A3475">
        <w:trPr>
          <w:trHeight w:val="340"/>
          <w:jc w:val="center"/>
        </w:trPr>
        <w:tc>
          <w:tcPr>
            <w:tcW w:type="dxa" w:w="1070"/>
            <w:vAlign w:val="center"/>
          </w:tcPr>
          <w:p w:rsidP="005546C0" w:rsidR="005E64DA" w:rsidRDefault="005E64DA" w:rsidRPr="008640AE">
            <w:pPr>
              <w:pStyle w:val="ad"/>
              <w:adjustRightInd w:val="0"/>
              <w:snapToGrid w:val="0"/>
              <w:spacing w:before="29" w:line="288" w:lineRule="auto"/>
              <w:jc w:val="center"/>
              <w:rPr>
                <w:color w:val="000000"/>
                <w:kern w:val="0"/>
              </w:rPr>
            </w:pPr>
            <w:r w:rsidRPr="008640AE">
              <w:rPr>
                <w:color w:val="000000"/>
                <w:kern w:val="0"/>
              </w:rPr>
              <w:t>序号</w:t>
            </w:r>
            <w:r w:rsidRPr="008640AE">
              <w:rPr>
                <w:color w:val="000000"/>
                <w:kern w:val="0"/>
              </w:rPr>
              <w:t/>
            </w:r>
          </w:p>
        </w:tc>
        <w:tc>
          <w:tcPr>
            <w:tcW w:type="dxa" w:w="1851"/>
            <w:vAlign w:val="center"/>
          </w:tcPr>
          <w:p w:rsidP="005546C0" w:rsidR="005E64DA" w:rsidRDefault="005E64DA" w:rsidRPr="008640AE">
            <w:pPr>
              <w:adjustRightInd w:val="0"/>
              <w:snapToGrid w:val="0"/>
              <w:spacing w:before="29" w:line="288" w:lineRule="auto"/>
              <w:jc w:val="center"/>
              <w:rPr>
                <w:color w:val="000000"/>
                <w:kern w:val="0"/>
                <w:sz w:val="24"/>
              </w:rPr>
            </w:pPr>
            <w:r w:rsidRPr="008640AE">
              <w:rPr>
                <w:color w:val="000000"/>
                <w:kern w:val="0"/>
                <w:sz w:val="24"/>
              </w:rPr>
              <w:t>交易方式</w:t>
            </w:r>
          </w:p>
        </w:tc>
        <w:tc>
          <w:tcPr>
            <w:tcW w:type="dxa" w:w="1370"/>
            <w:vAlign w:val="center"/>
          </w:tcPr>
          <w:p w:rsidP="005546C0" w:rsidR="005E64DA" w:rsidRDefault="005E64DA" w:rsidRPr="008640AE">
            <w:pPr>
              <w:adjustRightInd w:val="0"/>
              <w:snapToGrid w:val="0"/>
              <w:spacing w:before="29" w:line="288" w:lineRule="auto"/>
              <w:rPr>
                <w:color w:val="000000"/>
                <w:kern w:val="0"/>
                <w:sz w:val="24"/>
              </w:rPr>
            </w:pPr>
            <w:r w:rsidRPr="008640AE">
              <w:rPr>
                <w:color w:val="000000"/>
                <w:kern w:val="0"/>
                <w:sz w:val="24"/>
              </w:rPr>
              <w:t>交易日期</w:t>
            </w:r>
          </w:p>
        </w:tc>
        <w:tc>
          <w:tcPr>
            <w:tcW w:type="dxa" w:w="1701"/>
            <w:vAlign w:val="center"/>
          </w:tcPr>
          <w:p w:rsidP="005546C0" w:rsidR="005E64DA" w:rsidRDefault="005E64DA" w:rsidRPr="008640AE">
            <w:pPr>
              <w:adjustRightInd w:val="0"/>
              <w:snapToGrid w:val="0"/>
              <w:spacing w:before="29" w:line="288" w:lineRule="auto"/>
              <w:jc w:val="center"/>
              <w:rPr>
                <w:color w:val="000000"/>
                <w:kern w:val="0"/>
                <w:sz w:val="24"/>
              </w:rPr>
            </w:pPr>
            <w:r w:rsidRPr="008640AE">
              <w:rPr>
                <w:color w:val="000000"/>
                <w:kern w:val="0"/>
                <w:sz w:val="24"/>
              </w:rPr>
              <w:t>交易份额（份）</w:t>
            </w:r>
          </w:p>
        </w:tc>
        <w:tc>
          <w:tcPr>
            <w:tcW w:type="dxa" w:w="1842"/>
            <w:vAlign w:val="center"/>
          </w:tcPr>
          <w:p w:rsidP="005546C0" w:rsidR="005E64DA" w:rsidRDefault="005E64DA" w:rsidRPr="008640AE">
            <w:pPr>
              <w:adjustRightInd w:val="0"/>
              <w:snapToGrid w:val="0"/>
              <w:spacing w:before="29" w:line="288" w:lineRule="auto"/>
              <w:jc w:val="center"/>
              <w:rPr>
                <w:color w:val="000000"/>
                <w:kern w:val="0"/>
                <w:sz w:val="24"/>
              </w:rPr>
            </w:pPr>
            <w:r w:rsidRPr="008640AE">
              <w:rPr>
                <w:color w:val="000000"/>
                <w:kern w:val="0"/>
                <w:sz w:val="24"/>
              </w:rPr>
              <w:t>交易金额（元）</w:t>
            </w:r>
          </w:p>
        </w:tc>
        <w:tc>
          <w:tcPr>
            <w:tcW w:type="dxa" w:w="1397"/>
            <w:vAlign w:val="center"/>
          </w:tcPr>
          <w:p w:rsidP="005546C0" w:rsidR="005E64DA" w:rsidRDefault="005E64DA" w:rsidRPr="008640AE">
            <w:pPr>
              <w:adjustRightInd w:val="0"/>
              <w:snapToGrid w:val="0"/>
              <w:spacing w:before="29" w:line="288" w:lineRule="auto"/>
              <w:jc w:val="center"/>
              <w:rPr>
                <w:color w:val="000000"/>
                <w:kern w:val="0"/>
                <w:sz w:val="24"/>
              </w:rPr>
            </w:pPr>
            <w:r w:rsidRPr="008640AE">
              <w:rPr>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红利再投</w:t>
            </w:r>
          </w:p>
        </w:tc>
        <w:tc>
          <w:tcPr>
            <w:vAlign w:val="center"/>
          </w:tcPr>
          <w:p>
            <w:pPr>
              <w:jc w:val="center"/>
            </w:pPr>
            <w:r>
              <w:rPr>
                <w:color w:val="000000"/>
                <w:sz w:val="24"/>
              </w:rPr>
              <w:t>2020-01-15</w:t>
            </w:r>
          </w:p>
        </w:tc>
        <w:tc>
          <w:tcPr>
            <w:vAlign w:val="center"/>
          </w:tcPr>
          <w:p>
            <w:pPr>
              <w:jc w:val="right"/>
            </w:pPr>
            <w:r>
              <w:rPr>
                <w:color w:val="000000"/>
                <w:sz w:val="24"/>
              </w:rPr>
              <w:t>1,031,960.46</w:t>
            </w:r>
          </w:p>
        </w:tc>
        <w:tc>
          <w:tcPr>
            <w:vAlign w:val="center"/>
          </w:tcPr>
          <w:p>
            <w:pPr>
              <w:jc w:val="right"/>
            </w:pPr>
            <w:r>
              <w:rPr>
                <w:color w:val="000000"/>
                <w:sz w:val="24"/>
              </w:rPr>
              <w:t>2,161,957.16</w:t>
            </w:r>
          </w:p>
        </w:tc>
        <w:tc>
          <w:tcPr>
            <w:vAlign w:val="center"/>
          </w:tcPr>
          <w:p>
            <w:pPr>
              <w:jc w:val="center"/>
            </w:pPr>
            <w:r>
              <w:rPr>
                <w:color w:val="000000"/>
                <w:sz w:val="24"/>
              </w:rPr>
              <w:t>-</w:t>
            </w:r>
          </w:p>
        </w:tc>
      </w:tr>
      <w:tr w:rsidR="005E64DA" w:rsidRPr="008640AE" w:rsidTr="001A3475">
        <w:trPr>
          <w:trHeight w:val="340"/>
          <w:jc w:val="center"/>
        </w:trPr>
        <w:tc>
          <w:tcPr>
            <w:tcW w:type="dxa" w:w="1070"/>
            <w:vAlign w:val="center"/>
          </w:tcPr>
          <w:p w:rsidP="005546C0" w:rsidR="005E64DA" w:rsidRDefault="005E64DA" w:rsidRPr="008640AE">
            <w:pPr>
              <w:pStyle w:val="ad"/>
              <w:adjustRightInd w:val="0"/>
              <w:snapToGrid w:val="0"/>
              <w:spacing w:before="29" w:line="288" w:lineRule="auto"/>
              <w:jc w:val="center"/>
              <w:rPr>
                <w:color w:val="000000"/>
                <w:kern w:val="0"/>
              </w:rPr>
            </w:pPr>
            <w:r w:rsidRPr="008640AE">
              <w:rPr>
                <w:color w:val="000000"/>
                <w:kern w:val="0"/>
              </w:rPr>
              <w:t>合计</w:t>
            </w:r>
          </w:p>
        </w:tc>
        <w:tc>
          <w:tcPr>
            <w:tcW w:type="dxa" w:w="1851"/>
            <w:vAlign w:val="center"/>
          </w:tcPr>
          <w:p w:rsidP="005546C0" w:rsidR="005E64DA" w:rsidRDefault="005E64DA" w:rsidRPr="008640AE">
            <w:pPr>
              <w:adjustRightInd w:val="0"/>
              <w:snapToGrid w:val="0"/>
              <w:spacing w:before="29" w:line="288" w:lineRule="auto"/>
              <w:jc w:val="right"/>
              <w:rPr>
                <w:color w:val="0000FF"/>
                <w:kern w:val="0"/>
                <w:sz w:val="18"/>
              </w:rPr>
            </w:pPr>
          </w:p>
        </w:tc>
        <w:tc>
          <w:tcPr>
            <w:tcW w:type="dxa" w:w="1370"/>
            <w:vAlign w:val="center"/>
          </w:tcPr>
          <w:p w:rsidP="005546C0" w:rsidR="005E64DA" w:rsidRDefault="005E64DA" w:rsidRPr="008640AE">
            <w:pPr>
              <w:adjustRightInd w:val="0"/>
              <w:snapToGrid w:val="0"/>
              <w:spacing w:before="29" w:line="288" w:lineRule="auto"/>
              <w:jc w:val="right"/>
              <w:rPr>
                <w:color w:val="0000FF"/>
                <w:kern w:val="0"/>
                <w:sz w:val="18"/>
              </w:rPr>
            </w:pPr>
          </w:p>
        </w:tc>
        <w:tc>
          <w:tcPr>
            <w:tcW w:type="dxa" w:w="1701"/>
            <w:vAlign w:val="center"/>
          </w:tcPr>
          <w:p w:rsidP="005546C0" w:rsidR="005E64DA" w:rsidRDefault="005E64DA" w:rsidRPr="008640AE">
            <w:pPr>
              <w:adjustRightInd w:val="0"/>
              <w:snapToGrid w:val="0"/>
              <w:spacing w:before="29" w:line="288" w:lineRule="auto"/>
              <w:jc w:val="right"/>
              <w:rPr>
                <w:color w:val="000000"/>
                <w:sz w:val="24"/>
              </w:rPr>
            </w:pPr>
            <w:r w:rsidRPr="008640AE">
              <w:rPr>
                <w:color w:val="000000"/>
                <w:sz w:val="24"/>
              </w:rPr>
              <w:t>1,031,960.46</w:t>
            </w:r>
          </w:p>
        </w:tc>
        <w:tc>
          <w:tcPr>
            <w:tcW w:type="dxa" w:w="1842"/>
            <w:vAlign w:val="center"/>
          </w:tcPr>
          <w:p w:rsidP="005546C0" w:rsidR="005E64DA" w:rsidRDefault="005E64DA" w:rsidRPr="008640AE">
            <w:pPr>
              <w:adjustRightInd w:val="0"/>
              <w:snapToGrid w:val="0"/>
              <w:spacing w:before="29" w:line="288" w:lineRule="auto"/>
              <w:jc w:val="right"/>
              <w:rPr>
                <w:color w:val="000000"/>
                <w:sz w:val="24"/>
              </w:rPr>
            </w:pPr>
            <w:r w:rsidRPr="008640AE">
              <w:rPr>
                <w:color w:val="000000"/>
                <w:sz w:val="24"/>
              </w:rPr>
              <w:t>2,161,957.16</w:t>
            </w:r>
          </w:p>
        </w:tc>
        <w:tc>
          <w:tcPr>
            <w:tcW w:type="dxa" w:w="1397"/>
            <w:vAlign w:val="center"/>
          </w:tcPr>
          <w:p w:rsidP="005546C0" w:rsidR="005E64DA" w:rsidRDefault="005E64DA" w:rsidRPr="008640AE">
            <w:pPr>
              <w:adjustRightInd w:val="0"/>
              <w:snapToGrid w:val="0"/>
              <w:spacing w:before="29" w:line="288" w:lineRule="auto"/>
              <w:jc w:val="right"/>
              <w:rPr>
                <w:color w:val="0000FF"/>
                <w:kern w:val="0"/>
                <w:sz w:val="18"/>
              </w:rPr>
            </w:pPr>
          </w:p>
        </w:tc>
      </w:tr>
    </w:tbl>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lastRenderedPageBreak/>
        <w:t>注：本基金管理人本报告期末持有本基金28,056,424.95份，占本基金期末总份额的46.73%。</w:t>
      </w:r>
    </w:p>
    <w:p w:rsidP="005546C0" w:rsidR="00200B62" w:rsidRDefault="00200B62" w:rsidRPr="008640AE">
      <w:pPr>
        <w:autoSpaceDE w:val="0"/>
        <w:autoSpaceDN w:val="0"/>
        <w:adjustRightInd w:val="0"/>
        <w:spacing w:before="29" w:line="288" w:lineRule="auto"/>
        <w:jc w:val="left"/>
        <w:rPr>
          <w:color w:val="000000"/>
          <w:sz w:val="24"/>
        </w:rPr>
      </w:pPr>
    </w:p>
    <w:p w:rsidP="00BB3041" w:rsidR="00ED3DCF" w:rsidRDefault="00ED3DCF">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ED3DCF" w:rsidR="00ED3DCF" w:rsidRDefault="00ED3DCF">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3DCF" w:rsidTr="00ED3DCF">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type="dxa" w:w="993"/>
            <w:vMerge/>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27,024,464.49</w:t>
            </w:r>
          </w:p>
        </w:tc>
        <w:tc>
          <w:tcPr>
            <w:vAlign w:val="center"/>
          </w:tcPr>
          <w:p>
            <w:pPr>
              <w:jc w:val="center"/>
            </w:pPr>
            <w:r>
              <w:rPr>
                <w:rFonts w:ascii="宋体" w:hAnsi="宋体" w:hint="eastAsia"/>
                <w:color w:val="000000"/>
                <w:kern w:val="0"/>
                <w:szCs w:val="21"/>
              </w:rPr>
              <w:t>1,031,960.46</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28,056,424.95</w:t>
            </w:r>
          </w:p>
        </w:tc>
        <w:tc>
          <w:tcPr>
            <w:vAlign w:val="center"/>
          </w:tcPr>
          <w:p>
            <w:pPr>
              <w:jc w:val="center"/>
            </w:pPr>
            <w:r>
              <w:rPr>
                <w:rFonts w:ascii="宋体" w:hAnsi="宋体" w:hint="eastAsia"/>
                <w:color w:val="000000"/>
                <w:kern w:val="0"/>
                <w:szCs w:val="21"/>
              </w:rPr>
              <w:t>46.73%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3DCF" w:rsidTr="00ED3DCF">
        <w:tc>
          <w:tcPr>
            <w:tcW w:type="dxa" w:w="9212"/>
            <w:tcBorders>
              <w:top w:color="auto" w:space="0" w:sz="4" w:val="single"/>
              <w:left w:color="auto" w:space="0" w:sz="4" w:val="single"/>
              <w:bottom w:color="auto" w:space="0" w:sz="4" w:val="single"/>
              <w:right w:color="auto" w:space="0" w:sz="4" w:val="single"/>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BB3041" w:rsidR="0076518F" w:rsidRDefault="0076518F" w:rsidRPr="008640AE">
      <w:pPr>
        <w:pStyle w:val="1"/>
        <w:spacing w:after="312" w:afterLines="100" w:before="312"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9</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1、中国证监会批准交银施罗德环球精选价值证券投资基金募集的文件；</w:t>
      </w:r>
    </w:p>
    <w:p>
      <w:pPr>
        <w:spacing w:before="29" w:line="288" w:lineRule="auto"/>
        <w:ind w:firstLine="480" w:firstLineChars="200"/>
        <w:rPr>
          <w:color w:val="000000"/>
          <w:sz w:val="24"/>
        </w:rPr>
      </w:pPr>
      <w:r>
        <w:rPr>
          <w:color w:val="000000"/>
          <w:sz w:val="24"/>
        </w:rPr>
        <w:t>2、《交银施罗德环球精选价值证券投资基金基金合同》；</w:t>
      </w:r>
    </w:p>
    <w:p>
      <w:pPr>
        <w:spacing w:before="29" w:line="288" w:lineRule="auto"/>
        <w:ind w:firstLine="480" w:firstLineChars="200"/>
        <w:rPr>
          <w:color w:val="000000"/>
          <w:sz w:val="24"/>
        </w:rPr>
      </w:pPr>
      <w:r>
        <w:rPr>
          <w:color w:val="000000"/>
          <w:sz w:val="24"/>
        </w:rPr>
        <w:t>3、《交银施罗德环球精选价值证券投资基金招募说明书》；</w:t>
      </w:r>
    </w:p>
    <w:p>
      <w:pPr>
        <w:spacing w:before="29" w:line="288" w:lineRule="auto"/>
        <w:ind w:firstLine="480" w:firstLineChars="200"/>
        <w:rPr>
          <w:color w:val="000000"/>
          <w:sz w:val="24"/>
        </w:rPr>
      </w:pPr>
      <w:r>
        <w:rPr>
          <w:color w:val="000000"/>
          <w:sz w:val="24"/>
        </w:rPr>
        <w:t xml:space="preserve">4、《交银施罗德环球精选价值证券投资基金托管协议》； </w:t>
      </w:r>
    </w:p>
    <w:p>
      <w:pPr>
        <w:spacing w:before="29" w:line="288" w:lineRule="auto"/>
        <w:ind w:firstLine="480" w:firstLineChars="200"/>
        <w:rPr>
          <w:color w:val="000000"/>
          <w:sz w:val="24"/>
        </w:rPr>
      </w:pPr>
      <w:r>
        <w:rPr>
          <w:color w:val="000000"/>
          <w:sz w:val="24"/>
        </w:rPr>
        <w:t>5、关于申请募集交银施罗德环球精选价值证券投资基金之法律意见书；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7、基金托管人业务资格批件、营业执照；</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8、报告期内交银施罗德环球精选价值证券投资基金在指定报刊上各项公告的原稿。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39" w:rsidRDefault="004F1939">
      <w:r>
        <w:separator/>
      </w:r>
    </w:p>
  </w:endnote>
  <w:endnote w:type="continuationSeparator" w:id="0">
    <w:p w:rsidR="004F1939" w:rsidRDefault="004F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AE0579">
      <w:rPr>
        <w:noProof/>
        <w:kern w:val="0"/>
        <w:szCs w:val="21"/>
      </w:rPr>
      <w:t>13</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AE0579">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4F1939" w:rsidRDefault="004F1939">
      <w:r>
        <w:separator/>
      </w:r>
    </w:p>
  </w:footnote>
  <w:footnote w:id="0" w:type="continuationSeparator">
    <w:p w:rsidR="004F1939" w:rsidRDefault="004F1939">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交银施罗德环球精选价值证券投资基金2020年第1季度报告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B3041" w:rsidRDefault="00BB3041">
    <w:pPr>
      <w:pStyle w:val="a9"/>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50358" w:rsidRDefault="00750358">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1939"/>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0579"/>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114</TotalTime>
  <Pages>19</Pages>
  <Words>3089</Words>
  <Characters>17612</Characters>
  <Application>Microsoft Office Word</Application>
  <DocSecurity>0</DocSecurity>
  <Lines>146</Lines>
  <Paragraphs>41</Paragraphs>
  <ScaleCrop>false</ScaleCrop>
  <Company>TRT. Ltd. Co.</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业务系统</cp:lastModifiedBy>
  <cp:lastPrinted>2007-07-19T00:46:00Z</cp:lastPrinted>
  <dcterms:modified xsi:type="dcterms:W3CDTF">2020-03-09T08:01:00Z</dcterms:modified>
  <cp:revision>252</cp:revision>
</cp:coreProperties>
</file>