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交银施罗德定期支付双息平衡混合型证券投资基金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2013年9月4日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818,728,255.58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50%×中证红利指数收益率+50%×中债综合全价指数收益率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本基金是一只混合型基金，在证券投资基金中属于较高风险的品种，其长期平均风险和预期收益高于货币市场基金和债券型基金，低于股票型基金。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195,472,092.35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121,607,808.93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0.1679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3,277,801,250.11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4.004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6.29%</w:t>
            </w:r>
          </w:p>
        </w:tc>
        <w:tc>
          <w:tcPr>
            <w:vAlign w:val="center"/>
          </w:tcPr>
          <w:p>
            <w:pPr>
              <w:jc w:val="center"/>
            </w:pPr>
            <w:r>
              <w:rPr>
                <w:color w:val="000000"/>
                <w:sz w:val="24"/>
                <w:szCs w:val="24"/>
              </w:rPr>
              <w:t>1.56%</w:t>
            </w:r>
          </w:p>
        </w:tc>
        <w:tc>
          <w:tcPr>
            <w:vAlign w:val="center"/>
          </w:tcPr>
          <w:p>
            <w:pPr>
              <w:jc w:val="center"/>
            </w:pPr>
            <w:r>
              <w:rPr>
                <w:color w:val="000000"/>
                <w:sz w:val="24"/>
                <w:szCs w:val="24"/>
              </w:rPr>
              <w:t>-4.25%</w:t>
            </w:r>
          </w:p>
        </w:tc>
        <w:tc>
          <w:tcPr>
            <w:vAlign w:val="center"/>
          </w:tcPr>
          <w:p>
            <w:pPr>
              <w:jc w:val="center"/>
            </w:pPr>
            <w:r>
              <w:rPr>
                <w:color w:val="000000"/>
                <w:sz w:val="24"/>
                <w:szCs w:val="24"/>
              </w:rPr>
              <w:t>0.91%</w:t>
            </w:r>
          </w:p>
        </w:tc>
        <w:tc>
          <w:tcPr>
            <w:vAlign w:val="center"/>
          </w:tcPr>
          <w:p>
            <w:pPr>
              <w:jc w:val="center"/>
            </w:pPr>
            <w:r>
              <w:rPr>
                <w:color w:val="000000"/>
                <w:sz w:val="24"/>
                <w:szCs w:val="24"/>
              </w:rPr>
              <w:t>10.54%</w:t>
            </w:r>
          </w:p>
        </w:tc>
        <w:tc>
          <w:tcPr>
            <w:vAlign w:val="center"/>
          </w:tcPr>
          <w:p>
            <w:pPr>
              <w:jc w:val="center"/>
            </w:pPr>
            <w:r>
              <w:rPr>
                <w:color w:val="000000"/>
                <w:sz w:val="24"/>
                <w:szCs w:val="24"/>
              </w:rPr>
              <w:t>0.65%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交银施罗德定期支付双息平衡混合型证券投资基金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2013年9月4日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交银定期支付双息平衡混合、交银新生活力灵活配置混合、交银内核驱动混合、交银科锐科技创新混合的基金经理</w:t>
            </w:r>
          </w:p>
        </w:tc>
        <w:tc>
          <w:tcPr>
            <w:vAlign w:val="center"/>
          </w:tcPr>
          <w:p>
            <w:pPr>
              <w:jc w:val="center"/>
            </w:pPr>
            <w:r>
              <w:rPr>
                <w:color w:val="000000"/>
                <w:sz w:val="24"/>
                <w:szCs w:val="24"/>
              </w:rPr>
              <w:t>2015-08-15</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一季度，市场主要受到新冠疫情的影响。二月在短期的流动性刺激下，科技板块表现出较大的弹性进而泡沫化，而随着疫情蔓延到全球，海外疫情超预期的发展，市场逐步形成全球衰退预期，三月市场遭遇较大回撤。整体而言，必选消费、公共服务等行业表现较为抗跌，而能源、出口型消费和制造企业跌幅很大。</w:t>
      </w:r>
    </w:p>
    <w:p>
      <w:pPr>
        <w:spacing w:before="29" w:line="288" w:lineRule="auto"/>
        <w:ind w:firstLine="480" w:firstLineChars="200"/>
        <w:rPr>
          <w:color w:val="000000"/>
          <w:sz w:val="24"/>
          <w:szCs w:val="24"/>
        </w:rPr>
      </w:pPr>
      <w:r>
        <w:rPr>
          <w:color w:val="000000"/>
          <w:sz w:val="24"/>
          <w:szCs w:val="24"/>
        </w:rPr>
        <w:t xml:space="preserve">本基金本季度跑赢业绩比较基准。基金的仓位较为稳定，我们还是倾向于投资优秀的个股，而用品种间景气度相互对冲的方式来平衡组合的波动性，我们本季度的超额收益的主要来源是个股选择，持仓中的内需消费和服务业个股表现较好，也对二月涨幅较大的科技板块作了一些减持获利了结。 </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疫情的影响目前尚未结束，对疫情后国际关系、全球化进程、对国内今年的经济增长目标、刺激政策的动向市场众说纷纭，我们认为这都是非常难以判断的事情，我们也不会基于某一个宏观的判断，而大幅度的去做仓位选择和行业配置调整。在疫情中，我们观察到优秀的公司没有停下修炼内功的步伐，过去持续的研发投入，较好的资金储备，规整的管理体系，使得他们在疫情期间表现出较好的经营稳定性，这也有助于他们在疫情结束后，获得更大的市场份额。经济进入较低增长期间，结构性，供给面研究我们认为是一个消除不确定性的可行之道。</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2,106,177,722.90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2,106,177,722.90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131,221,200.00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131,221,200.00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530,000,785.00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16.07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501,881,667.61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28,076,795.37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0.85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3,297,358,170.88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63,494,292.00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1.94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974,457,437.05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19,147.31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151,742,932.84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316,144,529.27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67,659,672.60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63,396,533.68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28,830,224.00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183,480,409.53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256,952,544.62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2,106,177,722.90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64.26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8,057,989</w:t>
            </w:r>
          </w:p>
        </w:tc>
        <w:tc>
          <w:tcPr>
            <w:vAlign w:val="center"/>
          </w:tcPr>
          <w:p>
            <w:pPr>
              <w:jc w:val="right"/>
            </w:pPr>
            <w:r>
              <w:rPr>
                <w:color w:val="000000"/>
                <w:sz w:val="24"/>
                <w:szCs w:val="24"/>
              </w:rPr>
              <w:t>183,480,409.53</w:t>
            </w:r>
          </w:p>
        </w:tc>
        <w:tc>
          <w:tcPr>
            <w:vAlign w:val="center"/>
          </w:tcPr>
          <w:p>
            <w:pPr>
              <w:jc w:val="right"/>
            </w:pPr>
            <w:r>
              <w:rPr>
                <w:color w:val="000000"/>
                <w:sz w:val="24"/>
                <w:szCs w:val="24"/>
              </w:rPr>
              <w:t>5.60</w:t>
            </w:r>
          </w:p>
        </w:tc>
      </w:tr>
      <w:tr>
        <w:tc>
          <w:tcPr>
            <w:vAlign w:val="center"/>
          </w:tcPr>
          <w:p>
            <w:pPr>
              <w:jc w:val="center"/>
            </w:pPr>
            <w:r>
              <w:rPr>
                <w:color w:val="000000"/>
                <w:sz w:val="24"/>
                <w:szCs w:val="24"/>
              </w:rPr>
              <w:t>2</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3,968,418</w:t>
            </w:r>
          </w:p>
        </w:tc>
        <w:tc>
          <w:tcPr>
            <w:vAlign w:val="center"/>
          </w:tcPr>
          <w:p>
            <w:pPr>
              <w:jc w:val="right"/>
            </w:pPr>
            <w:r>
              <w:rPr>
                <w:color w:val="000000"/>
                <w:sz w:val="24"/>
                <w:szCs w:val="24"/>
              </w:rPr>
              <w:t>172,983,340.62</w:t>
            </w:r>
          </w:p>
        </w:tc>
        <w:tc>
          <w:tcPr>
            <w:vAlign w:val="center"/>
          </w:tcPr>
          <w:p>
            <w:pPr>
              <w:jc w:val="right"/>
            </w:pPr>
            <w:r>
              <w:rPr>
                <w:color w:val="000000"/>
                <w:sz w:val="24"/>
                <w:szCs w:val="24"/>
              </w:rPr>
              <w:t>5.28</w:t>
            </w:r>
          </w:p>
        </w:tc>
      </w:tr>
      <w:tr>
        <w:tc>
          <w:tcPr>
            <w:vAlign w:val="center"/>
          </w:tcPr>
          <w:p>
            <w:pPr>
              <w:jc w:val="center"/>
            </w:pPr>
            <w:r>
              <w:rPr>
                <w:color w:val="000000"/>
                <w:sz w:val="24"/>
                <w:szCs w:val="24"/>
              </w:rPr>
              <w:t>3</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2,948,962</w:t>
            </w:r>
          </w:p>
        </w:tc>
        <w:tc>
          <w:tcPr>
            <w:vAlign w:val="center"/>
          </w:tcPr>
          <w:p>
            <w:pPr>
              <w:jc w:val="right"/>
            </w:pPr>
            <w:r>
              <w:rPr>
                <w:color w:val="000000"/>
                <w:sz w:val="24"/>
                <w:szCs w:val="24"/>
              </w:rPr>
              <w:t>152,208,783.50</w:t>
            </w:r>
          </w:p>
        </w:tc>
        <w:tc>
          <w:tcPr>
            <w:vAlign w:val="center"/>
          </w:tcPr>
          <w:p>
            <w:pPr>
              <w:jc w:val="right"/>
            </w:pPr>
            <w:r>
              <w:rPr>
                <w:color w:val="000000"/>
                <w:sz w:val="24"/>
                <w:szCs w:val="24"/>
              </w:rPr>
              <w:t>4.64</w:t>
            </w:r>
          </w:p>
        </w:tc>
      </w:tr>
      <w:tr>
        <w:tc>
          <w:tcPr>
            <w:vAlign w:val="center"/>
          </w:tcPr>
          <w:p>
            <w:pPr>
              <w:jc w:val="center"/>
            </w:pPr>
            <w:r>
              <w:rPr>
                <w:color w:val="000000"/>
                <w:sz w:val="24"/>
                <w:szCs w:val="24"/>
              </w:rPr>
              <w:t>4</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3,061,048</w:t>
            </w:r>
          </w:p>
        </w:tc>
        <w:tc>
          <w:tcPr>
            <w:vAlign w:val="center"/>
          </w:tcPr>
          <w:p>
            <w:pPr>
              <w:jc w:val="right"/>
            </w:pPr>
            <w:r>
              <w:rPr>
                <w:color w:val="000000"/>
                <w:sz w:val="24"/>
                <w:szCs w:val="24"/>
              </w:rPr>
              <w:t>144,239,407.52</w:t>
            </w:r>
          </w:p>
        </w:tc>
        <w:tc>
          <w:tcPr>
            <w:vAlign w:val="center"/>
          </w:tcPr>
          <w:p>
            <w:pPr>
              <w:jc w:val="right"/>
            </w:pPr>
            <w:r>
              <w:rPr>
                <w:color w:val="000000"/>
                <w:sz w:val="24"/>
                <w:szCs w:val="24"/>
              </w:rPr>
              <w:t>4.40</w:t>
            </w:r>
          </w:p>
        </w:tc>
      </w:tr>
      <w:tr>
        <w:tc>
          <w:tcPr>
            <w:vAlign w:val="center"/>
          </w:tcPr>
          <w:p>
            <w:pPr>
              <w:jc w:val="center"/>
            </w:pPr>
            <w:r>
              <w:rPr>
                <w:color w:val="000000"/>
                <w:sz w:val="24"/>
                <w:szCs w:val="24"/>
              </w:rPr>
              <w:t>5</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3,908,450</w:t>
            </w:r>
          </w:p>
        </w:tc>
        <w:tc>
          <w:tcPr>
            <w:vAlign w:val="center"/>
          </w:tcPr>
          <w:p>
            <w:pPr>
              <w:jc w:val="right"/>
            </w:pPr>
            <w:r>
              <w:rPr>
                <w:color w:val="000000"/>
                <w:sz w:val="24"/>
                <w:szCs w:val="24"/>
              </w:rPr>
              <w:t>133,004,553.50</w:t>
            </w:r>
          </w:p>
        </w:tc>
        <w:tc>
          <w:tcPr>
            <w:vAlign w:val="center"/>
          </w:tcPr>
          <w:p>
            <w:pPr>
              <w:jc w:val="right"/>
            </w:pPr>
            <w:r>
              <w:rPr>
                <w:color w:val="000000"/>
                <w:sz w:val="24"/>
                <w:szCs w:val="24"/>
              </w:rPr>
              <w:t>4.06</w:t>
            </w:r>
          </w:p>
        </w:tc>
      </w:tr>
      <w:tr>
        <w:tc>
          <w:tcPr>
            <w:vAlign w:val="center"/>
          </w:tcPr>
          <w:p>
            <w:pPr>
              <w:jc w:val="center"/>
            </w:pPr>
            <w:r>
              <w:rPr>
                <w:color w:val="000000"/>
                <w:sz w:val="24"/>
                <w:szCs w:val="24"/>
              </w:rPr>
              <w:t>6</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8,374,852</w:t>
            </w:r>
          </w:p>
        </w:tc>
        <w:tc>
          <w:tcPr>
            <w:vAlign w:val="center"/>
          </w:tcPr>
          <w:p>
            <w:pPr>
              <w:jc w:val="right"/>
            </w:pPr>
            <w:r>
              <w:rPr>
                <w:color w:val="000000"/>
                <w:sz w:val="24"/>
                <w:szCs w:val="24"/>
              </w:rPr>
              <w:t>120,597,868.80</w:t>
            </w:r>
          </w:p>
        </w:tc>
        <w:tc>
          <w:tcPr>
            <w:vAlign w:val="center"/>
          </w:tcPr>
          <w:p>
            <w:pPr>
              <w:jc w:val="right"/>
            </w:pPr>
            <w:r>
              <w:rPr>
                <w:color w:val="000000"/>
                <w:sz w:val="24"/>
                <w:szCs w:val="24"/>
              </w:rPr>
              <w:t>3.68</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600522</w:t>
            </w:r>
          </w:p>
        </w:tc>
        <w:tc>
          <w:tcPr>
            <w:vAlign w:val="center"/>
          </w:tcPr>
          <w:p>
            <w:pPr>
              <w:jc w:val="center"/>
            </w:pPr>
            <w:r>
              <w:rPr>
                <w:color w:val="000000"/>
                <w:sz w:val="24"/>
                <w:szCs w:val="24"/>
              </w:rPr>
              <w:t>中天科技</w:t>
            </w:r>
          </w:p>
        </w:tc>
        <w:tc>
          <w:tcPr>
            <w:vAlign w:val="center"/>
          </w:tcPr>
          <w:p>
            <w:pPr>
              <w:jc w:val="right"/>
            </w:pPr>
            <w:r>
              <w:rPr>
                <w:color w:val="000000"/>
                <w:sz w:val="24"/>
                <w:szCs w:val="24"/>
              </w:rPr>
              <w:t>10,028,400</w:t>
            </w:r>
          </w:p>
        </w:tc>
        <w:tc>
          <w:tcPr>
            <w:vAlign w:val="center"/>
          </w:tcPr>
          <w:p>
            <w:pPr>
              <w:jc w:val="right"/>
            </w:pPr>
            <w:r>
              <w:rPr>
                <w:color w:val="000000"/>
                <w:sz w:val="24"/>
                <w:szCs w:val="24"/>
              </w:rPr>
              <w:t>96,372,924.00</w:t>
            </w:r>
          </w:p>
        </w:tc>
        <w:tc>
          <w:tcPr>
            <w:vAlign w:val="center"/>
          </w:tcPr>
          <w:p>
            <w:pPr>
              <w:jc w:val="right"/>
            </w:pPr>
            <w:r>
              <w:rPr>
                <w:color w:val="000000"/>
                <w:sz w:val="24"/>
                <w:szCs w:val="24"/>
              </w:rPr>
              <w:t>2.94</w:t>
            </w:r>
          </w:p>
        </w:tc>
      </w:tr>
      <w:tr>
        <w:tc>
          <w:tcPr>
            <w:vAlign w:val="center"/>
          </w:tcPr>
          <w:p>
            <w:pPr>
              <w:jc w:val="center"/>
            </w:pPr>
            <w:r>
              <w:rPr>
                <w:color w:val="000000"/>
                <w:sz w:val="24"/>
                <w:szCs w:val="24"/>
              </w:rPr>
              <w:t>8</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5,708,493</w:t>
            </w:r>
          </w:p>
        </w:tc>
        <w:tc>
          <w:tcPr>
            <w:vAlign w:val="center"/>
          </w:tcPr>
          <w:p>
            <w:pPr>
              <w:jc w:val="right"/>
            </w:pPr>
            <w:r>
              <w:rPr>
                <w:color w:val="000000"/>
                <w:sz w:val="24"/>
                <w:szCs w:val="24"/>
              </w:rPr>
              <w:t>91,735,482.51</w:t>
            </w:r>
          </w:p>
        </w:tc>
        <w:tc>
          <w:tcPr>
            <w:vAlign w:val="center"/>
          </w:tcPr>
          <w:p>
            <w:pPr>
              <w:jc w:val="right"/>
            </w:pPr>
            <w:r>
              <w:rPr>
                <w:color w:val="000000"/>
                <w:sz w:val="24"/>
                <w:szCs w:val="24"/>
              </w:rPr>
              <w:t>2.80</w:t>
            </w:r>
          </w:p>
        </w:tc>
      </w:tr>
      <w:tr>
        <w:tc>
          <w:tcPr>
            <w:vAlign w:val="center"/>
          </w:tcPr>
          <w:p>
            <w:pPr>
              <w:jc w:val="center"/>
            </w:pPr>
            <w:r>
              <w:rPr>
                <w:color w:val="000000"/>
                <w:sz w:val="24"/>
                <w:szCs w:val="24"/>
              </w:rPr>
              <w:t>9</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3,780,360</w:t>
            </w:r>
          </w:p>
        </w:tc>
        <w:tc>
          <w:tcPr>
            <w:vAlign w:val="center"/>
          </w:tcPr>
          <w:p>
            <w:pPr>
              <w:jc w:val="right"/>
            </w:pPr>
            <w:r>
              <w:rPr>
                <w:color w:val="000000"/>
                <w:sz w:val="24"/>
                <w:szCs w:val="24"/>
              </w:rPr>
              <w:t>76,854,718.80</w:t>
            </w:r>
          </w:p>
        </w:tc>
        <w:tc>
          <w:tcPr>
            <w:vAlign w:val="center"/>
          </w:tcPr>
          <w:p>
            <w:pPr>
              <w:jc w:val="right"/>
            </w:pPr>
            <w:r>
              <w:rPr>
                <w:color w:val="000000"/>
                <w:sz w:val="24"/>
                <w:szCs w:val="24"/>
              </w:rPr>
              <w:t>2.34</w:t>
            </w:r>
          </w:p>
        </w:tc>
      </w:tr>
      <w:tr>
        <w:tc>
          <w:tcPr>
            <w:vAlign w:val="center"/>
          </w:tcPr>
          <w:p>
            <w:pPr>
              <w:jc w:val="center"/>
            </w:pPr>
            <w:r>
              <w:rPr>
                <w:color w:val="000000"/>
                <w:sz w:val="24"/>
                <w:szCs w:val="24"/>
              </w:rPr>
              <w:t>10</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2,637,804</w:t>
            </w:r>
          </w:p>
        </w:tc>
        <w:tc>
          <w:tcPr>
            <w:vAlign w:val="center"/>
          </w:tcPr>
          <w:p>
            <w:pPr>
              <w:jc w:val="right"/>
            </w:pPr>
            <w:r>
              <w:rPr>
                <w:color w:val="000000"/>
                <w:sz w:val="24"/>
                <w:szCs w:val="24"/>
              </w:rPr>
              <w:t>67,659,672.60</w:t>
            </w:r>
          </w:p>
        </w:tc>
        <w:tc>
          <w:tcPr>
            <w:vAlign w:val="center"/>
          </w:tcPr>
          <w:p>
            <w:pPr>
              <w:jc w:val="right"/>
            </w:pPr>
            <w:r>
              <w:rPr>
                <w:color w:val="000000"/>
                <w:sz w:val="24"/>
                <w:szCs w:val="24"/>
              </w:rPr>
              <w:t>2.06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130,728,000.00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130,728,000.00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493,200.00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0.02</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131,221,200.00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1,300,000</w:t>
            </w:r>
          </w:p>
        </w:tc>
        <w:tc>
          <w:tcPr>
            <w:vAlign w:val="center"/>
          </w:tcPr>
          <w:p>
            <w:pPr>
              <w:jc w:val="right"/>
            </w:pPr>
            <w:r>
              <w:rPr>
                <w:color w:val="000000"/>
                <w:sz w:val="24"/>
                <w:szCs w:val="24"/>
              </w:rPr>
              <w:t>130,728,000.00</w:t>
            </w:r>
          </w:p>
        </w:tc>
        <w:tc>
          <w:tcPr>
            <w:vAlign w:val="center"/>
          </w:tcPr>
          <w:p>
            <w:pPr>
              <w:jc w:val="right"/>
            </w:pPr>
            <w:r>
              <w:rPr>
                <w:color w:val="000000"/>
                <w:sz w:val="24"/>
                <w:szCs w:val="24"/>
              </w:rPr>
              <w:t>3.99</w:t>
            </w:r>
          </w:p>
        </w:tc>
      </w:tr>
      <w:tr>
        <w:tc>
          <w:tcPr>
            <w:vAlign w:val="center"/>
          </w:tcPr>
          <w:p>
            <w:pPr>
              <w:jc w:val="center"/>
            </w:pPr>
            <w:r>
              <w:rPr>
                <w:color w:val="000000"/>
                <w:sz w:val="24"/>
                <w:szCs w:val="24"/>
              </w:rPr>
              <w:t>2</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4,932</w:t>
            </w:r>
          </w:p>
        </w:tc>
        <w:tc>
          <w:tcPr>
            <w:vAlign w:val="center"/>
          </w:tcPr>
          <w:p>
            <w:pPr>
              <w:jc w:val="right"/>
            </w:pPr>
            <w:r>
              <w:rPr>
                <w:color w:val="000000"/>
                <w:sz w:val="24"/>
                <w:szCs w:val="24"/>
              </w:rPr>
              <w:t>493,200.00</w:t>
            </w:r>
          </w:p>
        </w:tc>
        <w:tc>
          <w:tcPr>
            <w:vAlign w:val="center"/>
          </w:tcPr>
          <w:p>
            <w:pPr>
              <w:jc w:val="right"/>
            </w:pPr>
            <w:r>
              <w:rPr>
                <w:color w:val="000000"/>
                <w:sz w:val="24"/>
                <w:szCs w:val="24"/>
              </w:rPr>
              <w:t>0.02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605,384.61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41,137.79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1,662,554.96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25,767,718.01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28,076,795.37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20,300,000.00</w:t>
            </w:r>
          </w:p>
        </w:tc>
        <w:tc>
          <w:tcPr>
            <w:vAlign w:val="center"/>
          </w:tcPr>
          <w:p>
            <w:pPr>
              <w:jc w:val="right"/>
            </w:pPr>
            <w:r>
              <w:rPr>
                <w:color w:val="000000"/>
                <w:sz w:val="24"/>
                <w:szCs w:val="24"/>
              </w:rPr>
              <w:t>0.62</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6,721,500.00</w:t>
            </w:r>
          </w:p>
        </w:tc>
        <w:tc>
          <w:tcPr>
            <w:vAlign w:val="center"/>
          </w:tcPr>
          <w:p>
            <w:pPr>
              <w:jc w:val="right"/>
            </w:pPr>
            <w:r>
              <w:rPr>
                <w:color w:val="000000"/>
                <w:sz w:val="24"/>
                <w:szCs w:val="24"/>
              </w:rPr>
              <w:t>0.21</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651,487,805.13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457,339,025.26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290,098,574.81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818,728,255.58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1、中国证监会批准交银施罗德定期支付双息平衡混合型证券投资基金募集的文件；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2、《交银施罗德定期支付双息平衡混合型证券投资基金基金合同》；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3、《交银施罗德定期支付双息平衡混合型证券投资基金招募说明书》；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4、《交银施罗德定期支付双息平衡混合型证券投资基金托管协议》；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5、关于募集交银施罗德定期支付双息平衡混合型证券投资基金之法律意见书；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8、报告期内交银施罗德定期支付双息平衡混合型证券投资基金在指定报刊上各项公告的原稿。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交银施罗德定期支付双息平衡混合型证券投资基金2020年第1季度报告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