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0C1E17" w:rsidRDefault="000C1E17" w:rsidRPr="00414345">
      <w:pPr>
        <w:autoSpaceDE w:val="0"/>
        <w:autoSpaceDN w:val="0"/>
        <w:adjustRightInd w:val="0"/>
        <w:spacing w:before="29" w:line="288" w:lineRule="auto"/>
        <w:jc w:val="left"/>
        <w:rPr>
          <w:color w:val="000000"/>
          <w:kern w:val="0"/>
          <w:sz w:val="24"/>
          <w:szCs w:val="24"/>
        </w:rPr>
      </w:pPr>
    </w:p>
    <w:p w:rsidP="00C15CAC" w:rsidR="000C1E17" w:rsidRDefault="000C1E17" w:rsidRPr="00414345">
      <w:pPr>
        <w:autoSpaceDE w:val="0"/>
        <w:autoSpaceDN w:val="0"/>
        <w:adjustRightInd w:val="0"/>
        <w:spacing w:before="29" w:line="288" w:lineRule="auto"/>
        <w:jc w:val="left"/>
        <w:rPr>
          <w:color w:val="000000"/>
          <w:kern w:val="0"/>
          <w:sz w:val="24"/>
          <w:szCs w:val="24"/>
        </w:rPr>
      </w:pPr>
    </w:p>
    <w:p w:rsidP="00C15CAC" w:rsidR="002279D3" w:rsidRDefault="002279D3" w:rsidRPr="0081286B">
      <w:pPr>
        <w:spacing w:before="29" w:line="288" w:lineRule="auto"/>
        <w:jc w:val="center"/>
        <w:rPr>
          <w:b/>
          <w:sz w:val="36"/>
          <w:szCs w:val="36"/>
        </w:rPr>
      </w:pPr>
      <w:r w:rsidRPr="0081286B">
        <w:rPr>
          <w:b/>
          <w:sz w:val="36"/>
          <w:szCs w:val="36"/>
        </w:rPr>
        <w:t>交银施罗德安心收益债券型证券投资基金</w:t>
      </w:r>
    </w:p>
    <w:p w:rsidP="00C15CAC" w:rsidR="002279D3" w:rsidRDefault="002279D3" w:rsidRPr="0081286B">
      <w:pPr>
        <w:spacing w:before="29" w:line="288" w:lineRule="auto"/>
        <w:jc w:val="center"/>
        <w:rPr>
          <w:b/>
          <w:sz w:val="36"/>
          <w:szCs w:val="36"/>
        </w:rPr>
      </w:pPr>
      <w:r w:rsidRPr="0081286B">
        <w:rPr>
          <w:b/>
          <w:sz w:val="36"/>
          <w:szCs w:val="36"/>
        </w:rPr>
        <w:t>2020年第1季度报告</w:t>
      </w:r>
    </w:p>
    <w:p w:rsidP="00C15CAC" w:rsidR="004061AC" w:rsidRDefault="00655CD8" w:rsidRPr="0081286B">
      <w:pPr>
        <w:spacing w:before="29" w:line="288" w:lineRule="auto"/>
        <w:jc w:val="center"/>
        <w:rPr>
          <w:b/>
          <w:sz w:val="36"/>
          <w:szCs w:val="36"/>
        </w:rPr>
      </w:pPr>
      <w:r w:rsidRPr="0081286B">
        <w:rPr>
          <w:b/>
          <w:sz w:val="36"/>
          <w:szCs w:val="36"/>
        </w:rPr>
        <w:t>2020年3月31日</w:t>
      </w: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625BFC" w:rsidRDefault="004061AC" w:rsidRPr="0081286B">
      <w:pPr>
        <w:spacing w:before="29" w:line="288" w:lineRule="auto"/>
        <w:ind w:firstLine="2168" w:firstLineChars="900"/>
        <w:rPr>
          <w:b/>
          <w:color w:val="000000"/>
          <w:sz w:val="24"/>
          <w:szCs w:val="24"/>
        </w:rPr>
      </w:pPr>
      <w:r w:rsidRPr="0081286B">
        <w:rPr>
          <w:b/>
          <w:color w:val="000000"/>
          <w:sz w:val="24"/>
          <w:szCs w:val="24"/>
        </w:rPr>
        <w:t>基金管理人：</w:t>
      </w:r>
      <w:r w:rsidRPr="0081286B">
        <w:rPr>
          <w:b/>
          <w:color w:val="000000"/>
          <w:sz w:val="24"/>
          <w:szCs w:val="24"/>
        </w:rPr>
        <w:t>交银施罗德基金管理有限公司</w:t>
      </w:r>
    </w:p>
    <w:p w:rsidP="00C15CAC" w:rsidR="00625BFC" w:rsidRDefault="004061AC" w:rsidRPr="0081286B">
      <w:pPr>
        <w:spacing w:before="29" w:line="288" w:lineRule="auto"/>
        <w:ind w:firstLine="2168" w:firstLineChars="900"/>
        <w:rPr>
          <w:b/>
          <w:color w:val="000000"/>
          <w:sz w:val="24"/>
          <w:szCs w:val="24"/>
        </w:rPr>
      </w:pPr>
      <w:r w:rsidRPr="0081286B">
        <w:rPr>
          <w:b/>
          <w:color w:val="000000"/>
          <w:sz w:val="24"/>
          <w:szCs w:val="24"/>
        </w:rPr>
        <w:t>基金托管人：</w:t>
      </w:r>
      <w:r w:rsidRPr="0081286B">
        <w:rPr>
          <w:b/>
          <w:color w:val="000000"/>
          <w:sz w:val="24"/>
          <w:szCs w:val="24"/>
        </w:rPr>
        <w:t>中国民生银行股份有限公司</w:t>
      </w:r>
    </w:p>
    <w:p w:rsidP="00C15CAC" w:rsidR="004061AC" w:rsidRDefault="004061AC" w:rsidRPr="0081286B">
      <w:pPr>
        <w:spacing w:before="29" w:line="288" w:lineRule="auto"/>
        <w:ind w:firstLine="2168" w:firstLineChars="900"/>
        <w:rPr>
          <w:b/>
          <w:color w:val="000000"/>
          <w:sz w:val="24"/>
          <w:szCs w:val="24"/>
        </w:rPr>
        <w:sectPr w:rsidR="004061AC" w:rsidRPr="0081286B" w:rsidSect="00DC456F">
          <w:headerReference r:id="rId8" w:type="even"/>
          <w:headerReference r:id="rId9" w:type="default"/>
          <w:footerReference r:id="rId10" w:type="even"/>
          <w:footerReference r:id="rId11" w:type="default"/>
          <w:headerReference r:id="rId12" w:type="first"/>
          <w:footerReference r:id="rId13" w:type="first"/>
          <w:pgSz w:h="15840" w:w="11926"/>
          <w:pgMar w:bottom="851" w:footer="992" w:gutter="0" w:header="851" w:left="1440" w:right="1440" w:top="1418"/>
          <w:cols w:space="720"/>
          <w:noEndnote/>
          <w:titlePg/>
          <w:docGrid w:linePitch="286"/>
        </w:sectPr>
      </w:pPr>
      <w:r w:rsidRPr="0081286B">
        <w:rPr>
          <w:b/>
          <w:color w:val="000000"/>
          <w:sz w:val="24"/>
          <w:szCs w:val="24"/>
        </w:rPr>
        <w:t>报告送出日期：</w:t>
      </w:r>
      <w:r w:rsidR="00F16E3F" w:rsidRPr="0081286B">
        <w:rPr>
          <w:b/>
          <w:color w:val="000000"/>
          <w:sz w:val="24"/>
          <w:szCs w:val="24"/>
        </w:rPr>
        <w:t/>
      </w:r>
      <w:r w:rsidR="0042009D" w:rsidRPr="0081286B">
        <w:rPr>
          <w:b/>
          <w:color w:val="000000"/>
          <w:sz w:val="24"/>
          <w:szCs w:val="24"/>
        </w:rPr>
        <w:t/>
      </w:r>
      <w:r w:rsidR="00F16E3F" w:rsidRPr="0081286B">
        <w:rPr>
          <w:b/>
          <w:color w:val="000000"/>
          <w:sz w:val="24"/>
          <w:szCs w:val="24"/>
        </w:rPr>
        <w:t>二〇二〇年四月二十二日</w:t>
      </w:r>
    </w:p>
    <w:p w:rsidP="0011537B" w:rsidR="004061AC" w:rsidRDefault="004061AC" w:rsidRPr="00414345">
      <w:pPr>
        <w:pStyle w:val="1"/>
        <w:spacing w:after="312" w:afterLines="100" w:before="312" w:beforeLines="100"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pPr>
        <w:spacing w:before="29" w:line="288" w:lineRule="auto"/>
        <w:ind w:firstLine="480" w:firstLineChars="200"/>
        <w:rPr>
          <w:color w:val="000000"/>
          <w:sz w:val="24"/>
          <w:szCs w:val="24"/>
        </w:rPr>
      </w:pPr>
      <w:r>
        <w:rPr>
          <w:color w:val="000000"/>
          <w:sz w:val="24"/>
          <w:szCs w:val="24"/>
        </w:rPr>
        <w:t xml:space="preserve">基金管理人的董事会及董事保证本报告所载资料不存在虚假记载、误导性陈述或重大遗漏，并对其内容的真实性、准确性和完整性承担个别及连带责任。 </w:t>
      </w:r>
    </w:p>
    <w:p>
      <w:pPr>
        <w:spacing w:before="29" w:line="288" w:lineRule="auto"/>
        <w:ind w:firstLine="480" w:firstLineChars="200"/>
        <w:rPr>
          <w:color w:val="000000"/>
          <w:sz w:val="24"/>
          <w:szCs w:val="24"/>
        </w:rPr>
      </w:pPr>
      <w:r>
        <w:rPr>
          <w:color w:val="000000"/>
          <w:sz w:val="24"/>
          <w:szCs w:val="24"/>
        </w:rPr>
        <w:t xml:space="preserve">基金托管人中国民生银行股份有限公司根据本基金合同规定，于2020年4月21日复核了本报告中的财务指标、净值表现和投资组合报告等内容，保证复核内容不存在虚假记载、误导性陈述或者重大遗漏。 </w:t>
      </w:r>
    </w:p>
    <w:p>
      <w:pPr>
        <w:spacing w:before="29" w:line="288" w:lineRule="auto"/>
        <w:ind w:firstLine="480" w:firstLineChars="200"/>
        <w:rPr>
          <w:color w:val="000000"/>
          <w:sz w:val="24"/>
          <w:szCs w:val="24"/>
        </w:rPr>
      </w:pPr>
      <w:r>
        <w:rPr>
          <w:color w:val="000000"/>
          <w:sz w:val="24"/>
          <w:szCs w:val="24"/>
        </w:rPr>
        <w:t xml:space="preserve">基金管理人承诺以诚实信用、勤勉尽责的原则管理和运用基金资产，但不保证基金一定盈利。 </w:t>
      </w:r>
    </w:p>
    <w:p>
      <w:pPr>
        <w:spacing w:before="29" w:line="288" w:lineRule="auto"/>
        <w:ind w:firstLine="480" w:firstLineChars="200"/>
        <w:rPr>
          <w:color w:val="000000"/>
          <w:sz w:val="24"/>
          <w:szCs w:val="24"/>
        </w:rPr>
      </w:pPr>
      <w:r>
        <w:rPr>
          <w:color w:val="000000"/>
          <w:sz w:val="24"/>
          <w:szCs w:val="24"/>
        </w:rPr>
        <w:t xml:space="preserve">基金的过往业绩并不代表其未来表现。投资有风险，投资者在作出投资决策前应仔细阅读本基金的招募说明书。 </w:t>
      </w:r>
    </w:p>
    <w:p>
      <w:pPr>
        <w:spacing w:before="29" w:line="288" w:lineRule="auto"/>
        <w:ind w:firstLine="480" w:firstLineChars="200"/>
        <w:rPr>
          <w:color w:val="000000"/>
          <w:sz w:val="24"/>
          <w:szCs w:val="24"/>
        </w:rPr>
      </w:pPr>
      <w:r>
        <w:rPr>
          <w:color w:val="000000"/>
          <w:sz w:val="24"/>
          <w:szCs w:val="24"/>
        </w:rPr>
        <w:t>本报告中财务资料未经审计。</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本报告期自2020年1月1日起至3月31日止。</w:t>
      </w:r>
    </w:p>
    <w:p w:rsidP="00C15CAC" w:rsidR="00627E2D" w:rsidRDefault="00627E2D" w:rsidRPr="00414345">
      <w:pPr>
        <w:spacing w:before="29" w:line="288" w:lineRule="auto"/>
        <w:ind w:firstLine="480" w:firstLineChars="200"/>
        <w:rPr>
          <w:color w:val="000000"/>
          <w:sz w:val="24"/>
          <w:szCs w:val="24"/>
        </w:rPr>
      </w:pP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1" w:lastRow="1" w:noHBand="0" w:noVBand="0" w:val="01E0"/>
      </w:tblPr>
      <w:tblGrid>
        <w:gridCol w:w="3023"/>
        <w:gridCol w:w="2922"/>
        <w:gridCol w:w="2923"/>
      </w:tblGrid>
      <w:tr w:rsidR="004061AC" w:rsidRPr="00414345" w:rsidTr="006E6726">
        <w:trPr>
          <w:jc w:val="center"/>
        </w:trPr>
        <w:tc>
          <w:tcPr>
            <w:tcW w:type="dxa" w:w="3023"/>
            <w:vAlign w:val="center"/>
          </w:tcPr>
          <w:p w:rsidP="00C15CAC" w:rsidR="004061AC" w:rsidRDefault="004061AC" w:rsidRPr="00414345">
            <w:pPr>
              <w:adjustRightInd w:val="0"/>
              <w:spacing w:before="29" w:line="288" w:lineRule="auto"/>
              <w:ind w:left="17"/>
              <w:jc w:val="left"/>
              <w:rPr>
                <w:kern w:val="0"/>
                <w:sz w:val="24"/>
                <w:szCs w:val="24"/>
              </w:rPr>
            </w:pPr>
            <w:r w:rsidRPr="00414345">
              <w:rPr>
                <w:kern w:val="0"/>
                <w:sz w:val="24"/>
                <w:szCs w:val="24"/>
              </w:rPr>
              <w:t>基金简称</w:t>
            </w:r>
          </w:p>
        </w:tc>
        <w:tc>
          <w:tcPr>
            <w:tcW w:type="dxa" w:w="5845"/>
            <w:gridSpan w:val="2"/>
            <w:vAlign w:val="center"/>
          </w:tcPr>
          <w:p w:rsidP="00C15CAC" w:rsidR="004061AC" w:rsidRDefault="004061AC" w:rsidRPr="00414345">
            <w:pPr>
              <w:adjustRightInd w:val="0"/>
              <w:spacing w:before="29" w:line="288" w:lineRule="auto"/>
              <w:ind w:left="17"/>
              <w:jc w:val="left"/>
              <w:rPr>
                <w:color w:val="000000"/>
                <w:kern w:val="0"/>
                <w:sz w:val="24"/>
                <w:szCs w:val="24"/>
              </w:rPr>
            </w:pPr>
            <w:r w:rsidRPr="00414345">
              <w:rPr>
                <w:color w:val="000000"/>
                <w:kern w:val="0"/>
                <w:sz w:val="24"/>
                <w:szCs w:val="24"/>
              </w:rPr>
              <w:t>交银安心收益债券</w:t>
            </w:r>
          </w:p>
        </w:tc>
      </w:tr>
      <w:tr w:rsidR="00D94B8D" w:rsidRPr="00414345" w:rsidTr="006E6726">
        <w:trPr>
          <w:jc w:val="center"/>
        </w:trPr>
        <w:tc>
          <w:tcPr>
            <w:tcW w:type="dxa" w:w="3023"/>
            <w:tcBorders>
              <w:top w:color="auto" w:space="0" w:sz="4" w:val="single"/>
              <w:left w:color="auto" w:space="0" w:sz="4" w:val="single"/>
              <w:bottom w:color="auto" w:space="0" w:sz="4" w:val="single"/>
              <w:right w:color="auto" w:space="0" w:sz="4" w:val="single"/>
            </w:tcBorders>
            <w:vAlign w:val="center"/>
            <w:hideMark/>
          </w:tcPr>
          <w:p w:rsidP="00C15CAC" w:rsidR="00D94B8D" w:rsidRDefault="00D94B8D" w:rsidRPr="00414345">
            <w:pPr>
              <w:adjustRightInd w:val="0"/>
              <w:spacing w:before="29" w:line="288" w:lineRule="auto"/>
              <w:ind w:left="17"/>
              <w:jc w:val="left"/>
              <w:rPr>
                <w:kern w:val="0"/>
                <w:sz w:val="24"/>
                <w:szCs w:val="24"/>
              </w:rPr>
            </w:pPr>
            <w:r w:rsidRPr="00414345">
              <w:rPr>
                <w:kern w:val="0"/>
                <w:sz w:val="24"/>
                <w:szCs w:val="24"/>
              </w:rPr>
              <w:t>基金主代码</w:t>
            </w:r>
          </w:p>
        </w:tc>
        <w:tc>
          <w:tcPr>
            <w:tcW w:type="dxa" w:w="5845"/>
            <w:gridSpan w:val="2"/>
            <w:tcBorders>
              <w:top w:color="auto" w:space="0" w:sz="4" w:val="single"/>
              <w:left w:color="auto" w:space="0" w:sz="4" w:val="single"/>
              <w:bottom w:color="auto" w:space="0" w:sz="4" w:val="single"/>
              <w:right w:color="auto" w:space="0" w:sz="4" w:val="single"/>
            </w:tcBorders>
            <w:vAlign w:val="center"/>
            <w:hideMark/>
          </w:tcPr>
          <w:p w:rsidP="00C15CAC" w:rsidR="00D94B8D" w:rsidRDefault="00D94B8D" w:rsidRPr="00414345">
            <w:pPr>
              <w:adjustRightInd w:val="0"/>
              <w:spacing w:before="29" w:line="288" w:lineRule="auto"/>
              <w:ind w:left="17"/>
              <w:jc w:val="left"/>
              <w:rPr>
                <w:color w:val="000000"/>
                <w:kern w:val="0"/>
                <w:sz w:val="24"/>
                <w:szCs w:val="24"/>
              </w:rPr>
            </w:pPr>
            <w:r w:rsidRPr="00414345">
              <w:rPr>
                <w:color w:val="000000"/>
                <w:kern w:val="0"/>
                <w:sz w:val="24"/>
                <w:szCs w:val="24"/>
              </w:rPr>
              <w:t>519753</w:t>
            </w:r>
          </w:p>
        </w:tc>
      </w:tr>
      <w:tr w:rsidR="001B2F35" w:rsidRPr="00414345" w:rsidTr="006E6726">
        <w:trPr>
          <w:jc w:val="center"/>
        </w:trPr>
        <w:tc>
          <w:tcPr>
            <w:tcW w:type="dxa" w:w="3023"/>
            <w:tcBorders>
              <w:top w:color="auto" w:space="0" w:sz="4" w:val="single"/>
              <w:left w:color="auto" w:space="0" w:sz="4" w:val="single"/>
              <w:bottom w:color="auto" w:space="0" w:sz="4" w:val="single"/>
              <w:right w:color="auto" w:space="0" w:sz="4" w:val="single"/>
            </w:tcBorders>
            <w:vAlign w:val="center"/>
          </w:tcPr>
          <w:p w:rsidP="00C15CAC" w:rsidR="001B2F35" w:rsidRDefault="001B2F35" w:rsidRPr="00414345">
            <w:pPr>
              <w:adjustRightInd w:val="0"/>
              <w:spacing w:before="29" w:line="288" w:lineRule="auto"/>
              <w:ind w:left="17"/>
              <w:jc w:val="left"/>
              <w:rPr>
                <w:kern w:val="0"/>
                <w:sz w:val="24"/>
                <w:szCs w:val="24"/>
              </w:rPr>
            </w:pPr>
            <w:r w:rsidRPr="00414345">
              <w:rPr>
                <w:kern w:val="0"/>
                <w:sz w:val="24"/>
                <w:szCs w:val="24"/>
              </w:rPr>
              <w:t>交易代码</w:t>
            </w:r>
          </w:p>
        </w:tc>
        <w:tc>
          <w:tcPr>
            <w:tcW w:type="dxa" w:w="5845"/>
            <w:gridSpan w:val="2"/>
            <w:tcBorders>
              <w:top w:color="auto" w:space="0" w:sz="4" w:val="single"/>
              <w:left w:color="auto" w:space="0" w:sz="4" w:val="single"/>
              <w:bottom w:color="auto" w:space="0" w:sz="4" w:val="single"/>
              <w:right w:color="auto" w:space="0" w:sz="4" w:val="single"/>
            </w:tcBorders>
            <w:vAlign w:val="center"/>
          </w:tcPr>
          <w:p w:rsidP="00C15CAC" w:rsidR="001B2F35" w:rsidRDefault="00C5218C" w:rsidRPr="00414345">
            <w:pPr>
              <w:adjustRightInd w:val="0"/>
              <w:spacing w:before="29" w:line="288" w:lineRule="auto"/>
              <w:ind w:left="17"/>
              <w:jc w:val="left"/>
              <w:rPr>
                <w:color w:val="000000"/>
                <w:kern w:val="0"/>
                <w:sz w:val="24"/>
                <w:szCs w:val="24"/>
              </w:rPr>
            </w:pPr>
            <w:r w:rsidRPr="00414345">
              <w:rPr>
                <w:kern w:val="0"/>
                <w:sz w:val="24"/>
              </w:rPr>
              <w:t>519753</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基金运作方式</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基金合同生效日</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2018年6月2日</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报告期末基金份额总额</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128,034,909.35</w:t>
            </w:r>
            <w:r w:rsidRPr="00414345">
              <w:rPr>
                <w:color w:val="000000"/>
                <w:kern w:val="0"/>
                <w:sz w:val="24"/>
                <w:szCs w:val="24"/>
              </w:rPr>
              <w:t>份</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投资目标</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在严格控制投资风险和保持资产流动性的基础上，力争实现基金资产的长期稳定增值。</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投资策略</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本基金充分发挥基金管理人的研究优势，将严谨、规范化的基本面研究分析与积极主动的投资风格相结合，在分析和判断宏观经济运行状况和金融市场运行趋势的基础上，动态调整债券、股票等大类资产比例。本基金以债券投资为核心，重点关注债券组合久期调整、期限结构配置及债券类属配置，并在严谨深入的信用分析基础上，综合考量信用债券的信用评级，以及各类债券的流动性、供求关系和收益率水平等，同时本基金也通过综合运用骑乘操作、套利操作等策略精选个券，提高投资组合收益。此外，在风险可控的前提下，本基金适度关注股票、权证市场的运行状况与相应风险收益特征，有效把握投资机会，适时增强组合收益。</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业绩比较基准</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中债综合全价指数</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风险收益特征</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本基金为债券型证券投资基金，其长期平均的预期收益和风险高于货币市场基金，低于混合型基金和股票型基金。</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基金管理人</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基金托管人</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中国民生银行股份有限公司</w:t>
            </w:r>
          </w:p>
        </w:tc>
      </w:tr>
    </w:tbl>
    <w:p w:rsidP="00C15CAC" w:rsidR="005910BF" w:rsidRDefault="005910BF" w:rsidRPr="00414345">
      <w:pPr>
        <w:autoSpaceDE w:val="0"/>
        <w:autoSpaceDN w:val="0"/>
        <w:adjustRightInd w:val="0"/>
        <w:spacing w:before="29" w:line="288" w:lineRule="auto"/>
        <w:jc w:val="left"/>
        <w:rPr>
          <w:color w:val="000000"/>
          <w:kern w:val="0"/>
          <w:sz w:val="24"/>
          <w:szCs w:val="24"/>
        </w:rPr>
      </w:pP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P="00C15CAC" w:rsidR="004061AC" w:rsidRDefault="004061AC" w:rsidRPr="00414345">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3607"/>
        <w:gridCol w:w="2706"/>
        <w:gridCol w:w="2555"/>
      </w:tblGrid>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jc w:val="center"/>
              <w:rPr>
                <w:kern w:val="0"/>
                <w:sz w:val="24"/>
                <w:szCs w:val="24"/>
              </w:rPr>
            </w:pPr>
            <w:r w:rsidRPr="00414345">
              <w:rPr>
                <w:kern w:val="0"/>
                <w:sz w:val="24"/>
                <w:szCs w:val="24"/>
              </w:rPr>
              <w:t>主要财务指标</w:t>
            </w:r>
            <w:r w:rsidR="00D96C8D" w:rsidRPr="00414345">
              <w:rPr>
                <w:kern w:val="0"/>
                <w:sz w:val="24"/>
                <w:szCs w:val="24"/>
              </w:rPr>
              <w:t/>
            </w:r>
          </w:p>
        </w:tc>
        <w:tc>
          <w:tcPr>
            <w:tcW w:type="dxa" w:w="4962"/>
            <w:hMerge w:val="restart"/>
            <w:vAlign w:val="center"/>
          </w:tcPr>
          <w:p w:rsidP="00C15CAC" w:rsidR="009C60F7" w:rsidRDefault="009C60F7" w:rsidRPr="00414345">
            <w:pPr>
              <w:adjustRightInd w:val="0"/>
              <w:spacing w:before="29" w:line="288" w:lineRule="auto"/>
              <w:ind w:left="17"/>
              <w:jc w:val="center"/>
              <w:rPr>
                <w:color w:val="000000"/>
                <w:sz w:val="24"/>
                <w:szCs w:val="24"/>
              </w:rPr>
            </w:pPr>
            <w:r w:rsidRPr="00414345">
              <w:rPr>
                <w:color w:val="000000"/>
                <w:sz w:val="24"/>
                <w:szCs w:val="24"/>
              </w:rPr>
              <w:t>报告期</w:t>
            </w:r>
          </w:p>
          <w:p w:rsidP="00C15CAC" w:rsidR="00C21520" w:rsidRDefault="009C60F7" w:rsidRPr="00414345">
            <w:pPr>
              <w:adjustRightInd w:val="0"/>
              <w:spacing w:before="29" w:line="288" w:lineRule="auto"/>
              <w:ind w:left="17"/>
              <w:jc w:val="center"/>
              <w:rPr>
                <w:color w:val="000000"/>
                <w:sz w:val="24"/>
                <w:szCs w:val="24"/>
              </w:rPr>
            </w:pPr>
            <w:r w:rsidRPr="00414345">
              <w:rPr>
                <w:color w:val="000000"/>
                <w:sz w:val="24"/>
                <w:szCs w:val="24"/>
              </w:rPr>
              <w:t>(2020年1月1日-2020年3月31日)</w:t>
            </w:r>
          </w:p>
        </w:tc>
        <w:tc>
          <w:tcPr>
            <w:tcW w:type="dxa" w:w="2410"/>
            <w:hMerge/>
            <w:vAlign w:val="center"/>
          </w:tcPr>
          <w:p w:rsidP="00C15CAC" w:rsidR="00C21520" w:rsidRDefault="00C21520" w:rsidRPr="00414345">
            <w:pPr>
              <w:adjustRightInd w:val="0"/>
              <w:spacing w:before="29" w:line="288" w:lineRule="auto"/>
              <w:ind w:left="17"/>
              <w:jc w:val="center"/>
              <w:rPr>
                <w:color w:val="000000"/>
                <w:sz w:val="24"/>
                <w:szCs w:val="24"/>
              </w:rPr>
            </w:pPr>
            <w:r w:rsidRPr="00414345">
              <w:rPr>
                <w:color w:val="000000"/>
                <w:sz w:val="24"/>
                <w:szCs w:val="24"/>
              </w:rPr>
              <w:t>上期金额</w:t>
            </w:r>
            <w:r w:rsidR="006A7AF1" w:rsidRPr="00414345">
              <w:rPr>
                <w:color w:val="000000"/>
                <w:sz w:val="24"/>
                <w:szCs w:val="24"/>
              </w:rPr>
              <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lastRenderedPageBreak/>
              <w:t>1.</w:t>
            </w:r>
            <w:r w:rsidRPr="00414345">
              <w:rPr>
                <w:kern w:val="0"/>
                <w:sz w:val="24"/>
                <w:szCs w:val="24"/>
              </w:rPr>
              <w:t>本期已实现收益</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-126,920.18</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-115,218.38</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-0.0009</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135,119,156.26</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trHeight w:val="158"/>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1.055</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bl>
    <w:p>
      <w:pPr>
        <w:autoSpaceDE w:val="0"/>
        <w:autoSpaceDN w:val="0"/>
        <w:adjustRightInd w:val="0"/>
        <w:spacing w:before="29" w:line="288" w:lineRule="auto"/>
        <w:jc w:val="left"/>
        <w:rPr>
          <w:color w:val="000000"/>
          <w:sz w:val="24"/>
          <w:szCs w:val="24"/>
        </w:rPr>
      </w:pPr>
      <w:r>
        <w:rPr>
          <w:color w:val="000000"/>
          <w:sz w:val="24"/>
          <w:szCs w:val="24"/>
        </w:rPr>
        <w:t xml:space="preserve">注：1、上述基金业绩指标不包括持有人认购或交易基金的各项费用，计入费用后的实际收益水平要低于所列数字。  </w:t>
      </w:r>
    </w:p>
    <w:p w:rsidP="00C15CAC" w:rsidR="004061AC" w:rsidRDefault="00A5612C"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2、本期已实现收益指基金本期利息收入、投资收益、其他收入（不含公允价值变动收益）扣除相关费用后的余额，本期利润为本期已实现收益加上本期公允价值变动收益。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P="00C15CAC" w:rsidR="00CF6572"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type="dxa" w:w="8868"/>
        <w:jc w:val="center"/>
        <w:tblLayout w:type="fixed"/>
        <w:tblCellMar>
          <w:top w:type="dxa" w:w="57"/>
          <w:bottom w:type="dxa" w:w="57"/>
        </w:tblCellMar>
        <w:tblLook w:firstColumn="1" w:firstRow="1" w:lastColumn="0" w:lastRow="0" w:noHBand="0" w:noVBand="1" w:val="04A0"/>
      </w:tblPr>
      <w:tblGrid>
        <w:gridCol w:w="1701"/>
        <w:gridCol w:w="1045"/>
        <w:gridCol w:w="1344"/>
        <w:gridCol w:w="1194"/>
        <w:gridCol w:w="1492"/>
        <w:gridCol w:w="1194"/>
        <w:gridCol w:w="898"/>
      </w:tblGrid>
      <w:tr w:rsidR="00EF6FA5" w:rsidRPr="00414345" w:rsidTr="00A324F4">
        <w:trPr>
          <w:jc w:val="center"/>
        </w:trPr>
        <w:tc>
          <w:tcPr>
            <w:tcW w:type="dxa" w:w="161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r w:rsidR="00200FAB" w:rsidRPr="00414345">
              <w:rPr>
                <w:color w:val="000000"/>
                <w:sz w:val="24"/>
                <w:szCs w:val="24"/>
              </w:rPr>
              <w:t/>
            </w:r>
          </w:p>
        </w:tc>
        <w:tc>
          <w:tcPr>
            <w:tcW w:type="dxa" w:w="992"/>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type="dxa" w:w="1276"/>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type="dxa" w:w="113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type="dxa" w:w="1417"/>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type="dxa" w:w="113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type="dxa" w:w="853"/>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tc>
          <w:tcPr>
            <w:vAlign w:val="center"/>
          </w:tcPr>
          <w:p>
            <w:pPr>
              <w:jc w:val="left"/>
            </w:pPr>
            <w:r>
              <w:rPr>
                <w:color w:val="000000"/>
                <w:sz w:val="24"/>
                <w:szCs w:val="24"/>
              </w:rPr>
              <w:t>过去三个月</w:t>
            </w:r>
          </w:p>
        </w:tc>
        <w:tc>
          <w:tcPr>
            <w:vAlign w:val="center"/>
          </w:tcPr>
          <w:p>
            <w:pPr>
              <w:jc w:val="center"/>
            </w:pPr>
            <w:r>
              <w:rPr>
                <w:color w:val="000000"/>
                <w:sz w:val="24"/>
                <w:szCs w:val="24"/>
              </w:rPr>
              <w:t>0.00%</w:t>
            </w:r>
          </w:p>
        </w:tc>
        <w:tc>
          <w:tcPr>
            <w:vAlign w:val="center"/>
          </w:tcPr>
          <w:p>
            <w:pPr>
              <w:jc w:val="center"/>
            </w:pPr>
            <w:r>
              <w:rPr>
                <w:color w:val="000000"/>
                <w:sz w:val="24"/>
                <w:szCs w:val="24"/>
              </w:rPr>
              <w:t>0.23%</w:t>
            </w:r>
          </w:p>
        </w:tc>
        <w:tc>
          <w:tcPr>
            <w:vAlign w:val="center"/>
          </w:tcPr>
          <w:p>
            <w:pPr>
              <w:jc w:val="center"/>
            </w:pPr>
            <w:r>
              <w:rPr>
                <w:color w:val="000000"/>
                <w:sz w:val="24"/>
                <w:szCs w:val="24"/>
              </w:rPr>
              <w:t>1.85%</w:t>
            </w:r>
          </w:p>
        </w:tc>
        <w:tc>
          <w:tcPr>
            <w:vAlign w:val="center"/>
          </w:tcPr>
          <w:p>
            <w:pPr>
              <w:jc w:val="center"/>
            </w:pPr>
            <w:r>
              <w:rPr>
                <w:color w:val="000000"/>
                <w:sz w:val="24"/>
                <w:szCs w:val="24"/>
              </w:rPr>
              <w:t>0.10%</w:t>
            </w:r>
          </w:p>
        </w:tc>
        <w:tc>
          <w:tcPr>
            <w:vAlign w:val="center"/>
          </w:tcPr>
          <w:p>
            <w:pPr>
              <w:jc w:val="center"/>
            </w:pPr>
            <w:r>
              <w:rPr>
                <w:color w:val="000000"/>
                <w:sz w:val="24"/>
                <w:szCs w:val="24"/>
              </w:rPr>
              <w:t>-1.85%</w:t>
            </w:r>
          </w:p>
        </w:tc>
        <w:tc>
          <w:tcPr>
            <w:vAlign w:val="center"/>
          </w:tcPr>
          <w:p>
            <w:pPr>
              <w:jc w:val="center"/>
            </w:pPr>
            <w:r>
              <w:rPr>
                <w:color w:val="000000"/>
                <w:sz w:val="24"/>
                <w:szCs w:val="24"/>
              </w:rPr>
              <w:t>0.13%</w:t>
            </w:r>
          </w:p>
        </w:tc>
      </w:tr>
    </w:tbl>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自基金转型以来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P="00C15CAC" w:rsidR="008606B6" w:rsidRDefault="008606B6" w:rsidRPr="00414345">
      <w:pPr>
        <w:spacing w:before="29" w:line="288" w:lineRule="auto"/>
        <w:jc w:val="center"/>
        <w:rPr>
          <w:color w:val="000000"/>
          <w:sz w:val="24"/>
          <w:szCs w:val="24"/>
        </w:rPr>
      </w:pPr>
      <w:r w:rsidRPr="00414345">
        <w:rPr>
          <w:color w:val="000000"/>
          <w:sz w:val="24"/>
          <w:szCs w:val="24"/>
        </w:rPr>
        <w:t>交银施罗德安心收益债券型证券投资基金</w:t>
      </w:r>
    </w:p>
    <w:p w:rsidP="00C15CAC" w:rsidR="004061AC" w:rsidRDefault="00B56F53" w:rsidRPr="00414345">
      <w:pPr>
        <w:pStyle w:val="a5"/>
        <w:snapToGrid w:val="0"/>
        <w:spacing w:before="29" w:line="288" w:lineRule="auto"/>
        <w:jc w:val="center"/>
        <w:rPr>
          <w:rFonts w:ascii="Times New Roman" w:cs="Times New Roman" w:hAnsi="Times New Roman"/>
          <w:color w:val="000000"/>
          <w:sz w:val="24"/>
          <w:szCs w:val="24"/>
        </w:rPr>
      </w:pPr>
      <w:r w:rsidRPr="00414345">
        <w:rPr>
          <w:rFonts w:ascii="Times New Roman" w:cs="Times New Roman" w:hAnsi="Times New Roman"/>
          <w:color w:val="000000"/>
          <w:sz w:val="24"/>
          <w:szCs w:val="24"/>
        </w:rPr>
        <w:t>份额累计净值增长率与业绩比较基准收益率历史走势对比图</w:t>
      </w:r>
    </w:p>
    <w:p w:rsidP="00C15CAC" w:rsidR="00AE7962" w:rsidRDefault="00DE4B43" w:rsidRPr="00414345">
      <w:pPr>
        <w:pStyle w:val="a5"/>
        <w:snapToGrid w:val="0"/>
        <w:spacing w:before="29" w:line="288" w:lineRule="auto"/>
        <w:ind w:firstLine="480"/>
        <w:jc w:val="center"/>
        <w:rPr>
          <w:rFonts w:ascii="Times New Roman" w:cs="Times New Roman" w:hAnsi="Times New Roman"/>
          <w:sz w:val="24"/>
          <w:szCs w:val="24"/>
        </w:rPr>
      </w:pPr>
      <w:r w:rsidRPr="00414345">
        <w:rPr>
          <w:rFonts w:ascii="Times New Roman" w:cs="Times New Roman" w:hAnsi="Times New Roman"/>
          <w:color w:val="000000"/>
          <w:sz w:val="24"/>
          <w:szCs w:val="24"/>
        </w:rPr>
        <w:lastRenderedPageBreak/>
        <w:t>（</w:t>
      </w:r>
      <w:r w:rsidR="0042009D" w:rsidRPr="00414345">
        <w:rPr>
          <w:rFonts w:ascii="Times New Roman" w:cs="Times New Roman" w:hAnsi="Times New Roman"/>
          <w:sz w:val="24"/>
          <w:szCs w:val="24"/>
        </w:rPr>
        <w:t>2018年6月2日</w:t>
      </w:r>
      <w:r w:rsidR="00AE7962" w:rsidRPr="00414345">
        <w:rPr>
          <w:rFonts w:ascii="Times New Roman" w:cs="Times New Roman" w:hAnsi="Times New Roman"/>
          <w:sz w:val="24"/>
          <w:szCs w:val="24"/>
        </w:rPr>
        <w:t>至</w:t>
      </w:r>
      <w:r w:rsidR="00AE7962" w:rsidRPr="00414345">
        <w:rPr>
          <w:rFonts w:ascii="Times New Roman" w:cs="Times New Roman" w:hAnsi="Times New Roman"/>
          <w:sz w:val="24"/>
          <w:szCs w:val="24"/>
        </w:rPr>
        <w:t>2020年3月31日</w:t>
      </w:r>
      <w:r w:rsidRPr="00414345">
        <w:rPr>
          <w:rFonts w:ascii="Times New Roman" w:cs="Times New Roman" w:hAnsi="Times New Roman"/>
          <w:color w:val="000000"/>
          <w:sz w:val="24"/>
          <w:szCs w:val="24"/>
        </w:rPr>
        <w:t>）</w:t>
      </w:r>
    </w:p>
    <w:p w:rsidP="00C15CAC" w:rsidR="004061AC" w:rsidRDefault="00B816A7" w:rsidRPr="00414345">
      <w:pPr>
        <w:pStyle w:val="a5"/>
        <w:snapToGrid w:val="0"/>
        <w:spacing w:before="29" w:line="288" w:lineRule="auto"/>
        <w:jc w:val="center"/>
        <w:rPr>
          <w:rFonts w:ascii="Times New Roman" w:cs="Times New Roman" w:hAnsi="Times New Roman"/>
          <w:color w:val="000000"/>
          <w:sz w:val="24"/>
          <w:szCs w:val="24"/>
        </w:rPr>
      </w:pPr>
      <w:r w:rsidRPr="00414345">
        <w:rPr>
          <w:rFonts w:ascii="Times New Roman" w:cs="Times New Roman" w:hAnsi="Times New Roman"/>
          <w:noProof/>
          <w:color w:val="000000"/>
          <w:sz w:val="24"/>
          <w:szCs w:val="24"/>
        </w:rPr>
        <w:drawing>
          <wp:inline distB="0" distL="0" distR="0" distT="0">
            <wp:extent cx="5731510" cy="3356610"/>
            <wp:effectExtent b="0" l="19050" r="2540" t="0"/>
            <wp:docPr descr="走势图1.jpg"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cstate="print" r:embed="rId14"/>
                    <a:stretch>
                      <a:fillRect/>
                    </a:stretch>
                  </pic:blipFill>
                  <pic:spPr>
                    <a:xfrm>
                      <a:off x="0" y="0"/>
                      <a:ext cx="5731510" cy="3356610"/>
                    </a:xfrm>
                    <a:prstGeom prst="rect">
                      <a:avLst/>
                    </a:prstGeom>
                  </pic:spPr>
                </pic:pic>
              </a:graphicData>
            </a:graphic>
          </wp:inline>
        </w:drawing>
      </w:r>
    </w:p>
    <w:p w:rsidP="00C15CAC" w:rsidR="004061AC" w:rsidRDefault="001C79F2"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8700EC" w:rsidRPr="00414345">
        <w:rPr>
          <w:color w:val="000000"/>
          <w:sz w:val="24"/>
          <w:szCs w:val="24"/>
        </w:rPr>
        <w:t/>
      </w:r>
      <w:r w:rsidRPr="00414345">
        <w:rPr>
          <w:color w:val="000000"/>
          <w:sz w:val="24"/>
          <w:szCs w:val="24"/>
        </w:rPr>
        <w:t/>
      </w:r>
      <w:r w:rsidR="004061AC" w:rsidRPr="00414345">
        <w:rPr>
          <w:color w:val="000000"/>
          <w:sz w:val="24"/>
          <w:szCs w:val="24"/>
        </w:rPr>
        <w:t>注：本基金由交银施罗德荣和保本混合型证券投资基金转型而来。本基金转型日为2018年6月2日。本基金的投资转型期为交银施罗德荣和保本混合型证券投资基金保本周期到期期间截止日的次日（即2018年6月2日）起的3个月。截至投资转型期结束，本基金各项资产配置比例符合基金合同及招募说明书有关投资比例的约定。</w:t>
      </w:r>
    </w:p>
    <w:p w:rsidP="00C15CAC" w:rsidR="00957594" w:rsidRDefault="00957594" w:rsidRPr="00414345">
      <w:pPr>
        <w:tabs>
          <w:tab w:pos="1800" w:val="left"/>
        </w:tabs>
        <w:spacing w:before="29" w:line="288" w:lineRule="auto"/>
        <w:rPr>
          <w:color w:val="000000"/>
          <w:sz w:val="24"/>
          <w:szCs w:val="24"/>
        </w:rPr>
      </w:pPr>
    </w:p>
    <w:p w:rsidP="00C15CAC" w:rsidR="00693843" w:rsidRDefault="00693843" w:rsidRPr="00414345">
      <w:pPr>
        <w:tabs>
          <w:tab w:pos="1800" w:val="left"/>
        </w:tabs>
        <w:spacing w:before="29" w:line="288" w:lineRule="auto"/>
        <w:rPr>
          <w:color w:val="000000"/>
          <w:sz w:val="24"/>
          <w:szCs w:val="24"/>
        </w:rPr>
      </w:pP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P="00C15CAC" w:rsidR="00B12B7D"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0" w:val="00A0"/>
      </w:tblPr>
      <w:tblGrid>
        <w:gridCol w:w="846"/>
        <w:gridCol w:w="845"/>
        <w:gridCol w:w="1549"/>
        <w:gridCol w:w="1548"/>
        <w:gridCol w:w="1407"/>
        <w:gridCol w:w="2673"/>
      </w:tblGrid>
      <w:tr w:rsidR="00286BEF" w:rsidRPr="00414345" w:rsidTr="006A10AB">
        <w:trPr>
          <w:trHeight w:val="292"/>
          <w:jc w:val="center"/>
        </w:trPr>
        <w:tc>
          <w:tcPr>
            <w:tcW w:type="dxa" w:w="851"/>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type="dxa" w:w="850"/>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type="dxa" w:w="3119"/>
            <w:gridSpan w:val="2"/>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type="dxa" w:w="1417"/>
            <w:vMerge w:val="restart"/>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w:t>
            </w:r>
            <w:r w:rsidRPr="00414345">
              <w:rPr>
                <w:color w:val="000000"/>
                <w:kern w:val="0"/>
                <w:sz w:val="24"/>
                <w:szCs w:val="24"/>
              </w:rPr>
              <w:lastRenderedPageBreak/>
              <w:t>年限</w:t>
            </w:r>
          </w:p>
        </w:tc>
        <w:tc>
          <w:tcPr>
            <w:tcW w:type="dxa" w:w="2694"/>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lastRenderedPageBreak/>
              <w:t>说明</w:t>
            </w:r>
          </w:p>
        </w:tc>
      </w:tr>
      <w:tr w:rsidR="00D13737" w:rsidRPr="00414345" w:rsidTr="006A10AB">
        <w:trPr>
          <w:jc w:val="center"/>
        </w:trPr>
        <w:tc>
          <w:tcPr>
            <w:tcW w:type="dxa" w:w="851"/>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850"/>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1560"/>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type="dxa" w:w="1559"/>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type="dxa" w:w="1417"/>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2694"/>
            <w:vMerge/>
            <w:vAlign w:val="center"/>
          </w:tcPr>
          <w:p w:rsidP="00C15CAC" w:rsidR="004061AC" w:rsidRDefault="004061AC" w:rsidRPr="00414345">
            <w:pPr>
              <w:widowControl/>
              <w:spacing w:before="29" w:line="288" w:lineRule="auto"/>
              <w:jc w:val="left"/>
              <w:rPr>
                <w:color w:val="000000"/>
                <w:kern w:val="0"/>
                <w:sz w:val="24"/>
                <w:szCs w:val="24"/>
              </w:rPr>
            </w:pPr>
          </w:p>
        </w:tc>
      </w:tr>
      <w:tr>
        <w:tc>
          <w:tcPr>
            <w:vAlign w:val="center"/>
          </w:tcPr>
          <w:p>
            <w:pPr>
              <w:jc w:val="center"/>
            </w:pPr>
            <w:r>
              <w:rPr>
                <w:color w:val="000000"/>
                <w:sz w:val="24"/>
                <w:szCs w:val="24"/>
              </w:rPr>
              <w:t>王艺伟</w:t>
            </w:r>
          </w:p>
        </w:tc>
        <w:tc>
          <w:tcPr>
            <w:vAlign w:val="center"/>
          </w:tcPr>
          <w:p>
            <w:pPr>
              <w:jc w:val="center"/>
            </w:pPr>
            <w:r>
              <w:rPr>
                <w:color w:val="000000"/>
                <w:sz w:val="24"/>
                <w:szCs w:val="24"/>
              </w:rPr>
              <w:t>交银安心收益债券、交银荣鑫灵活配置混合的基金经理</w:t>
            </w:r>
          </w:p>
        </w:tc>
        <w:tc>
          <w:tcPr>
            <w:vAlign w:val="center"/>
          </w:tcPr>
          <w:p>
            <w:pPr>
              <w:jc w:val="center"/>
            </w:pPr>
            <w:r>
              <w:rPr>
                <w:color w:val="000000"/>
                <w:sz w:val="24"/>
                <w:szCs w:val="24"/>
              </w:rPr>
              <w:t>2019-11-28</w:t>
            </w:r>
          </w:p>
        </w:tc>
        <w:tc>
          <w:tcPr>
            <w:vAlign w:val="center"/>
          </w:tcPr>
          <w:p>
            <w:pPr>
              <w:jc w:val="center"/>
            </w:pPr>
            <w:r>
              <w:rPr>
                <w:color w:val="000000"/>
                <w:sz w:val="24"/>
                <w:szCs w:val="24"/>
              </w:rPr>
              <w:t>-</w:t>
            </w:r>
          </w:p>
        </w:tc>
        <w:tc>
          <w:tcPr>
            <w:vAlign w:val="center"/>
          </w:tcPr>
          <w:p>
            <w:pPr>
              <w:jc w:val="center"/>
            </w:pPr>
            <w:r>
              <w:rPr>
                <w:color w:val="000000"/>
                <w:sz w:val="24"/>
                <w:szCs w:val="24"/>
              </w:rPr>
              <w:t>8年</w:t>
            </w:r>
          </w:p>
        </w:tc>
        <w:tc>
          <w:tcPr>
            <w:vAlign w:val="center"/>
          </w:tcPr>
          <w:p>
            <w:pPr>
              <w:jc w:val="both"/>
            </w:pPr>
            <w:r>
              <w:rPr>
                <w:color w:val="000000"/>
                <w:sz w:val="24"/>
                <w:szCs w:val="24"/>
              </w:rPr>
              <w:t>王艺伟女士，北京大学经济学硕士，吉林大学经济学学士、理学学士。2012年-2014年任光大证券研究所宏观分析师。2014年9月加入交银施罗德基金管理有限公司，历任研究员、研究部助理总经理、基金经理助理。</w:t>
            </w:r>
          </w:p>
        </w:tc>
      </w:tr>
    </w:tbl>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注：基金经理（或基金经理小组）期后变动（如有）敬请关注基金管理人发布的相关公告。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P="00C15CAC" w:rsidR="004061AC" w:rsidRDefault="004061AC" w:rsidRPr="00414345">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pPr>
        <w:spacing w:before="29" w:line="288" w:lineRule="auto"/>
        <w:ind w:firstLine="480" w:firstLineChars="20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pPr>
        <w:spacing w:before="29" w:line="288" w:lineRule="auto"/>
        <w:ind w:firstLine="480" w:firstLineChars="20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pPr>
        <w:spacing w:before="29" w:line="288" w:lineRule="auto"/>
        <w:ind w:firstLine="480" w:firstLineChars="20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
      </w:r>
      <w:r w:rsidR="00957594" w:rsidRPr="00414345">
        <w:rPr>
          <w:color w:val="000000"/>
          <w:sz w:val="24"/>
          <w:szCs w:val="24"/>
        </w:rPr>
        <w:t/>
      </w:r>
      <w:r w:rsidRPr="00414345">
        <w:rPr>
          <w:color w:val="000000"/>
          <w:sz w:val="24"/>
          <w:szCs w:val="24"/>
        </w:rPr>
        <w:t>报告期内本公司严格执行公平交易制度，公平对待旗下各投资组合，未发现任何违反公平交易的行为。</w:t>
      </w:r>
    </w:p>
    <w:p w:rsidP="00C15CAC" w:rsidR="004061AC" w:rsidRDefault="004061AC" w:rsidRPr="00414345">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P="00C15CAC" w:rsidR="004061AC" w:rsidRDefault="00957594" w:rsidRPr="00414345">
      <w:pPr>
        <w:spacing w:before="29" w:line="288" w:lineRule="auto"/>
        <w:ind w:firstLine="480" w:firstLineChars="20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5%的情形，本基金与本公司管理的其他投资组合在不同时间窗下（如日内、3日内、5日内）同向交易的交易价差未出现异常。</w:t>
      </w:r>
    </w:p>
    <w:p w:rsidP="00C15CAC" w:rsidR="004061AC" w:rsidRDefault="004061AC" w:rsidRPr="00414345">
      <w:pPr>
        <w:spacing w:before="29" w:line="288" w:lineRule="auto"/>
        <w:ind w:firstLine="480" w:firstLineChars="200"/>
        <w:rPr>
          <w:color w:val="000000"/>
          <w:sz w:val="24"/>
          <w:szCs w:val="24"/>
        </w:rPr>
      </w:pPr>
    </w:p>
    <w:p w:rsidP="00C15CAC" w:rsidR="004061AC" w:rsidRDefault="00D44EE8" w:rsidRPr="00414345">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pPr>
        <w:spacing w:before="29" w:line="288" w:lineRule="auto"/>
        <w:ind w:firstLine="480" w:firstLineChars="200"/>
        <w:rPr>
          <w:color w:val="000000"/>
          <w:sz w:val="24"/>
          <w:szCs w:val="24"/>
        </w:rPr>
      </w:pPr>
      <w:r>
        <w:rPr>
          <w:color w:val="000000"/>
          <w:sz w:val="24"/>
          <w:szCs w:val="24"/>
        </w:rPr>
        <w:t>本报告期内，疫情对经济基本面的冲击以及对政策带来的挑战亦影响到大类资产价格的走势，债券收益率受经济下行压力及货币政策宽松影响而持续走低。一月初，经济企稳预期较强，不过央行通过降准、公开市场操作等方式为市场注入流动性，以熨平春节前后资金价格波动，令债市收益率相对稳定；一月下旬起，肺炎疫情扩散引发的避险情绪令债券收益率持续下行；步入三月，海外疫情加速扩散以及联储的宽松使得避险情绪进一步升温，尤其在流动性风险得到控制后，国内债券收益率经历短暂回调后继续下行，三月底，十年期国开债新券收益率下行突破3%。</w:t>
      </w:r>
    </w:p>
    <w:p>
      <w:pPr>
        <w:spacing w:before="29" w:line="288" w:lineRule="auto"/>
        <w:ind w:firstLine="480" w:firstLineChars="200"/>
        <w:rPr>
          <w:color w:val="000000"/>
          <w:sz w:val="24"/>
          <w:szCs w:val="24"/>
        </w:rPr>
      </w:pPr>
      <w:r>
        <w:rPr>
          <w:color w:val="000000"/>
          <w:sz w:val="24"/>
          <w:szCs w:val="24"/>
        </w:rPr>
        <w:t>一季度，以海内外疫情为分水岭，权益市场的主线经历了成长至内需的切换。开年科技主线延续强势，国内疫情蔓延继续强化这一趋势，部分消费和周期承压；随着海外确诊数攀升，经济压力增加，同时包括科技在内的很多产业链的需求和供应均受到影响，市场风格逐步切换至内需和基建产业链。从行业看，防疫相关的医药产业、线上零售、休闲零食以及农业等产业领涨，餐饮旅游、交通运输以及地产产业链等板块表现相对弱势。</w:t>
      </w:r>
    </w:p>
    <w:p>
      <w:pPr>
        <w:spacing w:before="29" w:line="288" w:lineRule="auto"/>
        <w:ind w:firstLine="480" w:firstLineChars="200"/>
        <w:rPr>
          <w:color w:val="000000"/>
          <w:sz w:val="24"/>
          <w:szCs w:val="24"/>
        </w:rPr>
      </w:pPr>
      <w:r>
        <w:rPr>
          <w:color w:val="000000"/>
          <w:sz w:val="24"/>
          <w:szCs w:val="24"/>
        </w:rPr>
        <w:t>我们认为，在海外疫情没有看到确定性的改善信号前，经济下行的担忧始终存在，因此看好债券，权益市场则以结构性行情为主，相对看好低估值受益于逆周期调控政策相关行业的机会。在基金操作中，债券部分我们维持中短久期利率债主仓位配置，同时增配了长端利率，以获取资本利得及票息收入。权益方面，针对疫情的扩散情况，本基金第一时间调整持仓结构，并逐步降低仓位，以控制回撤。组合继续积极参与转债和权益一级申购，以增厚收益。</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展望2020年二季度，我们认为疫情对于全球经济的冲击将逐步体现，全球政策大概率维持相对宽松。国内方面，我们将继续期待逆周期调控政策以稳定企业信心和就业。因此，我们相对看好债券的配置价值，组合底仓将以中短久期利率和高等级为主，并将择机适当增配长端利率品种。权益方面，考虑到全球疫情的不确定性以及经济基本面下行对企业盈利的冲击，没有看到相对确定的改善信号前，本基金将控制仓位，布局方向主要为低估值逆周期调控品种，以及细分赛道中业绩能够看到持续改善的龙头品种。</w:t>
      </w:r>
    </w:p>
    <w:p w:rsidP="00C15CAC" w:rsidR="00627E2D" w:rsidRDefault="00627E2D" w:rsidRPr="00414345">
      <w:pPr>
        <w:spacing w:before="29" w:line="288" w:lineRule="auto"/>
        <w:ind w:firstLine="480" w:firstLineChars="200"/>
        <w:rPr>
          <w:color w:val="000000"/>
          <w:sz w:val="24"/>
          <w:szCs w:val="24"/>
        </w:rPr>
      </w:pPr>
    </w:p>
    <w:p w:rsidP="00C15CAC" w:rsidR="004061AC" w:rsidRDefault="00D44EE8" w:rsidRPr="00414345">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本基金（各类）份额净值及业绩表现请见“3.1主要财务指标” 及“3.2.1 本报告期基金份额净值增长率及其与同期业绩比较基准收益率的比较”部分披露。</w:t>
      </w:r>
    </w:p>
    <w:p w:rsidP="00C15CAC" w:rsidR="009C5186" w:rsidRDefault="009C5186" w:rsidRPr="00414345">
      <w:pPr>
        <w:spacing w:before="29" w:line="288" w:lineRule="auto"/>
        <w:ind w:firstLine="480" w:firstLineChars="200"/>
        <w:rPr>
          <w:color w:val="000000"/>
          <w:sz w:val="24"/>
          <w:szCs w:val="24"/>
        </w:rPr>
      </w:pPr>
    </w:p>
    <w:p w:rsidP="00421CD2" w:rsidR="00421CD2" w:rsidRDefault="00421CD2" w:rsidRPr="002070B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P="00421CD2" w:rsidR="00421CD2" w:rsidRDefault="00421CD2">
      <w:pPr>
        <w:spacing w:before="29" w:line="288" w:lineRule="auto"/>
        <w:ind w:firstLine="480" w:firstLineChars="200"/>
        <w:rPr>
          <w:color w:val="000000"/>
          <w:sz w:val="24"/>
        </w:rPr>
      </w:pPr>
      <w:r w:rsidRPr="002070B4">
        <w:rPr>
          <w:color w:val="000000"/>
          <w:sz w:val="24"/>
        </w:rPr>
        <w:t>本基金本报告期内无需预警说明。</w:t>
      </w: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P="00BF0019" w:rsidR="00BF0019" w:rsidRDefault="00BF0019">
      <w:pPr>
        <w:autoSpaceDE w:val="0"/>
        <w:autoSpaceDN w:val="0"/>
        <w:adjustRightInd w:val="0"/>
        <w:spacing w:line="360" w:lineRule="auto"/>
        <w:jc w:val="left"/>
        <w:rPr>
          <w:rFonts w:eastAsiaTheme="minorEastAsia"/>
          <w:b/>
          <w:color w:themeColor="text1" w:val="000000"/>
          <w:kern w:val="0"/>
          <w:sz w:val="24"/>
          <w:szCs w:val="24"/>
        </w:rPr>
      </w:pPr>
      <w:r w:rsidRPr="007B5F21">
        <w:rPr>
          <w:rFonts w:eastAsiaTheme="minorEastAsia"/>
          <w:b/>
          <w:color w:themeColor="text1" w:val="000000"/>
          <w:kern w:val="0"/>
          <w:sz w:val="24"/>
          <w:szCs w:val="24"/>
        </w:rPr>
        <w:t xml:space="preserve">5.1 </w:t>
      </w:r>
      <w:r w:rsidRPr="007B5F21">
        <w:rPr>
          <w:rFonts w:eastAsiaTheme="minorEastAsia"/>
          <w:b/>
          <w:color w:themeColor="text1" w:val="000000"/>
          <w:kern w:val="0"/>
          <w:sz w:val="24"/>
          <w:szCs w:val="24"/>
        </w:rPr>
        <w:t>报告期末基金资产组合情况</w:t>
      </w:r>
    </w:p>
    <w:p w:rsidP="009C1009" w:rsidR="006B5F69" w:rsidRDefault="009C1009" w:rsidRPr="007B5F21">
      <w:pPr>
        <w:autoSpaceDE w:val="0"/>
        <w:autoSpaceDN w:val="0"/>
        <w:adjustRightInd w:val="0"/>
        <w:spacing w:line="360" w:lineRule="auto"/>
        <w:jc w:val="right"/>
        <w:rPr>
          <w:rFonts w:eastAsiaTheme="minorEastAsia"/>
          <w:b/>
          <w:color w:themeColor="text1" w:val="000000"/>
          <w:kern w:val="0"/>
          <w:sz w:val="24"/>
          <w:szCs w:val="24"/>
        </w:rPr>
      </w:pPr>
      <w:r w:rsidRPr="009C1009">
        <w:rPr>
          <w:rFonts w:hint="eastAsia"/>
          <w:color w:val="000000"/>
          <w:kern w:val="0"/>
        </w:rPr>
        <w:t/>
      </w:r>
      <w:r w:rsidRPr="009C1009">
        <w:rPr>
          <w:rFonts w:hint="eastAsia"/>
          <w:color w:val="000000"/>
          <w:kern w:val="0"/>
        </w:rPr>
        <w:t>金额单位：人民币元</w:t>
      </w:r>
    </w:p>
    <w:tbl>
      <w:tblPr>
        <w:tblStyle w:val="af7"/>
        <w:tblW w:type="dxa" w:w="8897"/>
        <w:tblInd w:type="dxa" w:w="108"/>
        <w:tblLayout w:type="fixed"/>
        <w:tblLook w:firstColumn="1" w:firstRow="1" w:lastColumn="0" w:lastRow="0" w:noHBand="0" w:noVBand="1" w:val="04A0"/>
      </w:tblPr>
      <w:tblGrid>
        <w:gridCol w:w="720"/>
        <w:gridCol w:w="2682"/>
        <w:gridCol w:w="2552"/>
        <w:gridCol w:w="2943"/>
      </w:tblGrid>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序号</w:t>
            </w:r>
          </w:p>
        </w:tc>
        <w:tc>
          <w:tcPr>
            <w:tcW w:type="dxa" w:w="2682"/>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项目</w:t>
            </w:r>
          </w:p>
        </w:tc>
        <w:tc>
          <w:tcPr>
            <w:tcW w:type="dxa" w:w="2552"/>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金额</w:t>
            </w:r>
          </w:p>
        </w:tc>
        <w:tc>
          <w:tcPr>
            <w:tcW w:type="dxa" w:w="2943"/>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占基金总资产的比例</w:t>
            </w:r>
            <w:r w:rsidR="0018138B">
              <w:rPr>
                <w:rFonts w:eastAsiaTheme="minorEastAsia" w:hint="eastAsia"/>
                <w:color w:themeColor="text1" w:val="000000"/>
                <w:sz w:val="24"/>
                <w:szCs w:val="24"/>
              </w:rPr>
              <w:t>(</w:t>
            </w:r>
            <w:r w:rsidR="0018138B">
              <w:rPr>
                <w:rFonts w:eastAsiaTheme="minorEastAsia"/>
                <w:color w:themeColor="text1" w:val="000000"/>
                <w:sz w:val="24"/>
                <w:szCs w:val="24"/>
              </w:rPr>
              <w:t>%</w:t>
            </w:r>
            <w:r w:rsidR="0018138B">
              <w:rPr>
                <w:rFonts w:eastAsiaTheme="minorEastAsia" w:hint="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lastRenderedPageBreak/>
              <w:t>1</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权益投资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4,007,713.65</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2.96</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其中：股票</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4,007,713.65</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2.96</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2</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ascii="宋体" w:hAnsi="宋体" w:hint="eastAsia"/>
                <w:sz w:val="24"/>
                <w:szCs w:val="24"/>
              </w:rPr>
              <w:t>基金投资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hint="eastAsia"/>
                <w:color w:themeColor="text1" w:val="000000"/>
                <w:sz w:val="24"/>
                <w:szCs w:val="24"/>
              </w:rPr>
              <w:t/>
            </w:r>
            <w:r w:rsidRPr="007B5F21">
              <w:rPr>
                <w:rFonts w:eastAsiaTheme="minorEastAsia"/>
                <w:color w:themeColor="text1" w:val="000000"/>
                <w:sz w:val="24"/>
                <w:szCs w:val="24"/>
              </w:rPr>
              <w:t/>
            </w:r>
            <w:r w:rsidRPr="007B5F21">
              <w:rPr>
                <w:rFonts w:eastAsiaTheme="minorEastAsia" w:hint="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hint="eastAsia"/>
                <w:color w:themeColor="text1" w:val="000000"/>
                <w:sz w:val="24"/>
                <w:szCs w:val="24"/>
              </w:rPr>
              <w:t/>
            </w:r>
            <w:r w:rsidRPr="007B5F21">
              <w:rPr>
                <w:rFonts w:eastAsiaTheme="minorEastAsia"/>
                <w:color w:themeColor="text1" w:val="000000"/>
                <w:sz w:val="24"/>
                <w:szCs w:val="24"/>
              </w:rPr>
              <w:t/>
            </w:r>
            <w:r w:rsidRPr="007B5F21">
              <w:rPr>
                <w:rFonts w:eastAsiaTheme="minorEastAsia" w:hint="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3</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固定收益投资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123,693,403.90</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91.29</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其中：债券</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123,693,403.90</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91.29</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7B5F21" w:rsidR="00BF0019" w:rsidRDefault="00BF0019" w:rsidRPr="007B5F21">
            <w:pPr>
              <w:autoSpaceDE w:val="0"/>
              <w:autoSpaceDN w:val="0"/>
              <w:adjustRightInd w:val="0"/>
              <w:spacing w:before="29" w:line="360" w:lineRule="auto"/>
              <w:ind w:firstLine="720" w:firstLineChars="300" w:left="17"/>
              <w:jc w:val="left"/>
              <w:rPr>
                <w:rFonts w:eastAsiaTheme="minorEastAsia"/>
                <w:color w:themeColor="text1" w:val="000000"/>
                <w:sz w:val="24"/>
                <w:szCs w:val="24"/>
              </w:rPr>
            </w:pPr>
            <w:r w:rsidRPr="007B5F21">
              <w:rPr>
                <w:rFonts w:eastAsiaTheme="minorEastAsia"/>
                <w:color w:themeColor="text1" w:val="000000"/>
                <w:sz w:val="24"/>
                <w:szCs w:val="24"/>
              </w:rPr>
              <w:t>资产支持证券</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4</w:t>
            </w:r>
          </w:p>
        </w:tc>
        <w:tc>
          <w:tcPr>
            <w:tcW w:type="dxa" w:w="2682"/>
            <w:vAlign w:val="center"/>
          </w:tcPr>
          <w:p w:rsidP="002D2971" w:rsidR="00BF0019" w:rsidRDefault="00BF0019" w:rsidRPr="007B5F21">
            <w:pPr>
              <w:spacing w:before="29" w:line="360" w:lineRule="auto"/>
              <w:ind w:left="105" w:leftChars="50"/>
              <w:rPr>
                <w:rFonts w:eastAsiaTheme="minorEastAsia"/>
                <w:color w:themeColor="text1" w:val="000000"/>
                <w:sz w:val="24"/>
                <w:szCs w:val="24"/>
              </w:rPr>
            </w:pPr>
            <w:r w:rsidRPr="007B5F21">
              <w:rPr>
                <w:rFonts w:eastAsiaTheme="minorEastAsia"/>
                <w:color w:themeColor="text1" w:val="000000"/>
                <w:sz w:val="24"/>
                <w:szCs w:val="24"/>
              </w:rPr>
              <w:t>贵金属投资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5</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金融衍生品投资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6</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买入返售金融资产</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color w:themeColor="text1" w:val="000000"/>
                <w:sz w:val="24"/>
                <w:szCs w:val="24"/>
              </w:rPr>
              <w:lastRenderedPageBreak/>
              <w:t>4,800,000.00</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lastRenderedPageBreak/>
              <w:t/>
            </w:r>
            <w:r w:rsidRPr="007B5F21">
              <w:rPr>
                <w:rFonts w:eastAsiaTheme="minorEastAsia"/>
                <w:color w:themeColor="text1" w:val="000000"/>
                <w:sz w:val="24"/>
                <w:szCs w:val="24"/>
              </w:rPr>
              <w:lastRenderedPageBreak/>
              <w:t>3.54</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其中：买断式回购的买入返售金融资产</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7</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银行存款和结算备付金合计</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780,958.95</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0.58</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hint="eastAsia"/>
                <w:color w:themeColor="text1" w:val="000000"/>
                <w:sz w:val="24"/>
                <w:szCs w:val="24"/>
              </w:rPr>
              <w:t/>
            </w:r>
            <w:r w:rsidRPr="007B5F21">
              <w:rPr>
                <w:rFonts w:eastAsiaTheme="minorEastAsia"/>
                <w:color w:themeColor="text1" w:val="000000"/>
                <w:sz w:val="24"/>
                <w:szCs w:val="24"/>
              </w:rPr>
              <w:t>8</w:t>
            </w:r>
          </w:p>
        </w:tc>
        <w:tc>
          <w:tcPr>
            <w:tcW w:type="dxa" w:w="2682"/>
            <w:vAlign w:val="center"/>
          </w:tcPr>
          <w:p w:rsidP="002D2971" w:rsidR="00BF0019" w:rsidRDefault="00BF0019" w:rsidRPr="007B5F21">
            <w:pPr>
              <w:spacing w:line="360" w:lineRule="auto"/>
              <w:rPr>
                <w:rFonts w:eastAsiaTheme="minorEastAsia"/>
                <w:color w:themeColor="text1" w:val="000000"/>
                <w:sz w:val="24"/>
                <w:szCs w:val="24"/>
              </w:rPr>
            </w:pPr>
            <w:r w:rsidRPr="007B5F21">
              <w:rPr>
                <w:rFonts w:eastAsiaTheme="minorEastAsia"/>
                <w:color w:themeColor="text1" w:val="000000"/>
                <w:sz w:val="24"/>
                <w:szCs w:val="24"/>
              </w:rPr>
              <w:t>其他各项资产</w:t>
            </w:r>
          </w:p>
        </w:tc>
        <w:tc>
          <w:tcPr>
            <w:tcW w:type="dxa" w:w="2552"/>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2,210,024.86</w:t>
            </w:r>
          </w:p>
        </w:tc>
        <w:tc>
          <w:tcPr>
            <w:tcW w:type="dxa" w:w="2943"/>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1.63</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hint="eastAsia"/>
                <w:color w:themeColor="text1" w:val="000000"/>
                <w:sz w:val="24"/>
                <w:szCs w:val="24"/>
              </w:rPr>
              <w:t/>
            </w:r>
            <w:r w:rsidRPr="007B5F21">
              <w:rPr>
                <w:rFonts w:eastAsiaTheme="minorEastAsia"/>
                <w:color w:themeColor="text1" w:val="000000"/>
                <w:sz w:val="24"/>
                <w:szCs w:val="24"/>
              </w:rPr>
              <w:t>9</w:t>
            </w:r>
          </w:p>
        </w:tc>
        <w:tc>
          <w:tcPr>
            <w:tcW w:type="dxa" w:w="2682"/>
            <w:vAlign w:val="center"/>
          </w:tcPr>
          <w:p w:rsidP="002D2971" w:rsidR="00BF0019" w:rsidRDefault="00BF0019" w:rsidRPr="007B5F21">
            <w:pPr>
              <w:spacing w:line="360" w:lineRule="auto"/>
              <w:rPr>
                <w:rFonts w:eastAsiaTheme="minorEastAsia"/>
                <w:color w:themeColor="text1" w:val="000000"/>
                <w:sz w:val="24"/>
                <w:szCs w:val="24"/>
              </w:rPr>
            </w:pPr>
            <w:r w:rsidRPr="007B5F21">
              <w:rPr>
                <w:rFonts w:eastAsiaTheme="minorEastAsia"/>
                <w:color w:themeColor="text1" w:val="000000"/>
                <w:sz w:val="24"/>
                <w:szCs w:val="24"/>
              </w:rPr>
              <w:t>合计</w:t>
            </w:r>
          </w:p>
        </w:tc>
        <w:tc>
          <w:tcPr>
            <w:tcW w:type="dxa" w:w="2552"/>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135,492,101.36</w:t>
            </w:r>
          </w:p>
        </w:tc>
        <w:tc>
          <w:tcPr>
            <w:tcW w:type="dxa" w:w="2943"/>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100.00</w:t>
            </w:r>
          </w:p>
        </w:tc>
      </w:tr>
    </w:tbl>
    <w:p w:rsidP="00C15CAC" w:rsidR="004061AC" w:rsidRDefault="004061AC" w:rsidRPr="00414345">
      <w:pPr>
        <w:autoSpaceDE w:val="0"/>
        <w:autoSpaceDN w:val="0"/>
        <w:adjustRightInd w:val="0"/>
        <w:spacing w:before="29" w:line="288" w:lineRule="auto"/>
        <w:jc w:val="left"/>
        <w:rPr>
          <w:color w:val="00000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P="00F51C4E" w:rsidR="00F51C4E" w:rsidRDefault="00F51C4E">
      <w:pPr>
        <w:rPr>
          <w:rFonts w:eastAsiaTheme="minorEastAsia"/>
          <w:b/>
          <w:color w:themeColor="text1" w:val="000000"/>
          <w:kern w:val="0"/>
          <w:sz w:val="24"/>
        </w:rPr>
      </w:pPr>
      <w:r w:rsidRPr="004A3846">
        <w:rPr>
          <w:b/>
          <w:color w:themeColor="text1" w:val="000000"/>
          <w:sz w:val="24"/>
        </w:rPr>
        <w:t/>
      </w:r>
      <w:r w:rsidRPr="004A3846">
        <w:rPr>
          <w:rFonts w:eastAsiaTheme="minorEastAsia" w:hint="eastAsia"/>
          <w:b/>
          <w:color w:themeColor="text1" w:val="000000"/>
          <w:kern w:val="0"/>
          <w:sz w:val="24"/>
        </w:rPr>
        <w:t>5.2.1</w:t>
      </w:r>
      <w:r w:rsidRPr="004A3846">
        <w:rPr>
          <w:rFonts w:eastAsiaTheme="minorEastAsia" w:hint="eastAsia"/>
          <w:b/>
          <w:color w:themeColor="text1" w:val="000000"/>
          <w:kern w:val="0"/>
          <w:sz w:val="24"/>
        </w:rPr>
        <w:t>报告期末按行业分类的境内股票投资组合</w:t>
      </w:r>
    </w:p>
    <w:p w:rsidP="009C1009" w:rsidR="007B2639" w:rsidRDefault="009C1009" w:rsidRPr="007B2639">
      <w:pPr>
        <w:jc w:val="right"/>
        <w:rPr>
          <w:sz w:val="24"/>
        </w:rPr>
      </w:pPr>
      <w:r w:rsidRPr="009C1009">
        <w:rPr>
          <w:rFonts w:eastAsiaTheme="minorEastAsia" w:hint="eastAsia"/>
          <w:color w:themeColor="text1" w:val="000000"/>
          <w:kern w:val="0"/>
          <w:sz w:val="24"/>
        </w:rPr>
        <w:t/>
      </w:r>
      <w:r w:rsidRPr="009C1009">
        <w:rPr>
          <w:rFonts w:eastAsiaTheme="minorEastAsia" w:hint="eastAsia"/>
          <w:color w:themeColor="text1" w:val="000000"/>
          <w:kern w:val="0"/>
          <w:sz w:val="24"/>
        </w:rPr>
        <w:t>金额单位：人民币元</w:t>
      </w:r>
    </w:p>
    <w:tbl>
      <w:tblPr>
        <w:tblW w:type="dxa" w:w="8868"/>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1"/>
          <w:left w:type="dxa" w:w="0"/>
          <w:bottom w:type="dxa" w:w="-1"/>
          <w:right w:type="dxa" w:w="0"/>
        </w:tblCellMar>
        <w:tblLook w:firstColumn="0" w:firstRow="0" w:lastColumn="0" w:lastRow="0" w:noHBand="0" w:noVBand="0" w:val="0000"/>
      </w:tblPr>
      <w:tblGrid>
        <w:gridCol w:w="845"/>
        <w:gridCol w:w="3544"/>
        <w:gridCol w:w="2841"/>
        <w:gridCol w:w="1638"/>
      </w:tblGrid>
      <w:tr w:rsidR="00531F10" w:rsidRPr="00414345" w:rsidTr="006C2C1B">
        <w:trPr>
          <w:trHeight w:val="390"/>
          <w:jc w:val="center"/>
        </w:trPr>
        <w:tc>
          <w:tcPr>
            <w:tcW w:type="dxa" w:w="845"/>
            <w:tcBorders>
              <w:top w:color="000000" w:space="0" w:sz="4" w:val="single"/>
              <w:left w:color="000000"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代码</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行业类别</w:t>
            </w:r>
            <w:r w:rsidR="005E475E" w:rsidRPr="00414345">
              <w:rPr>
                <w:sz w:val="24"/>
                <w:szCs w:val="24"/>
              </w:rPr>
              <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B11F31" w:rsidRPr="00414345">
            <w:pPr>
              <w:adjustRightInd w:val="0"/>
              <w:snapToGrid w:val="0"/>
              <w:spacing w:before="29" w:line="288" w:lineRule="auto"/>
              <w:jc w:val="center"/>
              <w:rPr>
                <w:sz w:val="24"/>
                <w:szCs w:val="24"/>
              </w:rPr>
            </w:pPr>
            <w:r>
              <w:rPr>
                <w:sz w:val="24"/>
                <w:szCs w:val="24"/>
              </w:rPr>
              <w:t>公允价值</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lastRenderedPageBreak/>
              <w:t>A</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农、林、牧、渔业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autoSpaceDE w:val="0"/>
              <w:autoSpaceDN w:val="0"/>
              <w:adjustRightInd w:val="0"/>
              <w:spacing w:before="29" w:line="288" w:lineRule="auto"/>
              <w:ind w:left="15"/>
              <w:jc w:val="right"/>
              <w:rPr>
                <w:sz w:val="24"/>
                <w:szCs w:val="24"/>
              </w:rPr>
            </w:pPr>
            <w:r w:rsidRPr="00414345">
              <w:rPr>
                <w:sz w:val="24"/>
                <w:szCs w:val="24"/>
              </w:rPr>
              <w:t>646,884.00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utoSpaceDE w:val="0"/>
              <w:autoSpaceDN w:val="0"/>
              <w:adjustRightInd w:val="0"/>
              <w:spacing w:before="29" w:line="288" w:lineRule="auto"/>
              <w:ind w:left="15"/>
              <w:jc w:val="right"/>
              <w:rPr>
                <w:sz w:val="24"/>
                <w:szCs w:val="24"/>
              </w:rPr>
            </w:pPr>
            <w:r w:rsidRPr="00414345">
              <w:rPr>
                <w:sz w:val="24"/>
                <w:szCs w:val="24"/>
              </w:rPr>
              <w:t>0.48</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B</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采矿业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1B4DD6"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1B4DD6"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C</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制造业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72,795.00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0.05</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D</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电力、热力、燃气及水生产和供应业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E</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建筑业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901,697.00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0.67</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F</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批发和零售业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151,810.00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0.11</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G</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交通运输、仓储和邮政业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1,092,051.00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0.81</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H</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住宿和餐饮业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r w:rsidRPr="00414345">
              <w:rPr>
                <w:sz w:val="24"/>
                <w:szCs w:val="24"/>
              </w:rPr>
              <w:lastRenderedPageBreak/>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lastRenderedPageBreak/>
              <w:t/>
            </w:r>
            <w:r w:rsidRPr="00414345">
              <w:rPr>
                <w:sz w:val="24"/>
                <w:szCs w:val="24"/>
              </w:rPr>
              <w:lastRenderedPageBreak/>
              <w:t>-</w:t>
            </w:r>
          </w:p>
        </w:tc>
      </w:tr>
      <w:tr w:rsidR="00531F10" w:rsidRPr="00414345" w:rsidTr="00DC28F1">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lastRenderedPageBreak/>
              <w:t>I</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DC28F1" w:rsidR="00531F10" w:rsidRDefault="00531F10" w:rsidRPr="00414345">
            <w:pPr>
              <w:adjustRightInd w:val="0"/>
              <w:snapToGrid w:val="0"/>
              <w:spacing w:before="29" w:line="288" w:lineRule="auto"/>
              <w:rPr>
                <w:sz w:val="24"/>
                <w:szCs w:val="24"/>
              </w:rPr>
            </w:pPr>
            <w:r w:rsidRPr="00414345">
              <w:rPr>
                <w:sz w:val="24"/>
                <w:szCs w:val="24"/>
              </w:rPr>
              <w:t>信息传输、软件和信息技术服务业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J</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金融业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K</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房地产业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1,142,476.65</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0.85</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L</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M</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N</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lastRenderedPageBreak/>
              <w:t>O</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P</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教育</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Q</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R</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S</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综合</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合计</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4,007,713.65</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2.97</w:t>
            </w:r>
          </w:p>
        </w:tc>
      </w:tr>
    </w:tbl>
    <w:p w:rsidP="00F51C4E" w:rsidR="00F51C4E" w:rsidRDefault="00F51C4E" w:rsidRPr="008A409E">
      <w:pPr>
        <w:jc w:val="left"/>
        <w:rPr>
          <w:rFonts w:asciiTheme="minorEastAsia" w:eastAsiaTheme="minorEastAsia" w:hAnsiTheme="minorEastAsia"/>
          <w:b/>
          <w:bCs/>
          <w:color w:themeColor="text1" w:val="000000"/>
          <w:kern w:val="0"/>
          <w:sz w:val="24"/>
        </w:rPr>
      </w:pPr>
      <w:r w:rsidRPr="008A409E">
        <w:rPr>
          <w:rFonts w:asciiTheme="minorEastAsia" w:eastAsiaTheme="minorEastAsia" w:hAnsiTheme="minorEastAsia"/>
          <w:b/>
          <w:bCs/>
          <w:color w:themeColor="text1" w:val="000000"/>
          <w:kern w:val="0"/>
          <w:sz w:val="24"/>
        </w:rPr>
        <w:t/>
      </w:r>
      <w:r w:rsidRPr="008A409E">
        <w:rPr>
          <w:rFonts w:asciiTheme="minorEastAsia" w:eastAsiaTheme="minorEastAsia" w:hAnsiTheme="minorEastAsia" w:hint="eastAsia"/>
          <w:b/>
          <w:bCs/>
          <w:color w:themeColor="text1" w:val="000000"/>
          <w:kern w:val="0"/>
          <w:sz w:val="24"/>
        </w:rPr>
        <w:t>5.2.2报告期末按行业分类的</w:t>
      </w:r>
      <w:r w:rsidR="00EE49FE">
        <w:rPr>
          <w:rFonts w:asciiTheme="minorEastAsia" w:eastAsiaTheme="minorEastAsia" w:hAnsiTheme="minorEastAsia" w:hint="eastAsia"/>
          <w:b/>
          <w:bCs/>
          <w:color w:themeColor="text1" w:val="000000"/>
          <w:kern w:val="0"/>
          <w:sz w:val="24"/>
        </w:rPr>
        <w:t>港股通</w:t>
      </w:r>
      <w:r w:rsidRPr="008A409E">
        <w:rPr>
          <w:rFonts w:asciiTheme="minorEastAsia" w:eastAsiaTheme="minorEastAsia" w:hAnsiTheme="minorEastAsia" w:hint="eastAsia"/>
          <w:b/>
          <w:bCs/>
          <w:color w:themeColor="text1" w:val="000000"/>
          <w:kern w:val="0"/>
          <w:sz w:val="24"/>
        </w:rPr>
        <w:t>投资股票投资组合</w:t>
      </w:r>
    </w:p>
    <w:p w:rsidP="00F51C4E" w:rsidR="00F51C4E" w:rsidRDefault="00F51C4E">
      <w:pPr>
        <w:spacing w:before="29" w:line="360" w:lineRule="auto"/>
        <w:ind w:left="17"/>
        <w:rPr>
          <w:color w:val="000000"/>
          <w:sz w:val="24"/>
        </w:rPr>
      </w:pPr>
      <w:r w:rsidRPr="00FF0BBF">
        <w:rPr>
          <w:color w:val="000000"/>
          <w:sz w:val="24"/>
        </w:rPr>
        <w:t>本基金本报告期末未持有通过港股通投资的股票。</w:t>
      </w:r>
    </w:p>
    <w:p w:rsidP="00C15CAC" w:rsidR="004061AC" w:rsidRDefault="004061AC" w:rsidRPr="00F51C4E">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type="dxa" w:w="8868"/>
        <w:jc w:val="center"/>
        <w:tblLayout w:type="fixed"/>
        <w:tblCellMar>
          <w:top w:type="dxa" w:w="57"/>
          <w:bottom w:type="dxa" w:w="57"/>
        </w:tblCellMar>
        <w:tblLook w:firstColumn="1" w:firstRow="1" w:lastColumn="0" w:lastRow="0" w:noHBand="0" w:noVBand="1" w:val="04A0"/>
      </w:tblPr>
      <w:tblGrid>
        <w:gridCol w:w="855"/>
        <w:gridCol w:w="1334"/>
        <w:gridCol w:w="1777"/>
        <w:gridCol w:w="1334"/>
        <w:gridCol w:w="1924"/>
        <w:gridCol w:w="1644"/>
      </w:tblGrid>
      <w:tr w:rsidR="00AC592E" w:rsidRPr="00414345" w:rsidTr="00A324F4">
        <w:trPr>
          <w:jc w:val="center"/>
        </w:trPr>
        <w:tc>
          <w:tcPr>
            <w:tcW w:type="dxa" w:w="869"/>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序号</w:t>
            </w:r>
          </w:p>
        </w:tc>
        <w:tc>
          <w:tcPr>
            <w:tcW w:type="dxa" w:w="1357"/>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股票代码</w:t>
            </w:r>
          </w:p>
        </w:tc>
        <w:tc>
          <w:tcPr>
            <w:tcW w:type="dxa" w:w="1810"/>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股票名称</w:t>
            </w:r>
          </w:p>
        </w:tc>
        <w:tc>
          <w:tcPr>
            <w:tcW w:type="dxa" w:w="1357"/>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type="dxa" w:w="1960"/>
            <w:vAlign w:val="center"/>
          </w:tcPr>
          <w:p w:rsidP="00C15CAC" w:rsidR="00853140" w:rsidRDefault="00853140"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type="dxa" w:w="1674"/>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tc>
          <w:tcPr>
            <w:vAlign w:val="center"/>
          </w:tcPr>
          <w:p>
            <w:pPr>
              <w:jc w:val="center"/>
            </w:pPr>
            <w:r>
              <w:rPr>
                <w:color w:val="000000"/>
                <w:sz w:val="24"/>
                <w:szCs w:val="24"/>
              </w:rPr>
              <w:t>1</w:t>
            </w:r>
          </w:p>
        </w:tc>
        <w:tc>
          <w:tcPr>
            <w:vAlign w:val="center"/>
          </w:tcPr>
          <w:p>
            <w:pPr>
              <w:jc w:val="center"/>
            </w:pPr>
            <w:r>
              <w:rPr>
                <w:color w:val="000000"/>
                <w:sz w:val="24"/>
                <w:szCs w:val="24"/>
              </w:rPr>
              <w:t>000002</w:t>
            </w:r>
          </w:p>
        </w:tc>
        <w:tc>
          <w:tcPr>
            <w:vAlign w:val="center"/>
          </w:tcPr>
          <w:p>
            <w:pPr>
              <w:jc w:val="center"/>
            </w:pPr>
            <w:r>
              <w:rPr>
                <w:color w:val="000000"/>
                <w:sz w:val="24"/>
                <w:szCs w:val="24"/>
              </w:rPr>
              <w:t>万科A</w:t>
            </w:r>
          </w:p>
        </w:tc>
        <w:tc>
          <w:tcPr>
            <w:vAlign w:val="center"/>
          </w:tcPr>
          <w:p>
            <w:pPr>
              <w:jc w:val="right"/>
            </w:pPr>
            <w:r>
              <w:rPr>
                <w:color w:val="000000"/>
                <w:sz w:val="24"/>
                <w:szCs w:val="24"/>
              </w:rPr>
              <w:t>44,541</w:t>
            </w:r>
          </w:p>
        </w:tc>
        <w:tc>
          <w:tcPr>
            <w:vAlign w:val="center"/>
          </w:tcPr>
          <w:p>
            <w:pPr>
              <w:jc w:val="right"/>
            </w:pPr>
            <w:r>
              <w:rPr>
                <w:color w:val="000000"/>
                <w:sz w:val="24"/>
                <w:szCs w:val="24"/>
              </w:rPr>
              <w:t>1,142,476.65</w:t>
            </w:r>
          </w:p>
        </w:tc>
        <w:tc>
          <w:tcPr>
            <w:vAlign w:val="center"/>
          </w:tcPr>
          <w:p>
            <w:pPr>
              <w:jc w:val="right"/>
            </w:pPr>
            <w:r>
              <w:rPr>
                <w:color w:val="000000"/>
                <w:sz w:val="24"/>
                <w:szCs w:val="24"/>
              </w:rPr>
              <w:t>0.85</w:t>
            </w:r>
          </w:p>
        </w:tc>
      </w:tr>
      <w:tr>
        <w:tc>
          <w:tcPr>
            <w:vAlign w:val="center"/>
          </w:tcPr>
          <w:p>
            <w:pPr>
              <w:jc w:val="center"/>
            </w:pPr>
            <w:r>
              <w:rPr>
                <w:color w:val="000000"/>
                <w:sz w:val="24"/>
                <w:szCs w:val="24"/>
              </w:rPr>
              <w:t>2</w:t>
            </w:r>
          </w:p>
        </w:tc>
        <w:tc>
          <w:tcPr>
            <w:vAlign w:val="center"/>
          </w:tcPr>
          <w:p>
            <w:pPr>
              <w:jc w:val="center"/>
            </w:pPr>
            <w:r>
              <w:rPr>
                <w:color w:val="000000"/>
                <w:sz w:val="24"/>
                <w:szCs w:val="24"/>
              </w:rPr>
              <w:t>601668</w:t>
            </w:r>
          </w:p>
        </w:tc>
        <w:tc>
          <w:tcPr>
            <w:vAlign w:val="center"/>
          </w:tcPr>
          <w:p>
            <w:pPr>
              <w:jc w:val="center"/>
            </w:pPr>
            <w:r>
              <w:rPr>
                <w:color w:val="000000"/>
                <w:sz w:val="24"/>
                <w:szCs w:val="24"/>
              </w:rPr>
              <w:t>中国建筑</w:t>
            </w:r>
          </w:p>
        </w:tc>
        <w:tc>
          <w:tcPr>
            <w:vAlign w:val="center"/>
          </w:tcPr>
          <w:p>
            <w:pPr>
              <w:jc w:val="right"/>
            </w:pPr>
            <w:r>
              <w:rPr>
                <w:color w:val="000000"/>
                <w:sz w:val="24"/>
                <w:szCs w:val="24"/>
              </w:rPr>
              <w:t>171,100</w:t>
            </w:r>
          </w:p>
        </w:tc>
        <w:tc>
          <w:tcPr>
            <w:vAlign w:val="center"/>
          </w:tcPr>
          <w:p>
            <w:pPr>
              <w:jc w:val="right"/>
            </w:pPr>
            <w:r>
              <w:rPr>
                <w:color w:val="000000"/>
                <w:sz w:val="24"/>
                <w:szCs w:val="24"/>
              </w:rPr>
              <w:t>901,697.00</w:t>
            </w:r>
          </w:p>
        </w:tc>
        <w:tc>
          <w:tcPr>
            <w:vAlign w:val="center"/>
          </w:tcPr>
          <w:p>
            <w:pPr>
              <w:jc w:val="right"/>
            </w:pPr>
            <w:r>
              <w:rPr>
                <w:color w:val="000000"/>
                <w:sz w:val="24"/>
                <w:szCs w:val="24"/>
              </w:rPr>
              <w:t>0.67</w:t>
            </w:r>
          </w:p>
        </w:tc>
      </w:tr>
      <w:tr>
        <w:tc>
          <w:tcPr>
            <w:vAlign w:val="center"/>
          </w:tcPr>
          <w:p>
            <w:pPr>
              <w:jc w:val="center"/>
            </w:pPr>
            <w:r>
              <w:rPr>
                <w:color w:val="000000"/>
                <w:sz w:val="24"/>
                <w:szCs w:val="24"/>
              </w:rPr>
              <w:t>3</w:t>
            </w:r>
          </w:p>
        </w:tc>
        <w:tc>
          <w:tcPr>
            <w:vAlign w:val="center"/>
          </w:tcPr>
          <w:p>
            <w:pPr>
              <w:jc w:val="center"/>
            </w:pPr>
            <w:r>
              <w:rPr>
                <w:color w:val="000000"/>
                <w:sz w:val="24"/>
                <w:szCs w:val="24"/>
              </w:rPr>
              <w:t>002120</w:t>
            </w:r>
          </w:p>
        </w:tc>
        <w:tc>
          <w:tcPr>
            <w:vAlign w:val="center"/>
          </w:tcPr>
          <w:p>
            <w:pPr>
              <w:jc w:val="center"/>
            </w:pPr>
            <w:r>
              <w:rPr>
                <w:color w:val="000000"/>
                <w:sz w:val="24"/>
                <w:szCs w:val="24"/>
              </w:rPr>
              <w:t>韵达股份</w:t>
            </w:r>
          </w:p>
        </w:tc>
        <w:tc>
          <w:tcPr>
            <w:vAlign w:val="center"/>
          </w:tcPr>
          <w:p>
            <w:pPr>
              <w:jc w:val="right"/>
            </w:pPr>
            <w:r>
              <w:rPr>
                <w:color w:val="000000"/>
                <w:sz w:val="24"/>
                <w:szCs w:val="24"/>
              </w:rPr>
              <w:t>21,300</w:t>
            </w:r>
          </w:p>
        </w:tc>
        <w:tc>
          <w:tcPr>
            <w:vAlign w:val="center"/>
          </w:tcPr>
          <w:p>
            <w:pPr>
              <w:jc w:val="right"/>
            </w:pPr>
            <w:r>
              <w:rPr>
                <w:color w:val="000000"/>
                <w:sz w:val="24"/>
                <w:szCs w:val="24"/>
              </w:rPr>
              <w:t>656,253.00</w:t>
            </w:r>
          </w:p>
        </w:tc>
        <w:tc>
          <w:tcPr>
            <w:vAlign w:val="center"/>
          </w:tcPr>
          <w:p>
            <w:pPr>
              <w:jc w:val="right"/>
            </w:pPr>
            <w:r>
              <w:rPr>
                <w:color w:val="000000"/>
                <w:sz w:val="24"/>
                <w:szCs w:val="24"/>
              </w:rPr>
              <w:t>0.49</w:t>
            </w:r>
          </w:p>
        </w:tc>
      </w:tr>
      <w:tr>
        <w:tc>
          <w:tcPr>
            <w:vAlign w:val="center"/>
          </w:tcPr>
          <w:p>
            <w:pPr>
              <w:jc w:val="center"/>
            </w:pPr>
            <w:r>
              <w:rPr>
                <w:color w:val="000000"/>
                <w:sz w:val="24"/>
                <w:szCs w:val="24"/>
              </w:rPr>
              <w:t>4</w:t>
            </w:r>
          </w:p>
        </w:tc>
        <w:tc>
          <w:tcPr>
            <w:vAlign w:val="center"/>
          </w:tcPr>
          <w:p>
            <w:pPr>
              <w:jc w:val="center"/>
            </w:pPr>
            <w:r>
              <w:rPr>
                <w:color w:val="000000"/>
                <w:sz w:val="24"/>
                <w:szCs w:val="24"/>
              </w:rPr>
              <w:t>000998</w:t>
            </w:r>
          </w:p>
        </w:tc>
        <w:tc>
          <w:tcPr>
            <w:vAlign w:val="center"/>
          </w:tcPr>
          <w:p>
            <w:pPr>
              <w:jc w:val="center"/>
            </w:pPr>
            <w:r>
              <w:rPr>
                <w:color w:val="000000"/>
                <w:sz w:val="24"/>
                <w:szCs w:val="24"/>
              </w:rPr>
              <w:t>隆平高科</w:t>
            </w:r>
          </w:p>
        </w:tc>
        <w:tc>
          <w:tcPr>
            <w:vAlign w:val="center"/>
          </w:tcPr>
          <w:p>
            <w:pPr>
              <w:jc w:val="right"/>
            </w:pPr>
            <w:r>
              <w:rPr>
                <w:color w:val="000000"/>
                <w:sz w:val="24"/>
                <w:szCs w:val="24"/>
              </w:rPr>
              <w:t>35,700</w:t>
            </w:r>
          </w:p>
        </w:tc>
        <w:tc>
          <w:tcPr>
            <w:vAlign w:val="center"/>
          </w:tcPr>
          <w:p>
            <w:pPr>
              <w:jc w:val="right"/>
            </w:pPr>
            <w:r>
              <w:rPr>
                <w:color w:val="000000"/>
                <w:sz w:val="24"/>
                <w:szCs w:val="24"/>
              </w:rPr>
              <w:t>646,884.00</w:t>
            </w:r>
          </w:p>
        </w:tc>
        <w:tc>
          <w:tcPr>
            <w:vAlign w:val="center"/>
          </w:tcPr>
          <w:p>
            <w:pPr>
              <w:jc w:val="right"/>
            </w:pPr>
            <w:r>
              <w:rPr>
                <w:color w:val="000000"/>
                <w:sz w:val="24"/>
                <w:szCs w:val="24"/>
              </w:rPr>
              <w:t>0.48</w:t>
            </w:r>
          </w:p>
        </w:tc>
      </w:tr>
      <w:tr>
        <w:tc>
          <w:tcPr>
            <w:vAlign w:val="center"/>
          </w:tcPr>
          <w:p>
            <w:pPr>
              <w:jc w:val="center"/>
            </w:pPr>
            <w:r>
              <w:rPr>
                <w:color w:val="000000"/>
                <w:sz w:val="24"/>
                <w:szCs w:val="24"/>
              </w:rPr>
              <w:t>5</w:t>
            </w:r>
          </w:p>
        </w:tc>
        <w:tc>
          <w:tcPr>
            <w:vAlign w:val="center"/>
          </w:tcPr>
          <w:p>
            <w:pPr>
              <w:jc w:val="center"/>
            </w:pPr>
            <w:r>
              <w:rPr>
                <w:color w:val="000000"/>
                <w:sz w:val="24"/>
                <w:szCs w:val="24"/>
              </w:rPr>
              <w:t>601872</w:t>
            </w:r>
          </w:p>
        </w:tc>
        <w:tc>
          <w:tcPr>
            <w:vAlign w:val="center"/>
          </w:tcPr>
          <w:p>
            <w:pPr>
              <w:jc w:val="center"/>
            </w:pPr>
            <w:r>
              <w:rPr>
                <w:color w:val="000000"/>
                <w:sz w:val="24"/>
                <w:szCs w:val="24"/>
              </w:rPr>
              <w:t>招商轮船</w:t>
            </w:r>
          </w:p>
        </w:tc>
        <w:tc>
          <w:tcPr>
            <w:vAlign w:val="center"/>
          </w:tcPr>
          <w:p>
            <w:pPr>
              <w:jc w:val="right"/>
            </w:pPr>
            <w:r>
              <w:rPr>
                <w:color w:val="000000"/>
                <w:sz w:val="24"/>
                <w:szCs w:val="24"/>
              </w:rPr>
              <w:t>68,200</w:t>
            </w:r>
          </w:p>
        </w:tc>
        <w:tc>
          <w:tcPr>
            <w:vAlign w:val="center"/>
          </w:tcPr>
          <w:p>
            <w:pPr>
              <w:jc w:val="right"/>
            </w:pPr>
            <w:r>
              <w:rPr>
                <w:color w:val="000000"/>
                <w:sz w:val="24"/>
                <w:szCs w:val="24"/>
              </w:rPr>
              <w:t>435,798.00</w:t>
            </w:r>
          </w:p>
        </w:tc>
        <w:tc>
          <w:tcPr>
            <w:vAlign w:val="center"/>
          </w:tcPr>
          <w:p>
            <w:pPr>
              <w:jc w:val="right"/>
            </w:pPr>
            <w:r>
              <w:rPr>
                <w:color w:val="000000"/>
                <w:sz w:val="24"/>
                <w:szCs w:val="24"/>
              </w:rPr>
              <w:t>0.32</w:t>
            </w:r>
          </w:p>
        </w:tc>
      </w:tr>
      <w:tr>
        <w:tc>
          <w:tcPr>
            <w:vAlign w:val="center"/>
          </w:tcPr>
          <w:p>
            <w:pPr>
              <w:jc w:val="center"/>
            </w:pPr>
            <w:r>
              <w:rPr>
                <w:color w:val="000000"/>
                <w:sz w:val="24"/>
                <w:szCs w:val="24"/>
              </w:rPr>
              <w:t>6</w:t>
            </w:r>
          </w:p>
        </w:tc>
        <w:tc>
          <w:tcPr>
            <w:vAlign w:val="center"/>
          </w:tcPr>
          <w:p>
            <w:pPr>
              <w:jc w:val="center"/>
            </w:pPr>
            <w:r>
              <w:rPr>
                <w:color w:val="000000"/>
                <w:sz w:val="24"/>
                <w:szCs w:val="24"/>
              </w:rPr>
              <w:t>603708</w:t>
            </w:r>
          </w:p>
        </w:tc>
        <w:tc>
          <w:tcPr>
            <w:vAlign w:val="center"/>
          </w:tcPr>
          <w:p>
            <w:pPr>
              <w:jc w:val="center"/>
            </w:pPr>
            <w:r>
              <w:rPr>
                <w:color w:val="000000"/>
                <w:sz w:val="24"/>
                <w:szCs w:val="24"/>
              </w:rPr>
              <w:t>家家悦</w:t>
            </w:r>
          </w:p>
        </w:tc>
        <w:tc>
          <w:tcPr>
            <w:vAlign w:val="center"/>
          </w:tcPr>
          <w:p>
            <w:pPr>
              <w:jc w:val="right"/>
            </w:pPr>
            <w:r>
              <w:rPr>
                <w:color w:val="000000"/>
                <w:sz w:val="24"/>
                <w:szCs w:val="24"/>
              </w:rPr>
              <w:t>4,700</w:t>
            </w:r>
          </w:p>
        </w:tc>
        <w:tc>
          <w:tcPr>
            <w:vAlign w:val="center"/>
          </w:tcPr>
          <w:p>
            <w:pPr>
              <w:jc w:val="right"/>
            </w:pPr>
            <w:r>
              <w:rPr>
                <w:color w:val="000000"/>
                <w:sz w:val="24"/>
                <w:szCs w:val="24"/>
              </w:rPr>
              <w:t>151,810.00</w:t>
            </w:r>
          </w:p>
        </w:tc>
        <w:tc>
          <w:tcPr>
            <w:vAlign w:val="center"/>
          </w:tcPr>
          <w:p>
            <w:pPr>
              <w:jc w:val="right"/>
            </w:pPr>
            <w:r>
              <w:rPr>
                <w:color w:val="000000"/>
                <w:sz w:val="24"/>
                <w:szCs w:val="24"/>
              </w:rPr>
              <w:t>0.11</w:t>
            </w:r>
          </w:p>
        </w:tc>
      </w:tr>
      <w:tr>
        <w:tc>
          <w:tcPr>
            <w:vAlign w:val="center"/>
          </w:tcPr>
          <w:p>
            <w:pPr>
              <w:jc w:val="center"/>
            </w:pPr>
            <w:r>
              <w:rPr>
                <w:color w:val="000000"/>
                <w:sz w:val="24"/>
                <w:szCs w:val="24"/>
              </w:rPr>
              <w:t>7</w:t>
            </w:r>
          </w:p>
        </w:tc>
        <w:tc>
          <w:tcPr>
            <w:vAlign w:val="center"/>
          </w:tcPr>
          <w:p>
            <w:pPr>
              <w:jc w:val="center"/>
            </w:pPr>
            <w:r>
              <w:rPr>
                <w:color w:val="000000"/>
                <w:sz w:val="24"/>
                <w:szCs w:val="24"/>
              </w:rPr>
              <w:t>601238</w:t>
            </w:r>
          </w:p>
        </w:tc>
        <w:tc>
          <w:tcPr>
            <w:vAlign w:val="center"/>
          </w:tcPr>
          <w:p>
            <w:pPr>
              <w:jc w:val="center"/>
            </w:pPr>
            <w:r>
              <w:rPr>
                <w:color w:val="000000"/>
                <w:sz w:val="24"/>
                <w:szCs w:val="24"/>
              </w:rPr>
              <w:t>广汽集团</w:t>
            </w:r>
          </w:p>
        </w:tc>
        <w:tc>
          <w:tcPr>
            <w:vAlign w:val="center"/>
          </w:tcPr>
          <w:p>
            <w:pPr>
              <w:jc w:val="right"/>
            </w:pPr>
            <w:r>
              <w:rPr>
                <w:color w:val="000000"/>
                <w:sz w:val="24"/>
                <w:szCs w:val="24"/>
              </w:rPr>
              <w:t>6,900</w:t>
            </w:r>
          </w:p>
        </w:tc>
        <w:tc>
          <w:tcPr>
            <w:vAlign w:val="center"/>
          </w:tcPr>
          <w:p>
            <w:pPr>
              <w:jc w:val="right"/>
            </w:pPr>
            <w:r>
              <w:rPr>
                <w:color w:val="000000"/>
                <w:sz w:val="24"/>
                <w:szCs w:val="24"/>
              </w:rPr>
              <w:t>72,795.00</w:t>
            </w:r>
          </w:p>
        </w:tc>
        <w:tc>
          <w:tcPr>
            <w:vAlign w:val="center"/>
          </w:tcPr>
          <w:p>
            <w:pPr>
              <w:jc w:val="right"/>
            </w:pPr>
            <w:r>
              <w:rPr>
                <w:color w:val="000000"/>
                <w:sz w:val="24"/>
                <w:szCs w:val="24"/>
              </w:rPr>
              <w:t>0.05</w:t>
            </w:r>
          </w:p>
        </w:tc>
      </w:tr>
    </w:tbl>
    <w:p w:rsidP="00C15CAC" w:rsidR="004061AC" w:rsidRDefault="004061AC" w:rsidRPr="00414345">
      <w:pPr>
        <w:autoSpaceDE w:val="0"/>
        <w:autoSpaceDN w:val="0"/>
        <w:adjustRightInd w:val="0"/>
        <w:spacing w:before="29" w:line="288" w:lineRule="auto"/>
        <w:jc w:val="left"/>
        <w:rPr>
          <w:b/>
          <w:bCs/>
          <w:color w:val="000000"/>
          <w:kern w:val="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P="009C1009" w:rsidR="00CE7169" w:rsidRDefault="009C1009" w:rsidRPr="00CE716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
      </w:r>
      <w:r w:rsidRPr="009C1009">
        <w:rPr>
          <w:rFonts w:hint="eastAsia"/>
          <w:bCs/>
          <w:color w:val="000000"/>
          <w:kern w:val="0"/>
          <w:sz w:val="24"/>
          <w:szCs w:val="24"/>
        </w:rPr>
        <w:t>金额单位：人民币元</w:t>
      </w:r>
    </w:p>
    <w:tbl>
      <w:tblPr>
        <w:tblStyle w:val="af7"/>
        <w:tblW w:type="dxa" w:w="8868"/>
        <w:jc w:val="center"/>
        <w:tblLayout w:type="fixed"/>
        <w:tblLook w:firstColumn="1" w:firstRow="1" w:lastColumn="0" w:lastRow="0" w:noHBand="0" w:noVBand="1" w:val="04A0"/>
      </w:tblPr>
      <w:tblGrid>
        <w:gridCol w:w="828"/>
        <w:gridCol w:w="3302"/>
        <w:gridCol w:w="2987"/>
        <w:gridCol w:w="1751"/>
      </w:tblGrid>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序号</w:t>
            </w:r>
          </w:p>
        </w:tc>
        <w:tc>
          <w:tcPr>
            <w:tcW w:type="dxa" w:w="3302"/>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债券品种</w:t>
            </w:r>
            <w:r w:rsidR="00F71057" w:rsidRPr="00414345">
              <w:rPr>
                <w:color w:val="000000"/>
                <w:sz w:val="24"/>
                <w:szCs w:val="24"/>
              </w:rPr>
              <w:t/>
            </w:r>
          </w:p>
        </w:tc>
        <w:tc>
          <w:tcPr>
            <w:tcW w:type="dxa" w:w="2987"/>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公允价值</w:t>
            </w:r>
          </w:p>
        </w:tc>
        <w:tc>
          <w:tcPr>
            <w:tcW w:type="dxa" w:w="1751"/>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占基金资产净值比例</w:t>
            </w:r>
            <w:r w:rsidR="003F0956">
              <w:rPr>
                <w:rFonts w:hint="eastAsia"/>
                <w:color w:val="000000"/>
                <w:sz w:val="24"/>
              </w:rPr>
              <w:t>(</w:t>
            </w:r>
            <w:r w:rsidR="003F0956">
              <w:rPr>
                <w:color w:val="000000"/>
                <w:sz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1</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国家债券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14,502,144.80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r w:rsidRPr="00414345">
              <w:rPr>
                <w:color w:val="000000"/>
                <w:sz w:val="24"/>
                <w:szCs w:val="24"/>
              </w:rPr>
              <w:lastRenderedPageBreak/>
              <w:t>10.73</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lastRenderedPageBreak/>
              <w:t>2</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央行票据</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3</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金融债券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105,384,303.10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77.99</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其中：政策性金融债</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105,384,303.10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77.99</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4</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企业债券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5</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type="dxa" w:w="828"/>
            <w:vAlign w:val="center"/>
          </w:tcPr>
          <w:p w:rsidP="00C15CAC" w:rsidR="00FB41D3" w:rsidRDefault="00FB41D3" w:rsidRPr="00414345">
            <w:pPr>
              <w:spacing w:before="29" w:line="288" w:lineRule="auto"/>
              <w:ind w:left="17"/>
              <w:jc w:val="center"/>
              <w:rPr>
                <w:color w:val="000000"/>
                <w:sz w:val="24"/>
                <w:szCs w:val="24"/>
              </w:rPr>
            </w:pPr>
            <w:r w:rsidRPr="00414345">
              <w:rPr>
                <w:color w:val="000000"/>
                <w:sz w:val="24"/>
                <w:szCs w:val="24"/>
              </w:rPr>
              <w:t>6</w:t>
            </w:r>
          </w:p>
        </w:tc>
        <w:tc>
          <w:tcPr>
            <w:tcW w:type="dxa" w:w="3302"/>
            <w:vAlign w:val="center"/>
          </w:tcPr>
          <w:p w:rsidP="00C15CAC" w:rsidR="00FB41D3" w:rsidRDefault="00FB41D3" w:rsidRPr="00414345">
            <w:pPr>
              <w:spacing w:before="29" w:line="288" w:lineRule="auto"/>
              <w:ind w:left="17"/>
              <w:jc w:val="left"/>
              <w:rPr>
                <w:color w:val="000000"/>
                <w:sz w:val="24"/>
                <w:szCs w:val="24"/>
              </w:rPr>
            </w:pPr>
            <w:r w:rsidRPr="00414345">
              <w:rPr>
                <w:color w:val="000000"/>
                <w:sz w:val="24"/>
                <w:szCs w:val="24"/>
              </w:rPr>
              <w:t>中期票据</w:t>
            </w:r>
          </w:p>
        </w:tc>
        <w:tc>
          <w:tcPr>
            <w:tcW w:type="dxa" w:w="2987"/>
            <w:vAlign w:val="center"/>
          </w:tcPr>
          <w:p w:rsidP="00C15CAC" w:rsidR="00FB41D3" w:rsidRDefault="00FB41D3"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FB41D3" w:rsidRDefault="00FB41D3" w:rsidRPr="00414345">
            <w:pPr>
              <w:spacing w:before="29" w:line="288" w:lineRule="auto"/>
              <w:ind w:left="17"/>
              <w:jc w:val="right"/>
              <w:rPr>
                <w:color w:val="000000"/>
                <w:sz w:val="24"/>
                <w:szCs w:val="24"/>
              </w:rPr>
            </w:pPr>
            <w:r w:rsidRPr="00414345">
              <w:rPr>
                <w:color w:val="000000"/>
                <w:sz w:val="24"/>
                <w:szCs w:val="24"/>
              </w:rPr>
              <w:t/>
            </w:r>
            <w:r w:rsidRPr="00414345">
              <w:rPr>
                <w:color w:val="000000"/>
                <w:sz w:val="24"/>
                <w:szCs w:val="24"/>
              </w:rPr>
              <w:lastRenderedPageBreak/>
              <w:t>-</w:t>
            </w:r>
          </w:p>
        </w:tc>
      </w:tr>
      <w:tr w:rsidR="00AC592E" w:rsidRPr="00414345" w:rsidTr="00F323FF">
        <w:trPr>
          <w:jc w:val="center"/>
        </w:trPr>
        <w:tc>
          <w:tcPr>
            <w:tcW w:type="dxa" w:w="828"/>
            <w:vAlign w:val="center"/>
          </w:tcPr>
          <w:p w:rsidP="00C15CAC" w:rsidR="00AC592E" w:rsidRDefault="00FB41D3" w:rsidRPr="00414345">
            <w:pPr>
              <w:spacing w:before="29" w:line="288" w:lineRule="auto"/>
              <w:ind w:left="17"/>
              <w:jc w:val="center"/>
              <w:rPr>
                <w:color w:val="000000"/>
                <w:sz w:val="24"/>
                <w:szCs w:val="24"/>
              </w:rPr>
            </w:pPr>
            <w:r w:rsidRPr="00414345">
              <w:rPr>
                <w:color w:val="000000"/>
                <w:sz w:val="24"/>
                <w:szCs w:val="24"/>
              </w:rPr>
              <w:lastRenderedPageBreak/>
              <w:t>7</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3,806,956.00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2.82</w:t>
            </w:r>
          </w:p>
        </w:tc>
      </w:tr>
      <w:tr w:rsidR="00F323FF" w:rsidRPr="00414345" w:rsidTr="0006711A">
        <w:trPr>
          <w:jc w:val="center"/>
        </w:trPr>
        <w:tc>
          <w:tcPr>
            <w:tcW w:type="dxa" w:w="828"/>
            <w:vAlign w:val="center"/>
          </w:tcPr>
          <w:p w:rsidP="0006711A" w:rsidR="00F323FF" w:rsidRDefault="00F323FF" w:rsidRPr="007A70C2">
            <w:pPr>
              <w:spacing w:before="29" w:line="288" w:lineRule="auto"/>
              <w:ind w:left="17"/>
              <w:jc w:val="center"/>
              <w:rPr>
                <w:color w:val="000000"/>
                <w:sz w:val="24"/>
                <w:szCs w:val="24"/>
              </w:rPr>
            </w:pPr>
            <w:r w:rsidRPr="007A70C2">
              <w:rPr>
                <w:rFonts w:hint="eastAsia"/>
                <w:color w:val="000000"/>
                <w:sz w:val="24"/>
                <w:szCs w:val="24"/>
              </w:rPr>
              <w:t>8</w:t>
            </w:r>
          </w:p>
        </w:tc>
        <w:tc>
          <w:tcPr>
            <w:tcW w:type="dxa" w:w="3302"/>
            <w:vAlign w:val="center"/>
          </w:tcPr>
          <w:p w:rsidP="0006711A" w:rsidR="00F323FF" w:rsidRDefault="00F323FF" w:rsidRPr="007A70C2">
            <w:pPr>
              <w:spacing w:before="29" w:line="288" w:lineRule="auto"/>
              <w:ind w:left="17"/>
              <w:jc w:val="left"/>
              <w:rPr>
                <w:color w:val="000000"/>
                <w:sz w:val="24"/>
                <w:szCs w:val="24"/>
              </w:rPr>
            </w:pPr>
            <w:r w:rsidRPr="007A70C2">
              <w:rPr>
                <w:rFonts w:hint="eastAsia"/>
                <w:color w:val="000000"/>
                <w:sz w:val="24"/>
                <w:szCs w:val="24"/>
              </w:rPr>
              <w:t>同业存单</w:t>
            </w:r>
          </w:p>
        </w:tc>
        <w:tc>
          <w:tcPr>
            <w:tcW w:type="dxa" w:w="2987"/>
            <w:vAlign w:val="center"/>
          </w:tcPr>
          <w:p w:rsidP="0006711A" w:rsidR="00F323FF" w:rsidRDefault="00F323FF" w:rsidRPr="007A70C2">
            <w:pPr>
              <w:spacing w:before="29" w:line="288" w:lineRule="auto"/>
              <w:ind w:left="17"/>
              <w:jc w:val="right"/>
              <w:rPr>
                <w:color w:val="000000"/>
                <w:sz w:val="24"/>
                <w:szCs w:val="24"/>
              </w:rPr>
            </w:pPr>
            <w:r w:rsidRPr="007A70C2">
              <w:rPr>
                <w:rFonts w:hint="eastAsia"/>
                <w:color w:val="000000"/>
                <w:sz w:val="24"/>
                <w:szCs w:val="24"/>
              </w:rPr>
              <w:t/>
            </w:r>
            <w:r w:rsidRPr="007A70C2">
              <w:rPr>
                <w:color w:val="000000"/>
                <w:sz w:val="24"/>
                <w:szCs w:val="24"/>
              </w:rPr>
              <w:t/>
            </w:r>
            <w:r w:rsidRPr="007A70C2">
              <w:rPr>
                <w:rFonts w:hint="eastAsia"/>
                <w:color w:val="000000"/>
                <w:sz w:val="24"/>
                <w:szCs w:val="24"/>
              </w:rPr>
              <w:t>-</w:t>
            </w:r>
          </w:p>
        </w:tc>
        <w:tc>
          <w:tcPr>
            <w:tcW w:type="dxa" w:w="1751"/>
            <w:vAlign w:val="center"/>
          </w:tcPr>
          <w:p w:rsidP="0006711A" w:rsidR="00F323FF" w:rsidRDefault="00F323FF" w:rsidRPr="007A70C2">
            <w:pPr>
              <w:spacing w:before="29" w:line="288" w:lineRule="auto"/>
              <w:ind w:left="17"/>
              <w:jc w:val="right"/>
              <w:rPr>
                <w:color w:val="000000"/>
                <w:sz w:val="24"/>
                <w:szCs w:val="24"/>
              </w:rPr>
            </w:pPr>
            <w:r w:rsidRPr="007A70C2">
              <w:rPr>
                <w:rFonts w:hint="eastAsia"/>
                <w:color w:val="000000"/>
                <w:sz w:val="24"/>
                <w:szCs w:val="24"/>
              </w:rPr>
              <w:t/>
            </w:r>
            <w:r w:rsidRPr="007A70C2">
              <w:rPr>
                <w:color w:val="000000"/>
                <w:sz w:val="24"/>
                <w:szCs w:val="24"/>
              </w:rPr>
              <w:t/>
            </w:r>
            <w:r w:rsidRPr="007A70C2">
              <w:rPr>
                <w:rFonts w:hint="eastAsia"/>
                <w:color w:val="000000"/>
                <w:sz w:val="24"/>
                <w:szCs w:val="24"/>
              </w:rPr>
              <w:t>-</w:t>
            </w:r>
          </w:p>
        </w:tc>
      </w:tr>
      <w:tr w:rsidR="00AC592E" w:rsidRPr="00414345" w:rsidTr="00F323FF">
        <w:trPr>
          <w:jc w:val="center"/>
        </w:trPr>
        <w:tc>
          <w:tcPr>
            <w:tcW w:type="dxa" w:w="828"/>
            <w:vAlign w:val="center"/>
          </w:tcPr>
          <w:p w:rsidP="00F323FF" w:rsidR="00AC592E" w:rsidRDefault="00AC592E" w:rsidRPr="00414345">
            <w:pPr>
              <w:spacing w:before="29" w:line="288" w:lineRule="auto"/>
              <w:ind w:left="17"/>
              <w:jc w:val="center"/>
              <w:rPr>
                <w:color w:val="000000"/>
                <w:sz w:val="24"/>
                <w:szCs w:val="24"/>
              </w:rPr>
            </w:pPr>
            <w:r w:rsidRPr="00414345">
              <w:rPr>
                <w:color w:val="000000"/>
                <w:sz w:val="24"/>
                <w:szCs w:val="24"/>
              </w:rPr>
              <w:t/>
            </w:r>
            <w:r w:rsidR="00F323FF">
              <w:rPr>
                <w:rFonts w:hint="eastAsia"/>
                <w:color w:val="000000"/>
                <w:sz w:val="24"/>
                <w:szCs w:val="24"/>
              </w:rPr>
              <w:t/>
            </w:r>
            <w:r w:rsidRPr="00414345">
              <w:rPr>
                <w:color w:val="000000"/>
                <w:sz w:val="24"/>
                <w:szCs w:val="24"/>
              </w:rPr>
              <w:t>9</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其他</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type="dxa" w:w="828"/>
            <w:vAlign w:val="center"/>
          </w:tcPr>
          <w:p w:rsidP="00F323FF" w:rsidR="00AC592E" w:rsidRDefault="00AC592E" w:rsidRPr="00414345">
            <w:pPr>
              <w:spacing w:before="29" w:line="288" w:lineRule="auto"/>
              <w:ind w:left="17"/>
              <w:jc w:val="center"/>
              <w:rPr>
                <w:color w:val="000000"/>
                <w:sz w:val="24"/>
                <w:szCs w:val="24"/>
              </w:rPr>
            </w:pPr>
            <w:r w:rsidRPr="00414345">
              <w:rPr>
                <w:color w:val="000000"/>
                <w:sz w:val="24"/>
                <w:szCs w:val="24"/>
              </w:rPr>
              <w:t/>
            </w:r>
            <w:r w:rsidR="00F323FF">
              <w:rPr>
                <w:rFonts w:hint="eastAsia"/>
                <w:color w:val="000000"/>
                <w:sz w:val="24"/>
                <w:szCs w:val="24"/>
              </w:rPr>
              <w:t/>
            </w:r>
            <w:r w:rsidRPr="00414345">
              <w:rPr>
                <w:color w:val="000000"/>
                <w:sz w:val="24"/>
                <w:szCs w:val="24"/>
              </w:rPr>
              <w:t>10</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合计</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123,693,403.90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91.54</w:t>
            </w:r>
          </w:p>
        </w:tc>
      </w:tr>
    </w:tbl>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P="009C1009" w:rsidR="005B4C8F" w:rsidRDefault="009C1009" w:rsidRPr="005B4C8F">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
      </w:r>
      <w:r w:rsidRPr="009C1009">
        <w:rPr>
          <w:rFonts w:hint="eastAsia"/>
          <w:bCs/>
          <w:color w:val="000000"/>
          <w:kern w:val="0"/>
          <w:sz w:val="24"/>
          <w:szCs w:val="24"/>
        </w:rPr>
        <w:t>金额单位：人民币元</w:t>
      </w:r>
    </w:p>
    <w:tbl>
      <w:tblPr>
        <w:tblStyle w:val="af7"/>
        <w:tblW w:type="dxa" w:w="8868"/>
        <w:jc w:val="center"/>
        <w:tblLayout w:type="fixed"/>
        <w:tblCellMar>
          <w:top w:type="dxa" w:w="57"/>
          <w:bottom w:type="dxa" w:w="57"/>
        </w:tblCellMar>
        <w:tblLook w:firstColumn="1" w:firstRow="1" w:lastColumn="0" w:lastRow="0" w:noHBand="0" w:noVBand="1" w:val="04A0"/>
      </w:tblPr>
      <w:tblGrid>
        <w:gridCol w:w="850"/>
        <w:gridCol w:w="1475"/>
        <w:gridCol w:w="1769"/>
        <w:gridCol w:w="1387"/>
        <w:gridCol w:w="2150"/>
        <w:gridCol w:w="1237"/>
      </w:tblGrid>
      <w:tr w:rsidR="00D57B7C" w:rsidRPr="00414345" w:rsidTr="00A324F4">
        <w:trPr>
          <w:jc w:val="center"/>
        </w:trPr>
        <w:tc>
          <w:tcPr>
            <w:tcW w:type="dxa" w:w="817"/>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序号</w:t>
            </w:r>
          </w:p>
        </w:tc>
        <w:tc>
          <w:tcPr>
            <w:tcW w:type="dxa" w:w="1418"/>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债券代码</w:t>
            </w:r>
          </w:p>
        </w:tc>
        <w:tc>
          <w:tcPr>
            <w:tcW w:type="dxa" w:w="1701"/>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债券名称</w:t>
            </w:r>
          </w:p>
        </w:tc>
        <w:tc>
          <w:tcPr>
            <w:tcW w:type="dxa" w:w="1334"/>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数量</w:t>
            </w:r>
            <w:r w:rsidR="009D1BD9">
              <w:rPr>
                <w:rFonts w:hint="eastAsia"/>
                <w:color w:val="000000"/>
                <w:sz w:val="24"/>
              </w:rPr>
              <w:t>(</w:t>
            </w:r>
            <w:r w:rsidR="009D1BD9">
              <w:rPr>
                <w:rFonts w:hint="eastAsia"/>
                <w:color w:val="000000"/>
                <w:sz w:val="24"/>
              </w:rPr>
              <w:t>张</w:t>
            </w:r>
            <w:r w:rsidR="009D1BD9">
              <w:rPr>
                <w:color w:val="000000"/>
                <w:sz w:val="24"/>
              </w:rPr>
              <w:t>)</w:t>
            </w:r>
          </w:p>
        </w:tc>
        <w:tc>
          <w:tcPr>
            <w:tcW w:type="dxa" w:w="2068"/>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公允价值</w:t>
            </w:r>
          </w:p>
        </w:tc>
        <w:tc>
          <w:tcPr>
            <w:tcW w:type="dxa" w:w="1190"/>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占基金资产净值比</w:t>
            </w:r>
            <w:r w:rsidRPr="00414345">
              <w:rPr>
                <w:color w:val="000000"/>
                <w:sz w:val="24"/>
                <w:szCs w:val="24"/>
              </w:rPr>
              <w:lastRenderedPageBreak/>
              <w:t>例</w:t>
            </w:r>
            <w:r w:rsidR="003B3494" w:rsidRPr="00414345">
              <w:rPr>
                <w:color w:val="000000"/>
                <w:sz w:val="24"/>
              </w:rPr>
              <w:t>（％）</w:t>
            </w:r>
          </w:p>
        </w:tc>
      </w:tr>
      <w:tr>
        <w:tc>
          <w:tcPr>
            <w:vAlign w:val="center"/>
          </w:tcPr>
          <w:p>
            <w:pPr>
              <w:jc w:val="center"/>
            </w:pPr>
            <w:r>
              <w:rPr>
                <w:color w:val="000000"/>
                <w:sz w:val="24"/>
                <w:szCs w:val="24"/>
              </w:rPr>
              <w:t>1</w:t>
            </w:r>
          </w:p>
        </w:tc>
        <w:tc>
          <w:tcPr>
            <w:vAlign w:val="center"/>
          </w:tcPr>
          <w:p>
            <w:pPr>
              <w:jc w:val="center"/>
            </w:pPr>
            <w:r>
              <w:rPr>
                <w:color w:val="000000"/>
                <w:sz w:val="24"/>
                <w:szCs w:val="24"/>
              </w:rPr>
              <w:t>180203</w:t>
            </w:r>
          </w:p>
        </w:tc>
        <w:tc>
          <w:tcPr>
            <w:vAlign w:val="center"/>
          </w:tcPr>
          <w:p>
            <w:pPr>
              <w:jc w:val="center"/>
            </w:pPr>
            <w:r>
              <w:rPr>
                <w:color w:val="000000"/>
                <w:sz w:val="24"/>
                <w:szCs w:val="24"/>
              </w:rPr>
              <w:t>18国开03</w:t>
            </w:r>
          </w:p>
        </w:tc>
        <w:tc>
          <w:tcPr>
            <w:vAlign w:val="center"/>
          </w:tcPr>
          <w:p>
            <w:pPr>
              <w:jc w:val="right"/>
            </w:pPr>
            <w:r>
              <w:rPr>
                <w:color w:val="000000"/>
                <w:sz w:val="24"/>
                <w:szCs w:val="24"/>
              </w:rPr>
              <w:t>300,000</w:t>
            </w:r>
          </w:p>
        </w:tc>
        <w:tc>
          <w:tcPr>
            <w:vAlign w:val="center"/>
          </w:tcPr>
          <w:p>
            <w:pPr>
              <w:jc w:val="right"/>
            </w:pPr>
            <w:r>
              <w:rPr>
                <w:color w:val="000000"/>
                <w:sz w:val="24"/>
                <w:szCs w:val="24"/>
              </w:rPr>
              <w:t>30,774,000.00</w:t>
            </w:r>
          </w:p>
        </w:tc>
        <w:tc>
          <w:tcPr>
            <w:vAlign w:val="center"/>
          </w:tcPr>
          <w:p>
            <w:pPr>
              <w:jc w:val="right"/>
            </w:pPr>
            <w:r>
              <w:rPr>
                <w:color w:val="000000"/>
                <w:sz w:val="24"/>
                <w:szCs w:val="24"/>
              </w:rPr>
              <w:t>22.78</w:t>
            </w:r>
          </w:p>
        </w:tc>
      </w:tr>
      <w:tr>
        <w:tc>
          <w:tcPr>
            <w:vAlign w:val="center"/>
          </w:tcPr>
          <w:p>
            <w:pPr>
              <w:jc w:val="center"/>
            </w:pPr>
            <w:r>
              <w:rPr>
                <w:color w:val="000000"/>
                <w:sz w:val="24"/>
                <w:szCs w:val="24"/>
              </w:rPr>
              <w:t>2</w:t>
            </w:r>
          </w:p>
        </w:tc>
        <w:tc>
          <w:tcPr>
            <w:vAlign w:val="center"/>
          </w:tcPr>
          <w:p>
            <w:pPr>
              <w:jc w:val="center"/>
            </w:pPr>
            <w:r>
              <w:rPr>
                <w:color w:val="000000"/>
                <w:sz w:val="24"/>
                <w:szCs w:val="24"/>
              </w:rPr>
              <w:t>180208</w:t>
            </w:r>
          </w:p>
        </w:tc>
        <w:tc>
          <w:tcPr>
            <w:vAlign w:val="center"/>
          </w:tcPr>
          <w:p>
            <w:pPr>
              <w:jc w:val="center"/>
            </w:pPr>
            <w:r>
              <w:rPr>
                <w:color w:val="000000"/>
                <w:sz w:val="24"/>
                <w:szCs w:val="24"/>
              </w:rPr>
              <w:t>18国开08</w:t>
            </w:r>
          </w:p>
        </w:tc>
        <w:tc>
          <w:tcPr>
            <w:vAlign w:val="center"/>
          </w:tcPr>
          <w:p>
            <w:pPr>
              <w:jc w:val="right"/>
            </w:pPr>
            <w:r>
              <w:rPr>
                <w:color w:val="000000"/>
                <w:sz w:val="24"/>
                <w:szCs w:val="24"/>
              </w:rPr>
              <w:t>300,000</w:t>
            </w:r>
          </w:p>
        </w:tc>
        <w:tc>
          <w:tcPr>
            <w:vAlign w:val="center"/>
          </w:tcPr>
          <w:p>
            <w:pPr>
              <w:jc w:val="right"/>
            </w:pPr>
            <w:r>
              <w:rPr>
                <w:color w:val="000000"/>
                <w:sz w:val="24"/>
                <w:szCs w:val="24"/>
              </w:rPr>
              <w:t>30,684,000.00</w:t>
            </w:r>
          </w:p>
        </w:tc>
        <w:tc>
          <w:tcPr>
            <w:vAlign w:val="center"/>
          </w:tcPr>
          <w:p>
            <w:pPr>
              <w:jc w:val="right"/>
            </w:pPr>
            <w:r>
              <w:rPr>
                <w:color w:val="000000"/>
                <w:sz w:val="24"/>
                <w:szCs w:val="24"/>
              </w:rPr>
              <w:t>22.71</w:t>
            </w:r>
          </w:p>
        </w:tc>
      </w:tr>
      <w:tr>
        <w:tc>
          <w:tcPr>
            <w:vAlign w:val="center"/>
          </w:tcPr>
          <w:p>
            <w:pPr>
              <w:jc w:val="center"/>
            </w:pPr>
            <w:r>
              <w:rPr>
                <w:color w:val="000000"/>
                <w:sz w:val="24"/>
                <w:szCs w:val="24"/>
              </w:rPr>
              <w:t>3</w:t>
            </w:r>
          </w:p>
        </w:tc>
        <w:tc>
          <w:tcPr>
            <w:vAlign w:val="center"/>
          </w:tcPr>
          <w:p>
            <w:pPr>
              <w:jc w:val="center"/>
            </w:pPr>
            <w:r>
              <w:rPr>
                <w:color w:val="000000"/>
                <w:sz w:val="24"/>
                <w:szCs w:val="24"/>
              </w:rPr>
              <w:t>190202</w:t>
            </w:r>
          </w:p>
        </w:tc>
        <w:tc>
          <w:tcPr>
            <w:vAlign w:val="center"/>
          </w:tcPr>
          <w:p>
            <w:pPr>
              <w:jc w:val="center"/>
            </w:pPr>
            <w:r>
              <w:rPr>
                <w:color w:val="000000"/>
                <w:sz w:val="24"/>
                <w:szCs w:val="24"/>
              </w:rPr>
              <w:t>19国开02</w:t>
            </w:r>
          </w:p>
        </w:tc>
        <w:tc>
          <w:tcPr>
            <w:vAlign w:val="center"/>
          </w:tcPr>
          <w:p>
            <w:pPr>
              <w:jc w:val="right"/>
            </w:pPr>
            <w:r>
              <w:rPr>
                <w:color w:val="000000"/>
                <w:sz w:val="24"/>
                <w:szCs w:val="24"/>
              </w:rPr>
              <w:t>200,000</w:t>
            </w:r>
          </w:p>
        </w:tc>
        <w:tc>
          <w:tcPr>
            <w:vAlign w:val="center"/>
          </w:tcPr>
          <w:p>
            <w:pPr>
              <w:jc w:val="right"/>
            </w:pPr>
            <w:r>
              <w:rPr>
                <w:color w:val="000000"/>
                <w:sz w:val="24"/>
                <w:szCs w:val="24"/>
              </w:rPr>
              <w:t>20,304,000.00</w:t>
            </w:r>
          </w:p>
        </w:tc>
        <w:tc>
          <w:tcPr>
            <w:vAlign w:val="center"/>
          </w:tcPr>
          <w:p>
            <w:pPr>
              <w:jc w:val="right"/>
            </w:pPr>
            <w:r>
              <w:rPr>
                <w:color w:val="000000"/>
                <w:sz w:val="24"/>
                <w:szCs w:val="24"/>
              </w:rPr>
              <w:t>15.03</w:t>
            </w:r>
          </w:p>
        </w:tc>
      </w:tr>
      <w:tr>
        <w:tc>
          <w:tcPr>
            <w:vAlign w:val="center"/>
          </w:tcPr>
          <w:p>
            <w:pPr>
              <w:jc w:val="center"/>
            </w:pPr>
            <w:r>
              <w:rPr>
                <w:color w:val="000000"/>
                <w:sz w:val="24"/>
                <w:szCs w:val="24"/>
              </w:rPr>
              <w:t>4</w:t>
            </w:r>
          </w:p>
        </w:tc>
        <w:tc>
          <w:tcPr>
            <w:vAlign w:val="center"/>
          </w:tcPr>
          <w:p>
            <w:pPr>
              <w:jc w:val="center"/>
            </w:pPr>
            <w:r>
              <w:rPr>
                <w:color w:val="000000"/>
                <w:sz w:val="24"/>
                <w:szCs w:val="24"/>
              </w:rPr>
              <w:t>190015</w:t>
            </w:r>
          </w:p>
        </w:tc>
        <w:tc>
          <w:tcPr>
            <w:vAlign w:val="center"/>
          </w:tcPr>
          <w:p>
            <w:pPr>
              <w:jc w:val="center"/>
            </w:pPr>
            <w:r>
              <w:rPr>
                <w:color w:val="000000"/>
                <w:sz w:val="24"/>
                <w:szCs w:val="24"/>
              </w:rPr>
              <w:t>19附息国债15</w:t>
            </w:r>
          </w:p>
        </w:tc>
        <w:tc>
          <w:tcPr>
            <w:vAlign w:val="center"/>
          </w:tcPr>
          <w:p>
            <w:pPr>
              <w:jc w:val="right"/>
            </w:pPr>
            <w:r>
              <w:rPr>
                <w:color w:val="000000"/>
                <w:sz w:val="24"/>
                <w:szCs w:val="24"/>
              </w:rPr>
              <w:t>100,000</w:t>
            </w:r>
          </w:p>
        </w:tc>
        <w:tc>
          <w:tcPr>
            <w:vAlign w:val="center"/>
          </w:tcPr>
          <w:p>
            <w:pPr>
              <w:jc w:val="right"/>
            </w:pPr>
            <w:r>
              <w:rPr>
                <w:color w:val="000000"/>
                <w:sz w:val="24"/>
                <w:szCs w:val="24"/>
              </w:rPr>
              <w:t>10,462,000.00</w:t>
            </w:r>
          </w:p>
        </w:tc>
        <w:tc>
          <w:tcPr>
            <w:vAlign w:val="center"/>
          </w:tcPr>
          <w:p>
            <w:pPr>
              <w:jc w:val="right"/>
            </w:pPr>
            <w:r>
              <w:rPr>
                <w:color w:val="000000"/>
                <w:sz w:val="24"/>
                <w:szCs w:val="24"/>
              </w:rPr>
              <w:t>7.74</w:t>
            </w:r>
          </w:p>
        </w:tc>
      </w:tr>
      <w:tr>
        <w:tc>
          <w:tcPr>
            <w:vAlign w:val="center"/>
          </w:tcPr>
          <w:p>
            <w:pPr>
              <w:jc w:val="center"/>
            </w:pPr>
            <w:r>
              <w:rPr>
                <w:color w:val="000000"/>
                <w:sz w:val="24"/>
                <w:szCs w:val="24"/>
              </w:rPr>
              <w:t>5</w:t>
            </w:r>
          </w:p>
        </w:tc>
        <w:tc>
          <w:tcPr>
            <w:vAlign w:val="center"/>
          </w:tcPr>
          <w:p>
            <w:pPr>
              <w:jc w:val="center"/>
            </w:pPr>
            <w:r>
              <w:rPr>
                <w:color w:val="000000"/>
                <w:sz w:val="24"/>
                <w:szCs w:val="24"/>
              </w:rPr>
              <w:t>108604</w:t>
            </w:r>
          </w:p>
        </w:tc>
        <w:tc>
          <w:tcPr>
            <w:vAlign w:val="center"/>
          </w:tcPr>
          <w:p>
            <w:pPr>
              <w:jc w:val="center"/>
            </w:pPr>
            <w:r>
              <w:rPr>
                <w:color w:val="000000"/>
                <w:sz w:val="24"/>
                <w:szCs w:val="24"/>
              </w:rPr>
              <w:t>国开1805</w:t>
            </w:r>
          </w:p>
        </w:tc>
        <w:tc>
          <w:tcPr>
            <w:vAlign w:val="center"/>
          </w:tcPr>
          <w:p>
            <w:pPr>
              <w:jc w:val="right"/>
            </w:pPr>
            <w:r>
              <w:rPr>
                <w:color w:val="000000"/>
                <w:sz w:val="24"/>
                <w:szCs w:val="24"/>
              </w:rPr>
              <w:t>96,730</w:t>
            </w:r>
          </w:p>
        </w:tc>
        <w:tc>
          <w:tcPr>
            <w:vAlign w:val="center"/>
          </w:tcPr>
          <w:p>
            <w:pPr>
              <w:jc w:val="right"/>
            </w:pPr>
            <w:r>
              <w:rPr>
                <w:color w:val="000000"/>
                <w:sz w:val="24"/>
                <w:szCs w:val="24"/>
              </w:rPr>
              <w:t>9,880,969.50</w:t>
            </w:r>
          </w:p>
        </w:tc>
        <w:tc>
          <w:tcPr>
            <w:vAlign w:val="center"/>
          </w:tcPr>
          <w:p>
            <w:pPr>
              <w:jc w:val="right"/>
            </w:pPr>
            <w:r>
              <w:rPr>
                <w:color w:val="000000"/>
                <w:sz w:val="24"/>
                <w:szCs w:val="24"/>
              </w:rPr>
              <w:t>7.31</w:t>
            </w:r>
          </w:p>
        </w:tc>
      </w:tr>
    </w:tbl>
    <w:p w:rsidP="00C15CAC" w:rsidR="004061AC" w:rsidRDefault="004061AC" w:rsidRPr="00414345">
      <w:pPr>
        <w:autoSpaceDE w:val="0"/>
        <w:autoSpaceDN w:val="0"/>
        <w:adjustRightInd w:val="0"/>
        <w:spacing w:before="29" w:line="288" w:lineRule="auto"/>
        <w:jc w:val="left"/>
        <w:rPr>
          <w:b/>
          <w:bCs/>
          <w:color w:val="000000"/>
          <w:kern w:val="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本基金本报告期末未持有资产支持证券。</w:t>
      </w:r>
    </w:p>
    <w:p w:rsidP="00C15CAC" w:rsidR="00A54C7D" w:rsidRDefault="00A54C7D" w:rsidRPr="00414345">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P="00C15CAC" w:rsidR="00632B0F" w:rsidRDefault="00632B0F" w:rsidRPr="00414345">
      <w:pPr>
        <w:widowControl/>
        <w:spacing w:line="288" w:lineRule="auto"/>
        <w:jc w:val="left"/>
        <w:rPr>
          <w:sz w:val="24"/>
          <w:szCs w:val="24"/>
        </w:rPr>
      </w:pPr>
      <w:r w:rsidRPr="00414345">
        <w:rPr>
          <w:sz w:val="24"/>
          <w:szCs w:val="24"/>
        </w:rPr>
        <w:t>本基金本报告期末未持有贵金属。</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A917BF"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336EAF" w:rsidRPr="00414345">
        <w:rPr>
          <w:b/>
          <w:bCs/>
          <w:color w:val="000000"/>
          <w:kern w:val="0"/>
          <w:sz w:val="24"/>
          <w:szCs w:val="24"/>
        </w:rPr>
        <w:t/>
      </w:r>
      <w:r w:rsidRPr="00414345">
        <w:rPr>
          <w:b/>
          <w:bCs/>
          <w:color w:val="000000"/>
          <w:kern w:val="0"/>
          <w:sz w:val="24"/>
          <w:szCs w:val="24"/>
        </w:rPr>
        <w:t>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
      </w:r>
      <w:r w:rsidR="00315D5D" w:rsidRPr="00414345">
        <w:rPr>
          <w:color w:val="000000"/>
          <w:sz w:val="24"/>
          <w:szCs w:val="24"/>
        </w:rPr>
        <w:t/>
      </w:r>
      <w:r w:rsidR="004061AC" w:rsidRPr="00414345">
        <w:rPr>
          <w:color w:val="000000"/>
          <w:sz w:val="24"/>
          <w:szCs w:val="24"/>
        </w:rPr>
        <w:t>本基金本报告期末未持有权证。</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275745" w:rsidRDefault="00CD570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A83500" w:rsidRPr="00414345">
        <w:rPr>
          <w:b/>
          <w:bCs/>
          <w:color w:val="000000"/>
          <w:kern w:val="0"/>
          <w:sz w:val="24"/>
          <w:szCs w:val="24"/>
        </w:rPr>
        <w:t/>
      </w:r>
      <w:r w:rsidR="003259C8"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P="00C15CAC" w:rsidR="00275745" w:rsidRDefault="00AA3A38" w:rsidRPr="00414345">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P="00C15CAC" w:rsidR="00AA3A38" w:rsidRDefault="00AA3A38" w:rsidRPr="00414345">
      <w:pPr>
        <w:adjustRightInd w:val="0"/>
        <w:snapToGrid w:val="0"/>
        <w:spacing w:before="29" w:line="288" w:lineRule="auto"/>
        <w:rPr>
          <w:sz w:val="24"/>
          <w:szCs w:val="24"/>
        </w:rPr>
      </w:pPr>
    </w:p>
    <w:p w:rsidP="00C15CAC" w:rsidR="00A669FC" w:rsidRDefault="00312A9F"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P="00C15CAC" w:rsidR="00312A9F" w:rsidRDefault="00312A9F" w:rsidRPr="00414345">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P="00C15CAC" w:rsidR="00426096" w:rsidRDefault="00426096" w:rsidRPr="00414345">
      <w:pPr>
        <w:autoSpaceDE w:val="0"/>
        <w:autoSpaceDN w:val="0"/>
        <w:adjustRightInd w:val="0"/>
        <w:spacing w:before="29" w:line="288" w:lineRule="auto"/>
        <w:jc w:val="left"/>
        <w:rPr>
          <w:color w:val="000000"/>
          <w:sz w:val="24"/>
          <w:szCs w:val="24"/>
        </w:rPr>
      </w:pPr>
    </w:p>
    <w:p w:rsidP="00C15CAC" w:rsidR="004061AC" w:rsidRDefault="003259C8"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P="00E40D31" w:rsidR="00BE5388" w:rsidRDefault="00BE5388" w:rsidRPr="00B34FB5">
      <w:pPr>
        <w:autoSpaceDE w:val="0"/>
        <w:autoSpaceDN w:val="0"/>
        <w:adjustRightInd w:val="0"/>
        <w:spacing w:before="29" w:line="288" w:lineRule="auto"/>
        <w:jc w:val="left"/>
        <w:rPr>
          <w:b/>
          <w:bCs/>
          <w:color w:val="000000"/>
          <w:kern w:val="0"/>
          <w:sz w:val="24"/>
          <w:szCs w:val="24"/>
        </w:rPr>
      </w:pPr>
      <w:r w:rsidRPr="00B34FB5">
        <w:rPr>
          <w:b/>
          <w:bCs/>
          <w:color w:val="000000"/>
          <w:kern w:val="0"/>
          <w:sz w:val="24"/>
          <w:szCs w:val="24"/>
        </w:rPr>
        <w:t>5.11.1</w:t>
      </w:r>
      <w:r w:rsidRPr="00AA3969">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P="00E40D31" w:rsidR="00BE5388" w:rsidRDefault="00BE5388" w:rsidRPr="00AA3969">
      <w:pPr>
        <w:autoSpaceDE w:val="0"/>
        <w:autoSpaceDN w:val="0"/>
        <w:adjustRightInd w:val="0"/>
        <w:spacing w:before="29" w:line="288" w:lineRule="auto"/>
        <w:jc w:val="left"/>
        <w:rPr>
          <w:bCs/>
          <w:color w:val="000000"/>
          <w:kern w:val="0"/>
          <w:sz w:val="24"/>
          <w:szCs w:val="24"/>
        </w:rPr>
      </w:pPr>
      <w:r w:rsidRPr="00B34FB5">
        <w:rPr>
          <w:b/>
          <w:bCs/>
          <w:color w:val="000000"/>
          <w:kern w:val="0"/>
          <w:sz w:val="24"/>
          <w:szCs w:val="24"/>
        </w:rPr>
        <w:t>5.11.2</w:t>
      </w:r>
      <w:bookmarkStart w:id="2" w:name="_GoBack"/>
      <w:r w:rsidRPr="00AA3969">
        <w:rPr>
          <w:bCs/>
          <w:color w:val="000000"/>
          <w:kern w:val="0"/>
          <w:sz w:val="24"/>
          <w:szCs w:val="24"/>
        </w:rPr>
        <w:t>本基金投资的前十名股票中，没有超出基金合同规定的备选股票库之外的股票。</w:t>
      </w:r>
    </w:p>
    <w:bookmarkEnd w:id="2"/>
    <w:p w:rsidP="00C15CAC" w:rsidR="004061AC" w:rsidRDefault="003259C8" w:rsidRPr="006B0D08">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11.3</w:t>
      </w:r>
      <w:r w:rsidR="0035383E" w:rsidRPr="006B0D08">
        <w:rPr>
          <w:b/>
          <w:bCs/>
          <w:color w:val="000000"/>
          <w:kern w:val="0"/>
          <w:sz w:val="24"/>
          <w:szCs w:val="24"/>
        </w:rPr>
        <w:t>其他</w:t>
      </w:r>
      <w:r w:rsidR="004061AC" w:rsidRPr="006B0D08">
        <w:rPr>
          <w:b/>
          <w:bCs/>
          <w:color w:val="000000"/>
          <w:kern w:val="0"/>
          <w:sz w:val="24"/>
          <w:szCs w:val="24"/>
        </w:rPr>
        <w:t>资产构成</w:t>
      </w:r>
    </w:p>
    <w:p w:rsidP="00DD7A00" w:rsidR="00DD7A00" w:rsidRDefault="004A0AA9" w:rsidRPr="00414345">
      <w:pPr>
        <w:autoSpaceDE w:val="0"/>
        <w:autoSpaceDN w:val="0"/>
        <w:adjustRightInd w:val="0"/>
        <w:spacing w:before="29" w:line="288" w:lineRule="auto"/>
        <w:jc w:val="right"/>
        <w:rPr>
          <w:bCs/>
          <w:color w:val="000000"/>
          <w:kern w:val="0"/>
          <w:sz w:val="24"/>
          <w:szCs w:val="24"/>
        </w:rPr>
      </w:pPr>
      <w:r w:rsidRPr="004A0AA9">
        <w:rPr>
          <w:rFonts w:hint="eastAsia"/>
          <w:bCs/>
          <w:color w:val="000000"/>
          <w:kern w:val="0"/>
          <w:sz w:val="24"/>
          <w:szCs w:val="24"/>
        </w:rPr>
        <w:t/>
      </w:r>
      <w:r w:rsidRPr="004A0AA9">
        <w:rPr>
          <w:rFonts w:hint="eastAsia"/>
          <w:bCs/>
          <w:color w:val="000000"/>
          <w:kern w:val="0"/>
          <w:sz w:val="24"/>
          <w:szCs w:val="24"/>
        </w:rPr>
        <w:t>金额单位：人民币元</w:t>
      </w:r>
    </w:p>
    <w:tbl>
      <w:tblPr>
        <w:tblStyle w:val="af7"/>
        <w:tblpPr w:horzAnchor="margin" w:leftFromText="180" w:rightFromText="180" w:tblpXSpec="center" w:tblpY="265" w:vertAnchor="text"/>
        <w:tblW w:type="dxa" w:w="8868"/>
        <w:jc w:val="center"/>
        <w:tblLayout w:type="fixed"/>
        <w:tblCellMar>
          <w:top w:type="dxa" w:w="-1"/>
          <w:bottom w:type="dxa" w:w="-1"/>
        </w:tblCellMar>
        <w:tblLook w:firstColumn="1" w:firstRow="1" w:lastColumn="0" w:lastRow="0" w:noHBand="0" w:noVBand="1" w:val="04A0"/>
      </w:tblPr>
      <w:tblGrid>
        <w:gridCol w:w="1287"/>
        <w:gridCol w:w="2573"/>
        <w:gridCol w:w="5008"/>
      </w:tblGrid>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type="dxa" w:w="2470"/>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type="dxa" w:w="4808"/>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37,380.97</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lastRenderedPageBreak/>
              <w:t>2</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2,172,573.96</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69.93</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2,210,024.86</w:t>
            </w:r>
          </w:p>
        </w:tc>
      </w:tr>
    </w:tbl>
    <w:p w:rsidP="00C15CAC" w:rsidR="002918E3" w:rsidRDefault="002918E3" w:rsidRPr="00414345">
      <w:pPr>
        <w:autoSpaceDE w:val="0"/>
        <w:autoSpaceDN w:val="0"/>
        <w:adjustRightInd w:val="0"/>
        <w:spacing w:before="29" w:line="288" w:lineRule="auto"/>
        <w:rPr>
          <w:color w:val="000000"/>
          <w:sz w:val="24"/>
          <w:szCs w:val="24"/>
        </w:rPr>
      </w:pPr>
    </w:p>
    <w:p w:rsidP="00C15CAC" w:rsidR="004061AC" w:rsidRDefault="003259C8" w:rsidRPr="006B0D08">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11.4</w:t>
      </w:r>
      <w:r w:rsidR="004061AC" w:rsidRPr="006B0D08">
        <w:rPr>
          <w:b/>
          <w:bCs/>
          <w:color w:val="000000"/>
          <w:kern w:val="0"/>
          <w:sz w:val="24"/>
          <w:szCs w:val="24"/>
        </w:rPr>
        <w:t>报告期末持有的处于转股期的可转换债券明细</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本基金本报告期末未持有处于转股期的可转换债券。</w:t>
      </w:r>
    </w:p>
    <w:p w:rsidP="00C15CAC" w:rsidR="004061AC" w:rsidRDefault="003259C8" w:rsidRPr="006B0D08">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11.5</w:t>
      </w:r>
      <w:r w:rsidR="004061AC" w:rsidRPr="006B0D08">
        <w:rPr>
          <w:b/>
          <w:bCs/>
          <w:color w:val="000000"/>
          <w:kern w:val="0"/>
          <w:sz w:val="24"/>
          <w:szCs w:val="24"/>
        </w:rPr>
        <w:t>报告期末前十名股票中存在流通受限情况的说明</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lastRenderedPageBreak/>
        <w:t/>
      </w:r>
      <w:r w:rsidR="004061AC" w:rsidRPr="00414345">
        <w:rPr>
          <w:color w:val="000000"/>
          <w:sz w:val="24"/>
          <w:szCs w:val="24"/>
        </w:rPr>
        <w:t/>
      </w:r>
      <w:r w:rsidR="008E326D" w:rsidRPr="00414345">
        <w:rPr>
          <w:color w:val="000000"/>
          <w:sz w:val="24"/>
          <w:szCs w:val="24"/>
        </w:rPr>
        <w:t/>
      </w:r>
      <w:r w:rsidR="004061AC" w:rsidRPr="00414345">
        <w:rPr>
          <w:color w:val="000000"/>
          <w:sz w:val="24"/>
          <w:szCs w:val="24"/>
        </w:rPr>
        <w:t>本基金本报告期末前十名股票中不存在流通受限情况。</w:t>
      </w:r>
    </w:p>
    <w:p w:rsidP="00C15CAC" w:rsidR="004061AC" w:rsidRDefault="00D02347" w:rsidRPr="006B0D08">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
      </w:r>
      <w:r w:rsidR="003259C8"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11.6</w:t>
      </w:r>
      <w:r w:rsidR="001675CD" w:rsidRPr="006B0D08">
        <w:rPr>
          <w:b/>
          <w:bCs/>
          <w:color w:val="000000"/>
          <w:kern w:val="0"/>
          <w:sz w:val="24"/>
          <w:szCs w:val="24"/>
        </w:rPr>
        <w:t>投资组合报告附注的其他文字描述部分</w:t>
      </w:r>
    </w:p>
    <w:p>
      <w:pPr>
        <w:spacing w:before="29" w:line="288" w:lineRule="auto"/>
        <w:rPr>
          <w:color w:val="000000"/>
          <w:sz w:val="24"/>
          <w:szCs w:val="24"/>
        </w:rPr>
      </w:pPr>
      <w:r>
        <w:rPr>
          <w:color w:val="000000"/>
          <w:sz w:val="24"/>
          <w:szCs w:val="24"/>
        </w:rPr>
        <w:t>1、本基金本报告期末未持有处于交换期的可交换债券。</w:t>
      </w:r>
    </w:p>
    <w:p w:rsidP="00E40D31" w:rsidR="006B2FF6" w:rsidRDefault="004061AC" w:rsidRPr="00414345">
      <w:pPr>
        <w:spacing w:before="29" w:line="288" w:lineRule="auto"/>
        <w:rPr>
          <w:color w:val="000000"/>
          <w:sz w:val="24"/>
          <w:szCs w:val="24"/>
        </w:rPr>
      </w:pPr>
      <w:r w:rsidRPr="00414345">
        <w:rPr>
          <w:color w:val="000000"/>
          <w:sz w:val="24"/>
          <w:szCs w:val="24"/>
        </w:rPr>
        <w:t/>
      </w:r>
      <w:r w:rsidR="001675CD" w:rsidRPr="00414345">
        <w:rPr>
          <w:color w:val="000000"/>
          <w:sz w:val="24"/>
          <w:szCs w:val="24"/>
        </w:rPr>
        <w:t/>
      </w:r>
      <w:r w:rsidRPr="00414345">
        <w:rPr>
          <w:color w:val="000000"/>
          <w:sz w:val="24"/>
          <w:szCs w:val="24"/>
        </w:rPr>
        <w:t>2、由于四舍五入的原因，分项之和与合计项之间可能存在尾差。</w:t>
      </w:r>
    </w:p>
    <w:p w:rsidP="00C15CAC" w:rsidR="006B2FF6" w:rsidRDefault="006B2FF6">
      <w:pPr>
        <w:spacing w:before="29" w:line="288" w:lineRule="auto"/>
        <w:ind w:firstLine="480" w:firstLineChars="200"/>
        <w:rPr>
          <w:color w:val="000000"/>
          <w:sz w:val="24"/>
          <w:szCs w:val="24"/>
        </w:rPr>
      </w:pPr>
    </w:p>
    <w:p w:rsidP="00C15CAC" w:rsidR="001F3E2A" w:rsidRDefault="001F3E2A">
      <w:pPr>
        <w:spacing w:before="29" w:line="288" w:lineRule="auto"/>
        <w:ind w:firstLine="480" w:firstLineChars="200"/>
        <w:rPr>
          <w:color w:val="000000"/>
          <w:sz w:val="24"/>
          <w:szCs w:val="24"/>
        </w:rPr>
      </w:pPr>
    </w:p>
    <w:p w:rsidP="00C15CAC" w:rsidR="001F3E2A" w:rsidRDefault="001F3E2A" w:rsidRPr="00414345">
      <w:pPr>
        <w:spacing w:before="29" w:line="288" w:lineRule="auto"/>
        <w:ind w:firstLine="480" w:firstLineChars="200"/>
        <w:rPr>
          <w:color w:val="000000"/>
          <w:sz w:val="24"/>
          <w:szCs w:val="24"/>
        </w:rPr>
      </w:pPr>
    </w:p>
    <w:p w:rsidP="0011537B" w:rsidR="004061AC" w:rsidRDefault="0072794E" w:rsidRPr="005A3D62">
      <w:pPr>
        <w:pStyle w:val="1"/>
        <w:spacing w:after="312" w:afterLines="100" w:before="312" w:beforeLines="100" w:line="360" w:lineRule="auto"/>
        <w:jc w:val="center"/>
        <w:rPr>
          <w:rFonts w:eastAsiaTheme="minorEastAsia"/>
          <w:color w:themeColor="text1" w:val="000000"/>
          <w:kern w:val="0"/>
          <w:sz w:val="24"/>
          <w:szCs w:val="24"/>
        </w:rPr>
      </w:pPr>
      <w:r w:rsidRPr="005A3D62">
        <w:rPr>
          <w:rFonts w:eastAsiaTheme="minorEastAsia"/>
          <w:color w:themeColor="text1" w:val="000000"/>
          <w:kern w:val="0"/>
          <w:sz w:val="24"/>
          <w:szCs w:val="24"/>
        </w:rPr>
        <w:t/>
      </w:r>
      <w:r w:rsidR="004061AC" w:rsidRPr="005A3D62">
        <w:rPr>
          <w:rFonts w:eastAsiaTheme="minorEastAsia"/>
          <w:color w:themeColor="text1" w:val="000000"/>
          <w:kern w:val="0"/>
          <w:sz w:val="24"/>
          <w:szCs w:val="24"/>
        </w:rPr>
        <w:t>§</w:t>
      </w:r>
      <w:r w:rsidRPr="005A3D62">
        <w:rPr>
          <w:rFonts w:eastAsiaTheme="minorEastAsia"/>
          <w:color w:themeColor="text1" w:val="000000"/>
          <w:kern w:val="0"/>
          <w:sz w:val="24"/>
          <w:szCs w:val="24"/>
        </w:rPr>
        <w:t>6</w:t>
      </w:r>
      <w:r w:rsidR="004061AC" w:rsidRPr="005A3D62">
        <w:rPr>
          <w:rFonts w:eastAsiaTheme="minorEastAsia"/>
          <w:color w:themeColor="text1" w:val="000000"/>
          <w:kern w:val="0"/>
          <w:sz w:val="24"/>
          <w:szCs w:val="24"/>
        </w:rPr>
        <w:t xml:space="preserve">  </w:t>
      </w:r>
      <w:r w:rsidR="004061AC" w:rsidRPr="005A3D62">
        <w:rPr>
          <w:rFonts w:eastAsiaTheme="minorEastAsia"/>
          <w:color w:themeColor="text1" w:val="000000"/>
          <w:kern w:val="0"/>
          <w:sz w:val="24"/>
          <w:szCs w:val="24"/>
        </w:rPr>
        <w:t>开放式基金份额变动</w:t>
      </w:r>
    </w:p>
    <w:p w:rsidP="00C15CAC" w:rsidR="004061AC" w:rsidRDefault="004061AC" w:rsidRPr="00414345">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type="dxa" w:w="8868"/>
        <w:jc w:val="center"/>
        <w:tblLayout w:type="fixed"/>
        <w:tblCellMar>
          <w:top w:type="dxa" w:w="-1"/>
          <w:bottom w:type="dxa" w:w="-1"/>
        </w:tblCellMar>
        <w:tblLook w:firstColumn="0" w:firstRow="0" w:lastColumn="0" w:lastRow="0" w:noHBand="0" w:noVBand="0" w:val="0000"/>
      </w:tblPr>
      <w:tblGrid>
        <w:gridCol w:w="4734"/>
        <w:gridCol w:w="4134"/>
      </w:tblGrid>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8F60F2"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
            </w:r>
            <w:r w:rsidR="006D7FF8" w:rsidRPr="00414345">
              <w:rPr>
                <w:color w:val="000000"/>
                <w:sz w:val="24"/>
                <w:szCs w:val="24"/>
              </w:rPr>
              <w:t/>
            </w:r>
            <w:r w:rsidR="00355364" w:rsidRPr="00414345">
              <w:rPr>
                <w:color w:val="000000"/>
                <w:sz w:val="24"/>
                <w:szCs w:val="24"/>
              </w:rPr>
              <w:t/>
            </w:r>
            <w:r w:rsidR="006D7FF8" w:rsidRPr="00414345">
              <w:rPr>
                <w:color w:val="000000"/>
                <w:sz w:val="24"/>
                <w:szCs w:val="24"/>
              </w:rPr>
              <w:t>85,452,645.06</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FE179F"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47,389,423.54</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4,807,159.25</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35076C" w:rsidR="004061AC" w:rsidRDefault="00FE179F"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6D7FF8" w:rsidRDefault="006D7FF8"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6D7FF8" w:rsidRDefault="006D7FF8"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
            </w:r>
            <w:r w:rsidR="00355364" w:rsidRPr="00414345">
              <w:rPr>
                <w:color w:val="000000"/>
                <w:sz w:val="24"/>
                <w:szCs w:val="24"/>
              </w:rPr>
              <w:t/>
            </w:r>
            <w:r w:rsidRPr="00414345">
              <w:rPr>
                <w:color w:val="000000"/>
                <w:sz w:val="24"/>
                <w:szCs w:val="24"/>
              </w:rPr>
              <w:t>128,034,909.35</w:t>
            </w:r>
          </w:p>
        </w:tc>
      </w:tr>
    </w:tbl>
    <w:p>
      <w:pPr>
        <w:autoSpaceDE w:val="0"/>
        <w:autoSpaceDN w:val="0"/>
        <w:adjustRightInd w:val="0"/>
        <w:spacing w:before="29" w:line="288" w:lineRule="auto"/>
        <w:jc w:val="left"/>
        <w:rPr>
          <w:color w:val="000000"/>
          <w:sz w:val="24"/>
          <w:szCs w:val="24"/>
        </w:rPr>
      </w:pPr>
      <w:r>
        <w:rPr>
          <w:color w:val="000000"/>
          <w:sz w:val="24"/>
          <w:szCs w:val="24"/>
        </w:rPr>
        <w:t>注：1、如果本报告期间发生转换入、红利再投业务，则总申购份额中包含该业务；</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　　2、如果本报告期间发生转换出业务，则总赎回份额中包含该业务。</w:t>
      </w:r>
    </w:p>
    <w:p w:rsidP="00C15CAC" w:rsidR="00320E90" w:rsidRDefault="00320E90">
      <w:pPr>
        <w:autoSpaceDE w:val="0"/>
        <w:autoSpaceDN w:val="0"/>
        <w:adjustRightInd w:val="0"/>
        <w:spacing w:before="29" w:line="288" w:lineRule="auto"/>
        <w:jc w:val="left"/>
        <w:rPr>
          <w:color w:val="000000"/>
          <w:sz w:val="24"/>
          <w:szCs w:val="24"/>
        </w:rPr>
      </w:pPr>
    </w:p>
    <w:p w:rsidP="0011537B" w:rsidR="00ED2620" w:rsidRDefault="00ED2620" w:rsidRPr="00ED2620">
      <w:pPr>
        <w:pStyle w:val="1"/>
        <w:tabs>
          <w:tab w:pos="4156" w:val="center"/>
          <w:tab w:pos="8312" w:val="right"/>
        </w:tabs>
        <w:spacing w:after="312" w:afterLines="100" w:before="312" w:beforeLines="100" w:line="288" w:lineRule="auto"/>
        <w:jc w:val="center"/>
        <w:rPr>
          <w:sz w:val="24"/>
          <w:szCs w:val="24"/>
        </w:rPr>
      </w:pPr>
      <w:r w:rsidRPr="00ED2620">
        <w:rPr>
          <w:rFonts w:eastAsiaTheme="minorEastAsia"/>
          <w:color w:val="000000"/>
          <w:kern w:val="0"/>
          <w:sz w:val="24"/>
          <w:szCs w:val="24"/>
        </w:rPr>
        <w:t/>
      </w:r>
      <w:r w:rsidR="000A2FC0" w:rsidRPr="00414345">
        <w:rPr>
          <w:color w:val="000000"/>
          <w:kern w:val="0"/>
          <w:sz w:val="24"/>
          <w:szCs w:val="24"/>
        </w:rPr>
        <w:t>§</w:t>
      </w:r>
      <w:r w:rsidR="00406DA6">
        <w:rPr>
          <w:rFonts w:eastAsiaTheme="minorEastAsia"/>
          <w:color w:val="000000"/>
          <w:kern w:val="0"/>
          <w:sz w:val="24"/>
          <w:szCs w:val="24"/>
        </w:rPr>
        <w:t/>
      </w:r>
      <w:r w:rsidR="00406DA6">
        <w:rPr>
          <w:rFonts w:eastAsiaTheme="minorEastAsia" w:hint="eastAsia"/>
          <w:color w:val="000000"/>
          <w:kern w:val="0"/>
          <w:sz w:val="24"/>
          <w:szCs w:val="24"/>
        </w:rPr>
        <w:t/>
      </w:r>
      <w:r w:rsidRPr="00ED2620">
        <w:rPr>
          <w:rFonts w:eastAsiaTheme="minorEastAsia"/>
          <w:color w:val="000000"/>
          <w:kern w:val="0"/>
          <w:sz w:val="24"/>
          <w:szCs w:val="24"/>
        </w:rPr>
        <w:t xml:space="preserve">7  </w:t>
      </w:r>
      <w:r w:rsidRPr="00ED2620">
        <w:rPr>
          <w:sz w:val="24"/>
          <w:szCs w:val="24"/>
        </w:rPr>
        <w:t>基金管理人运用固有资金投资本基金情况</w:t>
      </w:r>
    </w:p>
    <w:p w:rsidP="00C15CAC" w:rsidR="00ED2620" w:rsidRDefault="00ED2620" w:rsidRPr="00ED2620">
      <w:pPr>
        <w:spacing w:line="288" w:lineRule="auto"/>
        <w:jc w:val="left"/>
        <w:rPr>
          <w:sz w:val="24"/>
          <w:szCs w:val="24"/>
        </w:rPr>
      </w:pPr>
      <w:r w:rsidRPr="00ED2620">
        <w:rPr>
          <w:b/>
          <w:sz w:val="24"/>
        </w:rPr>
        <w:t xml:space="preserve">7.1 </w:t>
      </w:r>
      <w:r w:rsidRPr="00ED2620">
        <w:rPr>
          <w:b/>
          <w:sz w:val="24"/>
        </w:rPr>
        <w:t>基金管理人持有本基金份额变动情况</w:t>
      </w:r>
    </w:p>
    <w:p w:rsidP="00C15CAC" w:rsidR="00410630" w:rsidRDefault="00ED2620">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
      </w:r>
      <w:r w:rsidR="006075E6">
        <w:rPr>
          <w:rFonts w:eastAsiaTheme="minorEastAsia" w:hint="eastAsia"/>
          <w:color w:val="000000"/>
          <w:sz w:val="24"/>
        </w:rPr>
        <w:t/>
      </w:r>
      <w:r w:rsidRPr="00ED2620">
        <w:rPr>
          <w:rFonts w:eastAsiaTheme="minorEastAsia"/>
          <w:color w:val="000000"/>
          <w:sz w:val="24"/>
        </w:rPr>
        <w:t>本报告期内未发生基金管理人运用固有资金投资本基金的情况。</w:t>
      </w:r>
    </w:p>
    <w:p w:rsidP="00C15CAC" w:rsidR="00410630" w:rsidRDefault="00410630">
      <w:pPr>
        <w:autoSpaceDE w:val="0"/>
        <w:autoSpaceDN w:val="0"/>
        <w:adjustRightInd w:val="0"/>
        <w:spacing w:before="29" w:line="288" w:lineRule="auto"/>
        <w:jc w:val="left"/>
        <w:rPr>
          <w:rFonts w:eastAsiaTheme="minorEastAsia"/>
          <w:color w:val="000000"/>
          <w:sz w:val="24"/>
        </w:rPr>
      </w:pPr>
    </w:p>
    <w:p w:rsidP="00BB5E0E" w:rsidR="00410630" w:rsidRDefault="00410630" w:rsidRPr="00BB5E0E">
      <w:pPr>
        <w:spacing w:line="288" w:lineRule="auto"/>
        <w:jc w:val="left"/>
        <w:rPr>
          <w:b/>
          <w:sz w:val="24"/>
        </w:rPr>
      </w:pPr>
      <w:r w:rsidRPr="00410630">
        <w:rPr>
          <w:b/>
          <w:sz w:val="24"/>
        </w:rPr>
        <w:t>7.2</w:t>
      </w:r>
      <w:r w:rsidRPr="00410630">
        <w:rPr>
          <w:rFonts w:hint="eastAsia"/>
          <w:b/>
          <w:sz w:val="24"/>
        </w:rPr>
        <w:t>基金管理人运用固有资金投资本基金交易明细</w:t>
      </w:r>
    </w:p>
    <w:p w:rsidP="00C15CAC" w:rsidR="00320300" w:rsidRDefault="00320300" w:rsidRPr="00414345">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P="00C15CAC" w:rsidR="00480B35" w:rsidRDefault="00480B35" w:rsidRPr="00414345">
      <w:pPr>
        <w:autoSpaceDE w:val="0"/>
        <w:autoSpaceDN w:val="0"/>
        <w:adjustRightInd w:val="0"/>
        <w:spacing w:before="29" w:line="288" w:lineRule="auto"/>
        <w:jc w:val="left"/>
        <w:rPr>
          <w:color w:val="000000"/>
          <w:sz w:val="24"/>
        </w:rPr>
      </w:pPr>
    </w:p>
    <w:p w:rsidP="0011537B" w:rsidR="003C50AD" w:rsidRDefault="003C50AD" w:rsidRPr="00220C32">
      <w:pPr>
        <w:pStyle w:val="1"/>
        <w:spacing w:after="312" w:afterLines="100" w:before="312" w:beforeLines="100" w:line="360" w:lineRule="auto"/>
        <w:jc w:val="center"/>
        <w:rPr>
          <w:rFonts w:asciiTheme="minorEastAsia" w:eastAsiaTheme="minorEastAsia" w:hAnsiTheme="minorEastAsia"/>
          <w:color w:themeColor="text1" w:val="000000"/>
          <w:kern w:val="0"/>
          <w:sz w:val="24"/>
          <w:szCs w:val="24"/>
        </w:rPr>
      </w:pPr>
      <w:r w:rsidRPr="00220C32">
        <w:rPr>
          <w:rFonts w:asciiTheme="minorEastAsia" w:eastAsiaTheme="minorEastAsia" w:hAnsiTheme="minorEastAsia" w:hint="eastAsia"/>
          <w:color w:themeColor="text1" w:val="000000"/>
          <w:kern w:val="0"/>
          <w:sz w:val="24"/>
          <w:szCs w:val="24"/>
        </w:rPr>
        <w:t>§8</w:t>
      </w:r>
      <w:r w:rsidRPr="00220C32">
        <w:rPr>
          <w:rFonts w:asciiTheme="minorEastAsia" w:eastAsiaTheme="minorEastAsia" w:hAnsiTheme="minorEastAsia"/>
          <w:color w:themeColor="text1" w:val="000000"/>
          <w:kern w:val="0"/>
          <w:sz w:val="24"/>
          <w:szCs w:val="24"/>
        </w:rPr>
        <w:t xml:space="preserve">  </w:t>
      </w:r>
      <w:r w:rsidRPr="00220C32">
        <w:rPr>
          <w:rFonts w:asciiTheme="minorEastAsia" w:eastAsiaTheme="minorEastAsia" w:hAnsiTheme="minorEastAsia" w:hint="eastAsia"/>
          <w:color w:themeColor="text1" w:val="000000"/>
          <w:kern w:val="0"/>
          <w:sz w:val="24"/>
          <w:szCs w:val="24"/>
        </w:rPr>
        <w:t>影响投资者决策的其他重要信息</w:t>
      </w:r>
    </w:p>
    <w:p w:rsidP="003C50AD" w:rsidR="003C50AD" w:rsidRDefault="003C50AD" w:rsidRPr="009A5C99">
      <w:pPr>
        <w:autoSpaceDE w:val="0"/>
        <w:autoSpaceDN w:val="0"/>
        <w:adjustRightInd w:val="0"/>
        <w:spacing w:line="360" w:lineRule="auto"/>
        <w:jc w:val="left"/>
        <w:rPr>
          <w:rFonts w:ascii="宋体" w:hAnsi="宋体"/>
          <w:b/>
          <w:bCs/>
          <w:color w:val="000000"/>
          <w:kern w:val="0"/>
          <w:sz w:val="24"/>
          <w:szCs w:val="24"/>
        </w:rPr>
      </w:pPr>
      <w:r w:rsidRPr="009A5C99">
        <w:rPr>
          <w:rFonts w:ascii="宋体" w:hAnsi="宋体"/>
          <w:b/>
          <w:color w:val="000000"/>
          <w:kern w:val="0"/>
          <w:sz w:val="24"/>
          <w:szCs w:val="24"/>
        </w:rPr>
        <w:t/>
      </w:r>
      <w:r w:rsidRPr="009A5C99">
        <w:rPr>
          <w:rFonts w:ascii="宋体" w:hAnsi="宋体"/>
          <w:b/>
          <w:bCs/>
          <w:color w:val="000000"/>
          <w:kern w:val="0"/>
          <w:sz w:val="24"/>
          <w:szCs w:val="24"/>
        </w:rPr>
        <w:t>8.</w:t>
      </w:r>
      <w:r w:rsidRPr="009A5C99">
        <w:rPr>
          <w:rFonts w:ascii="宋体" w:hAnsi="宋体" w:hint="eastAsia"/>
          <w:b/>
          <w:bCs/>
          <w:color w:val="000000"/>
          <w:kern w:val="0"/>
          <w:sz w:val="24"/>
          <w:szCs w:val="24"/>
        </w:rPr>
        <w:t>1 报告期内单一投资者持有基金份额比例达到或超过20%的情况</w:t>
      </w:r>
    </w:p>
    <w:tbl>
      <w:tblPr>
        <w:tblW w:type="dxa" w:w="9212"/>
        <w:tblInd w:type="dxa" w:w="-176"/>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993"/>
        <w:gridCol w:w="992"/>
        <w:gridCol w:w="1843"/>
        <w:gridCol w:w="851"/>
        <w:gridCol w:w="850"/>
        <w:gridCol w:w="1134"/>
        <w:gridCol w:w="1419"/>
        <w:gridCol w:w="1130"/>
      </w:tblGrid>
      <w:tr w:rsidR="003C50AD" w:rsidRPr="004F4D27" w:rsidTr="00424D30">
        <w:tc>
          <w:tcPr>
            <w:tcW w:type="dxa" w:w="993"/>
            <w:vMerge w:val="restart"/>
            <w:vAlign w:val="center"/>
          </w:tcPr>
          <w:p w:rsidP="00424D30" w:rsidR="003C50AD" w:rsidRDefault="003C50AD" w:rsidRPr="004F4D27">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投资者类别</w:t>
            </w:r>
            <w:r w:rsidRPr="004F4D27">
              <w:rPr>
                <w:rFonts w:ascii="宋体" w:hAnsi="宋体"/>
                <w:color w:val="000000"/>
                <w:kern w:val="0"/>
              </w:rPr>
              <w:t/>
            </w:r>
            <w:r w:rsidRPr="004F4D27">
              <w:rPr>
                <w:rFonts w:ascii="宋体" w:hAnsi="宋体"/>
                <w:color w:val="000000"/>
                <w:kern w:val="0"/>
              </w:rPr>
              <w:lastRenderedPageBreak/>
              <w:t xml:space="preserve">  </w:t>
            </w:r>
          </w:p>
        </w:tc>
        <w:tc>
          <w:tcPr>
            <w:tcW w:type="dxa" w:w="5670"/>
            <w:gridSpan w:val="5"/>
            <w:vAlign w:val="center"/>
          </w:tcPr>
          <w:p w:rsidP="00424D30" w:rsidR="003C50AD" w:rsidRDefault="003C50AD" w:rsidRPr="004F4D27">
            <w:pPr>
              <w:autoSpaceDE w:val="0"/>
              <w:autoSpaceDN w:val="0"/>
              <w:adjustRightInd w:val="0"/>
              <w:jc w:val="center"/>
              <w:rPr>
                <w:rFonts w:ascii="宋体" w:hAnsi="宋体"/>
                <w:b/>
                <w:bCs/>
                <w:color w:val="000000"/>
                <w:kern w:val="0"/>
              </w:rPr>
            </w:pPr>
            <w:r w:rsidRPr="004F4D27">
              <w:rPr>
                <w:rFonts w:ascii="宋体" w:hAnsi="宋体" w:hint="eastAsia"/>
                <w:color w:val="000000"/>
                <w:kern w:val="0"/>
              </w:rPr>
              <w:lastRenderedPageBreak/>
              <w:t>报告期内持有基金份额变化情况</w:t>
            </w:r>
          </w:p>
        </w:tc>
        <w:tc>
          <w:tcPr>
            <w:tcW w:type="dxa" w:w="2549"/>
            <w:gridSpan w:val="2"/>
            <w:vAlign w:val="center"/>
          </w:tcPr>
          <w:p w:rsidP="00424D30" w:rsidR="003C50AD" w:rsidRDefault="003C50AD" w:rsidRPr="004F4D27">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报告期末持有基金情况</w:t>
            </w:r>
          </w:p>
        </w:tc>
      </w:tr>
      <w:tr w:rsidR="003C50AD" w:rsidRPr="004F4D27" w:rsidTr="00424D30">
        <w:tc>
          <w:tcPr>
            <w:tcW w:type="dxa" w:w="993"/>
            <w:vMerge/>
            <w:vAlign w:val="center"/>
          </w:tcPr>
          <w:p w:rsidP="00424D30" w:rsidR="003C50AD" w:rsidRDefault="003C50AD" w:rsidRPr="004F4D27">
            <w:pPr>
              <w:autoSpaceDE w:val="0"/>
              <w:autoSpaceDN w:val="0"/>
              <w:adjustRightInd w:val="0"/>
              <w:jc w:val="center"/>
              <w:rPr>
                <w:rFonts w:ascii="宋体" w:hAnsi="宋体"/>
                <w:b/>
                <w:bCs/>
                <w:color w:val="000000"/>
                <w:kern w:val="0"/>
              </w:rPr>
            </w:pPr>
          </w:p>
        </w:tc>
        <w:tc>
          <w:tcPr>
            <w:tcW w:type="dxa" w:w="992"/>
            <w:vAlign w:val="center"/>
          </w:tcPr>
          <w:p w:rsidP="00424D30" w:rsidR="003C50AD" w:rsidRDefault="003C50AD" w:rsidRPr="004F4D27">
            <w:pPr>
              <w:autoSpaceDE w:val="0"/>
              <w:autoSpaceDN w:val="0"/>
              <w:adjustRightInd w:val="0"/>
              <w:jc w:val="center"/>
              <w:rPr>
                <w:rFonts w:ascii="宋体" w:hAnsi="宋体"/>
                <w:b/>
                <w:bCs/>
                <w:color w:val="000000"/>
                <w:kern w:val="0"/>
              </w:rPr>
            </w:pPr>
            <w:r w:rsidRPr="004F4D27">
              <w:rPr>
                <w:rFonts w:ascii="宋体" w:hAnsi="宋体" w:hint="eastAsia"/>
                <w:color w:val="000000"/>
                <w:kern w:val="0"/>
              </w:rPr>
              <w:t>序号</w:t>
            </w:r>
          </w:p>
        </w:tc>
        <w:tc>
          <w:tcPr>
            <w:tcW w:type="dxa" w:w="1843"/>
            <w:vAlign w:val="center"/>
          </w:tcPr>
          <w:p w:rsidP="00424D30" w:rsidR="003C50AD" w:rsidRDefault="003C50AD" w:rsidRPr="004F4D27">
            <w:pPr>
              <w:autoSpaceDE w:val="0"/>
              <w:autoSpaceDN w:val="0"/>
              <w:adjustRightInd w:val="0"/>
              <w:jc w:val="center"/>
              <w:rPr>
                <w:rFonts w:ascii="宋体" w:hAnsi="宋体"/>
                <w:b/>
                <w:bCs/>
                <w:color w:val="000000"/>
                <w:kern w:val="0"/>
              </w:rPr>
            </w:pPr>
            <w:r w:rsidRPr="004F4D27">
              <w:rPr>
                <w:rFonts w:ascii="宋体" w:hAnsi="宋体" w:hint="eastAsia"/>
                <w:color w:val="000000"/>
                <w:kern w:val="0"/>
              </w:rPr>
              <w:t>持有基金份额比例达到或者超过20%的时间区间</w:t>
            </w:r>
          </w:p>
        </w:tc>
        <w:tc>
          <w:tcPr>
            <w:tcW w:type="dxa" w:w="851"/>
            <w:vAlign w:val="center"/>
          </w:tcPr>
          <w:p w:rsidP="00424D30" w:rsidR="003C50AD" w:rsidRDefault="003C50AD" w:rsidRPr="004F4D27">
            <w:pPr>
              <w:widowControl/>
              <w:jc w:val="center"/>
              <w:rPr>
                <w:rFonts w:ascii="宋体" w:hAnsi="宋体"/>
                <w:b/>
                <w:bCs/>
                <w:color w:val="000000"/>
                <w:kern w:val="0"/>
              </w:rPr>
            </w:pPr>
            <w:r w:rsidRPr="004F4D27">
              <w:rPr>
                <w:rFonts w:ascii="宋体" w:hAnsi="宋体" w:hint="eastAsia"/>
                <w:color w:val="000000"/>
                <w:kern w:val="0"/>
              </w:rPr>
              <w:t>期初份额</w:t>
            </w:r>
          </w:p>
        </w:tc>
        <w:tc>
          <w:tcPr>
            <w:tcW w:type="dxa" w:w="850"/>
            <w:vAlign w:val="center"/>
          </w:tcPr>
          <w:p w:rsidP="00424D30" w:rsidR="003C50AD" w:rsidRDefault="003C50AD" w:rsidRPr="004F4D27">
            <w:pPr>
              <w:widowControl/>
              <w:jc w:val="center"/>
              <w:rPr>
                <w:rFonts w:ascii="宋体" w:hAnsi="宋体"/>
                <w:b/>
                <w:bCs/>
                <w:color w:val="000000"/>
                <w:kern w:val="0"/>
              </w:rPr>
            </w:pPr>
            <w:r w:rsidRPr="004F4D27">
              <w:rPr>
                <w:rFonts w:ascii="宋体" w:hAnsi="宋体" w:hint="eastAsia"/>
                <w:color w:val="000000"/>
                <w:kern w:val="0"/>
              </w:rPr>
              <w:t>申购份额</w:t>
            </w:r>
          </w:p>
        </w:tc>
        <w:tc>
          <w:tcPr>
            <w:tcW w:type="dxa" w:w="1134"/>
            <w:vAlign w:val="center"/>
          </w:tcPr>
          <w:p w:rsidP="00424D30" w:rsidR="003C50AD" w:rsidRDefault="003C50AD" w:rsidRPr="004F4D27">
            <w:pPr>
              <w:widowControl/>
              <w:jc w:val="center"/>
              <w:rPr>
                <w:rFonts w:ascii="宋体" w:hAnsi="宋体"/>
                <w:b/>
                <w:bCs/>
                <w:color w:val="000000"/>
                <w:kern w:val="0"/>
              </w:rPr>
            </w:pPr>
            <w:r w:rsidRPr="004F4D27">
              <w:rPr>
                <w:rFonts w:ascii="宋体" w:hAnsi="宋体" w:hint="eastAsia"/>
                <w:color w:val="000000"/>
                <w:kern w:val="0"/>
              </w:rPr>
              <w:t>赎回份额</w:t>
            </w:r>
          </w:p>
        </w:tc>
        <w:tc>
          <w:tcPr>
            <w:tcW w:type="dxa" w:w="1419"/>
            <w:vAlign w:val="center"/>
          </w:tcPr>
          <w:p w:rsidP="00424D30" w:rsidR="003C50AD" w:rsidRDefault="003C50AD" w:rsidRPr="004F4D27">
            <w:pPr>
              <w:autoSpaceDE w:val="0"/>
              <w:autoSpaceDN w:val="0"/>
              <w:adjustRightInd w:val="0"/>
              <w:jc w:val="center"/>
              <w:rPr>
                <w:rFonts w:ascii="宋体" w:hAnsi="宋体"/>
                <w:b/>
                <w:bCs/>
                <w:color w:val="000000"/>
                <w:kern w:val="0"/>
              </w:rPr>
            </w:pPr>
            <w:r w:rsidRPr="004F4D27">
              <w:rPr>
                <w:rFonts w:ascii="宋体" w:hAnsi="宋体" w:hint="eastAsia"/>
                <w:color w:val="000000"/>
                <w:kern w:val="0"/>
              </w:rPr>
              <w:t>持有份额</w:t>
            </w:r>
          </w:p>
        </w:tc>
        <w:tc>
          <w:tcPr>
            <w:tcW w:type="dxa" w:w="1130"/>
            <w:vAlign w:val="center"/>
          </w:tcPr>
          <w:p w:rsidP="00424D30" w:rsidR="003C50AD" w:rsidRDefault="003C50AD" w:rsidRPr="004F4D27">
            <w:pPr>
              <w:autoSpaceDE w:val="0"/>
              <w:autoSpaceDN w:val="0"/>
              <w:adjustRightInd w:val="0"/>
              <w:jc w:val="center"/>
              <w:rPr>
                <w:rFonts w:ascii="宋体" w:hAnsi="宋体"/>
                <w:b/>
                <w:bCs/>
                <w:color w:val="000000"/>
                <w:kern w:val="0"/>
              </w:rPr>
            </w:pPr>
            <w:r w:rsidRPr="004F4D27">
              <w:rPr>
                <w:rFonts w:ascii="宋体" w:hAnsi="宋体" w:hint="eastAsia"/>
                <w:color w:val="000000"/>
                <w:kern w:val="0"/>
              </w:rPr>
              <w:t>份额占比</w:t>
            </w:r>
          </w:p>
        </w:tc>
      </w:tr>
      <w:tr>
        <w:tc>
          <w:tcPr>
            <w:vMerge w:val="restart"/>
          </w:tcPr>
          <w:p/>
          <w:p>
            <w:r>
              <w:rPr>
                <w:rFonts w:ascii="宋体" w:hAnsi="宋体" w:hint="eastAsia"/>
                <w:bCs/>
                <w:color w:val="000000"/>
                <w:kern w:val="0"/>
              </w:rPr>
              <w:t>机构</w:t>
            </w:r>
          </w:p>
        </w:tc>
        <w:tc>
          <w:tcPr>
            <w:vAlign w:val="center"/>
          </w:tcPr>
          <w:p>
            <w:pPr>
              <w:jc w:val="center"/>
            </w:pPr>
            <w:r>
              <w:rPr>
                <w:rFonts w:ascii="宋体" w:hAnsi="宋体"/>
                <w:color w:val="000000"/>
                <w:kern w:val="0"/>
              </w:rPr>
              <w:t>1</w:t>
            </w:r>
          </w:p>
        </w:tc>
        <w:tc>
          <w:tcPr>
            <w:vAlign w:val="center"/>
          </w:tcPr>
          <w:p>
            <w:pPr>
              <w:jc w:val="center"/>
            </w:pPr>
            <w:r>
              <w:rPr>
                <w:rFonts w:ascii="宋体" w:hAnsi="宋体"/>
                <w:color w:val="000000"/>
                <w:kern w:val="0"/>
              </w:rPr>
              <w:t>2020/1/1-2020/3/31</w:t>
            </w:r>
          </w:p>
        </w:tc>
        <w:tc>
          <w:tcPr>
            <w:vAlign w:val="center"/>
          </w:tcPr>
          <w:p>
            <w:pPr>
              <w:jc w:val="center"/>
            </w:pPr>
            <w:r>
              <w:rPr>
                <w:rFonts w:ascii="宋体" w:hAnsi="宋体"/>
                <w:color w:val="000000"/>
                <w:kern w:val="0"/>
              </w:rPr>
              <w:t>42,815,413.89</w:t>
            </w:r>
          </w:p>
        </w:tc>
        <w:tc>
          <w:tcPr>
            <w:vAlign w:val="center"/>
          </w:tcPr>
          <w:p>
            <w:pPr>
              <w:jc w:val="center"/>
            </w:pPr>
            <w:r>
              <w:rPr>
                <w:rFonts w:ascii="宋体" w:hAnsi="宋体"/>
                <w:color w:val="000000"/>
                <w:kern w:val="0"/>
              </w:rPr>
              <w:t>-</w:t>
            </w:r>
          </w:p>
        </w:tc>
        <w:tc>
          <w:tcPr>
            <w:vAlign w:val="center"/>
          </w:tcPr>
          <w:p>
            <w:pPr>
              <w:jc w:val="center"/>
            </w:pPr>
            <w:r>
              <w:rPr>
                <w:rFonts w:ascii="宋体" w:hAnsi="宋体"/>
                <w:color w:val="000000"/>
                <w:kern w:val="0"/>
              </w:rPr>
              <w:t>-</w:t>
            </w:r>
          </w:p>
        </w:tc>
        <w:tc>
          <w:tcPr>
            <w:vAlign w:val="center"/>
          </w:tcPr>
          <w:p>
            <w:pPr>
              <w:jc w:val="center"/>
            </w:pPr>
            <w:r>
              <w:rPr>
                <w:rFonts w:ascii="宋体" w:hAnsi="宋体"/>
                <w:color w:val="000000"/>
                <w:kern w:val="0"/>
              </w:rPr>
              <w:t>42,815,413.89</w:t>
            </w:r>
          </w:p>
        </w:tc>
        <w:tc>
          <w:tcPr>
            <w:vAlign w:val="center"/>
          </w:tcPr>
          <w:p>
            <w:pPr>
              <w:jc w:val="center"/>
            </w:pPr>
            <w:r>
              <w:rPr>
                <w:rFonts w:ascii="宋体" w:hAnsi="宋体"/>
                <w:color w:val="000000"/>
                <w:kern w:val="0"/>
              </w:rPr>
              <w:t>33.44%</w:t>
            </w:r>
          </w:p>
        </w:tc>
      </w:tr>
      <w:tr>
        <w:tc>
          <w:tcPr>
            <w:vMerge/>
          </w:tcPr>
          <w:p/>
        </w:tc>
        <w:tc>
          <w:tcPr>
            <w:vAlign w:val="center"/>
          </w:tcPr>
          <w:p>
            <w:pPr>
              <w:jc w:val="center"/>
            </w:pPr>
            <w:r>
              <w:rPr>
                <w:rFonts w:ascii="宋体" w:hAnsi="宋体"/>
                <w:color w:val="000000"/>
                <w:kern w:val="0"/>
              </w:rPr>
              <w:t>2</w:t>
            </w:r>
          </w:p>
        </w:tc>
        <w:tc>
          <w:tcPr>
            <w:vAlign w:val="center"/>
          </w:tcPr>
          <w:p>
            <w:pPr>
              <w:jc w:val="center"/>
            </w:pPr>
            <w:r>
              <w:rPr>
                <w:rFonts w:ascii="宋体" w:hAnsi="宋体"/>
                <w:color w:val="000000"/>
                <w:kern w:val="0"/>
              </w:rPr>
              <w:t>2020/1/1-2020/3/31</w:t>
            </w:r>
          </w:p>
        </w:tc>
        <w:tc>
          <w:tcPr>
            <w:vAlign w:val="center"/>
          </w:tcPr>
          <w:p>
            <w:pPr>
              <w:jc w:val="center"/>
            </w:pPr>
            <w:r>
              <w:rPr>
                <w:rFonts w:ascii="宋体" w:hAnsi="宋体"/>
                <w:color w:val="000000"/>
                <w:kern w:val="0"/>
              </w:rPr>
              <w:t>-</w:t>
            </w:r>
          </w:p>
        </w:tc>
        <w:tc>
          <w:tcPr>
            <w:vAlign w:val="center"/>
          </w:tcPr>
          <w:p>
            <w:pPr>
              <w:jc w:val="center"/>
            </w:pPr>
            <w:r>
              <w:rPr>
                <w:rFonts w:ascii="宋体" w:hAnsi="宋体"/>
                <w:color w:val="000000"/>
                <w:kern w:val="0"/>
              </w:rPr>
              <w:t>47,258,034.03</w:t>
            </w:r>
          </w:p>
        </w:tc>
        <w:tc>
          <w:tcPr>
            <w:vAlign w:val="center"/>
          </w:tcPr>
          <w:p>
            <w:pPr>
              <w:jc w:val="center"/>
            </w:pPr>
            <w:r>
              <w:rPr>
                <w:rFonts w:ascii="宋体" w:hAnsi="宋体"/>
                <w:color w:val="000000"/>
                <w:kern w:val="0"/>
              </w:rPr>
              <w:t>-</w:t>
            </w:r>
          </w:p>
        </w:tc>
        <w:tc>
          <w:tcPr>
            <w:vAlign w:val="center"/>
          </w:tcPr>
          <w:p>
            <w:pPr>
              <w:jc w:val="center"/>
            </w:pPr>
            <w:r>
              <w:rPr>
                <w:rFonts w:ascii="宋体" w:hAnsi="宋体"/>
                <w:color w:val="000000"/>
                <w:kern w:val="0"/>
              </w:rPr>
              <w:t>47,258,034.03</w:t>
            </w:r>
          </w:p>
        </w:tc>
        <w:tc>
          <w:tcPr>
            <w:vAlign w:val="center"/>
          </w:tcPr>
          <w:p>
            <w:pPr>
              <w:jc w:val="center"/>
            </w:pPr>
            <w:r>
              <w:rPr>
                <w:rFonts w:ascii="宋体" w:hAnsi="宋体"/>
                <w:color w:val="000000"/>
                <w:kern w:val="0"/>
              </w:rPr>
              <w:t>36.91%</w:t>
            </w:r>
          </w:p>
        </w:tc>
      </w:tr>
    </w:tbl>
    <w:tbl>
      <w:tblPr>
        <w:tblW w:type="dxa" w:w="9212"/>
        <w:tblInd w:type="dxa" w:w="-176"/>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9212"/>
      </w:tblGrid>
      <w:tr w:rsidR="003C50AD" w:rsidRPr="004F4D27" w:rsidTr="00424D30">
        <w:tc>
          <w:tcPr>
            <w:tcW w:type="dxa" w:w="9212"/>
            <w:vAlign w:val="center"/>
          </w:tcPr>
          <w:p w:rsidP="00424D30" w:rsidR="003C50AD" w:rsidRDefault="003C50AD" w:rsidRPr="004F4D27">
            <w:pPr>
              <w:autoSpaceDE w:val="0"/>
              <w:autoSpaceDN w:val="0"/>
              <w:adjustRightInd w:val="0"/>
              <w:jc w:val="center"/>
              <w:rPr>
                <w:rFonts w:ascii="宋体" w:hAnsi="宋体"/>
                <w:kern w:val="0"/>
              </w:rPr>
            </w:pPr>
            <w:r w:rsidRPr="004F4D27">
              <w:rPr>
                <w:rFonts w:ascii="宋体" w:hAnsi="宋体"/>
                <w:color w:val="000000"/>
                <w:kern w:val="0"/>
              </w:rPr>
              <w:t>产品特有风险</w:t>
            </w:r>
            <w:r w:rsidRPr="004F4D27">
              <w:rPr>
                <w:rFonts w:ascii="宋体" w:hAnsi="宋体"/>
                <w:kern w:val="0"/>
              </w:rPr>
              <w:t/>
            </w:r>
            <w:r w:rsidRPr="004F4D27">
              <w:rPr>
                <w:rFonts w:ascii="宋体" w:hAnsi="宋体" w:hint="eastAsia"/>
                <w:kern w:val="0"/>
              </w:rPr>
              <w:t/>
            </w:r>
            <w:r w:rsidRPr="004F4D27">
              <w:rPr>
                <w:rFonts w:ascii="宋体" w:hAnsi="宋体"/>
                <w:kern w:val="0"/>
              </w:rPr>
              <w:t/>
            </w:r>
          </w:p>
        </w:tc>
      </w:tr>
      <w:tr w:rsidR="003C50AD" w:rsidRPr="004F4D27" w:rsidTr="00424D30">
        <w:tc>
          <w:tcPr>
            <w:tcW w:type="dxa" w:w="9212"/>
            <w:vAlign w:val="center"/>
          </w:tcPr>
          <w:p w:rsidP="00424D30" w:rsidR="003C50AD" w:rsidRDefault="003C50AD" w:rsidRPr="004F4D27">
            <w:pPr>
              <w:autoSpaceDE w:val="0"/>
              <w:autoSpaceDN w:val="0"/>
              <w:adjustRightInd w:val="0"/>
              <w:jc w:val="left"/>
              <w:rPr>
                <w:rFonts w:ascii="宋体" w:hAnsi="宋体"/>
                <w:kern w:val="0"/>
              </w:rPr>
            </w:pPr>
            <w:r w:rsidRPr="004F4D27">
              <w:rPr>
                <w:rFonts w:ascii="宋体" w:hAnsi="宋体" w:hint="eastAsia"/>
                <w:kern w:val="0"/>
              </w:rPr>
              <w:t/>
            </w:r>
            <w:r w:rsidRPr="004F4D27">
              <w:rPr>
                <w:rFonts w:ascii="宋体" w:hAnsi="宋体"/>
                <w:kern w:val="0"/>
              </w:rPr>
              <w:t/>
            </w:r>
            <w:r w:rsidRPr="004F4D27">
              <w:rPr>
                <w:rFonts w:ascii="宋体" w:hAnsi="宋体" w:hint="eastAsia"/>
                <w:kern w:val="0"/>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r w:rsidRPr="004F4D27">
              <w:rPr>
                <w:rFonts w:ascii="宋体" w:hAnsi="宋体"/>
                <w:kern w:val="0"/>
              </w:rPr>
              <w:t/>
            </w:r>
          </w:p>
        </w:tc>
      </w:tr>
    </w:tbl>
    <w:p w:rsidP="0011537B" w:rsidR="00B22DEE" w:rsidRDefault="004061AC" w:rsidRPr="00E02660">
      <w:pPr>
        <w:pStyle w:val="1"/>
        <w:spacing w:after="312" w:afterLines="100" w:before="312" w:beforeLines="100"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
      </w:r>
      <w:r w:rsidR="00676095" w:rsidRPr="00414345">
        <w:rPr>
          <w:color w:val="000000"/>
          <w:kern w:val="0"/>
          <w:sz w:val="24"/>
          <w:szCs w:val="24"/>
        </w:rPr>
        <w:t/>
      </w:r>
      <w:r w:rsidR="00D02347" w:rsidRPr="00414345">
        <w:rPr>
          <w:color w:val="000000"/>
          <w:kern w:val="0"/>
          <w:sz w:val="24"/>
          <w:szCs w:val="24"/>
        </w:rPr>
        <w:t>9</w:t>
      </w:r>
      <w:r w:rsidR="00834E74">
        <w:rPr>
          <w:color w:val="000000"/>
          <w:kern w:val="0"/>
          <w:sz w:val="24"/>
          <w:szCs w:val="24"/>
        </w:rPr>
        <w:t xml:space="preserve">  </w:t>
      </w:r>
      <w:r w:rsidRPr="00414345">
        <w:rPr>
          <w:color w:val="000000"/>
          <w:kern w:val="0"/>
          <w:sz w:val="24"/>
          <w:szCs w:val="24"/>
        </w:rPr>
        <w:t>备查文件目录</w:t>
      </w: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pPr>
        <w:spacing w:before="29" w:line="288" w:lineRule="auto"/>
        <w:ind w:firstLine="480" w:firstLineChars="200"/>
        <w:rPr>
          <w:color w:val="000000"/>
          <w:sz w:val="24"/>
          <w:szCs w:val="24"/>
        </w:rPr>
      </w:pPr>
      <w:r>
        <w:rPr>
          <w:color w:val="000000"/>
          <w:sz w:val="24"/>
          <w:szCs w:val="24"/>
        </w:rPr>
        <w:t xml:space="preserve">1、中国证监会准予交银施罗德荣和保本混合型证券投资基金募集注册的文件； </w:t>
      </w:r>
    </w:p>
    <w:p>
      <w:pPr>
        <w:spacing w:before="29" w:line="288" w:lineRule="auto"/>
        <w:ind w:firstLine="480" w:firstLineChars="200"/>
        <w:rPr>
          <w:color w:val="000000"/>
          <w:sz w:val="24"/>
          <w:szCs w:val="24"/>
        </w:rPr>
      </w:pPr>
      <w:r>
        <w:rPr>
          <w:color w:val="000000"/>
          <w:sz w:val="24"/>
          <w:szCs w:val="24"/>
        </w:rPr>
        <w:t xml:space="preserve">2、《交银施罗德安心收益债券型证券投资基金基金合同》； </w:t>
      </w:r>
    </w:p>
    <w:p>
      <w:pPr>
        <w:spacing w:before="29" w:line="288" w:lineRule="auto"/>
        <w:ind w:firstLine="480" w:firstLineChars="200"/>
        <w:rPr>
          <w:color w:val="000000"/>
          <w:sz w:val="24"/>
          <w:szCs w:val="24"/>
        </w:rPr>
      </w:pPr>
      <w:r>
        <w:rPr>
          <w:color w:val="000000"/>
          <w:sz w:val="24"/>
          <w:szCs w:val="24"/>
        </w:rPr>
        <w:t xml:space="preserve">3、《交银施罗德安心收益债券型证券投资基金招募说明书》； </w:t>
      </w:r>
    </w:p>
    <w:p>
      <w:pPr>
        <w:spacing w:before="29" w:line="288" w:lineRule="auto"/>
        <w:ind w:firstLine="480" w:firstLineChars="200"/>
        <w:rPr>
          <w:color w:val="000000"/>
          <w:sz w:val="24"/>
          <w:szCs w:val="24"/>
        </w:rPr>
      </w:pPr>
      <w:r>
        <w:rPr>
          <w:color w:val="000000"/>
          <w:sz w:val="24"/>
          <w:szCs w:val="24"/>
        </w:rPr>
        <w:t xml:space="preserve">4、《交银施罗德安心收益债券型证券投资基金托管协议》； </w:t>
      </w:r>
    </w:p>
    <w:p>
      <w:pPr>
        <w:spacing w:before="29" w:line="288" w:lineRule="auto"/>
        <w:ind w:firstLine="480" w:firstLineChars="200"/>
        <w:rPr>
          <w:color w:val="000000"/>
          <w:sz w:val="24"/>
          <w:szCs w:val="24"/>
        </w:rPr>
      </w:pPr>
      <w:r>
        <w:rPr>
          <w:color w:val="000000"/>
          <w:sz w:val="24"/>
          <w:szCs w:val="24"/>
        </w:rPr>
        <w:t xml:space="preserve">5、《交银施罗德荣和保本混合型证券投资基金基金合同》； </w:t>
      </w:r>
    </w:p>
    <w:p>
      <w:pPr>
        <w:spacing w:before="29" w:line="288" w:lineRule="auto"/>
        <w:ind w:firstLine="480" w:firstLineChars="200"/>
        <w:rPr>
          <w:color w:val="000000"/>
          <w:sz w:val="24"/>
          <w:szCs w:val="24"/>
        </w:rPr>
      </w:pPr>
      <w:r>
        <w:rPr>
          <w:color w:val="000000"/>
          <w:sz w:val="24"/>
          <w:szCs w:val="24"/>
        </w:rPr>
        <w:t xml:space="preserve">6、《交银施罗德荣和保本混合型证券投资基金招募说明书》； </w:t>
      </w:r>
    </w:p>
    <w:p>
      <w:pPr>
        <w:spacing w:before="29" w:line="288" w:lineRule="auto"/>
        <w:ind w:firstLine="480" w:firstLineChars="200"/>
        <w:rPr>
          <w:color w:val="000000"/>
          <w:sz w:val="24"/>
          <w:szCs w:val="24"/>
        </w:rPr>
      </w:pPr>
      <w:r>
        <w:rPr>
          <w:color w:val="000000"/>
          <w:sz w:val="24"/>
          <w:szCs w:val="24"/>
        </w:rPr>
        <w:t xml:space="preserve">7、《交银施罗德荣和保本混合型证券投资基金托管协议》； </w:t>
      </w:r>
    </w:p>
    <w:p>
      <w:pPr>
        <w:spacing w:before="29" w:line="288" w:lineRule="auto"/>
        <w:ind w:firstLine="480" w:firstLineChars="200"/>
        <w:rPr>
          <w:color w:val="000000"/>
          <w:sz w:val="24"/>
          <w:szCs w:val="24"/>
        </w:rPr>
      </w:pPr>
      <w:r>
        <w:rPr>
          <w:color w:val="000000"/>
          <w:sz w:val="24"/>
          <w:szCs w:val="24"/>
        </w:rPr>
        <w:t>8、《交银施罗德荣和保本混合型证券投资基金保证合同》；</w:t>
      </w:r>
    </w:p>
    <w:p>
      <w:pPr>
        <w:spacing w:before="29" w:line="288" w:lineRule="auto"/>
        <w:ind w:firstLine="480" w:firstLineChars="200"/>
        <w:rPr>
          <w:color w:val="000000"/>
          <w:sz w:val="24"/>
          <w:szCs w:val="24"/>
        </w:rPr>
      </w:pPr>
      <w:r>
        <w:rPr>
          <w:color w:val="000000"/>
          <w:sz w:val="24"/>
          <w:szCs w:val="24"/>
        </w:rPr>
        <w:t xml:space="preserve">9、基金管理人业务资格批件、营业执照； </w:t>
      </w:r>
    </w:p>
    <w:p>
      <w:pPr>
        <w:spacing w:before="29" w:line="288" w:lineRule="auto"/>
        <w:ind w:firstLine="480" w:firstLineChars="200"/>
        <w:rPr>
          <w:color w:val="000000"/>
          <w:sz w:val="24"/>
          <w:szCs w:val="24"/>
        </w:rPr>
      </w:pPr>
      <w:r>
        <w:rPr>
          <w:color w:val="000000"/>
          <w:sz w:val="24"/>
          <w:szCs w:val="24"/>
        </w:rPr>
        <w:t xml:space="preserve">10、基金托管人业务资格批件、营业执照； </w:t>
      </w:r>
    </w:p>
    <w:p>
      <w:pPr>
        <w:spacing w:before="29" w:line="288" w:lineRule="auto"/>
        <w:ind w:firstLine="480" w:firstLineChars="200"/>
        <w:rPr>
          <w:color w:val="000000"/>
          <w:sz w:val="24"/>
          <w:szCs w:val="24"/>
        </w:rPr>
      </w:pPr>
      <w:r>
        <w:rPr>
          <w:color w:val="000000"/>
          <w:sz w:val="24"/>
          <w:szCs w:val="24"/>
        </w:rPr>
        <w:t xml:space="preserve">11、关于申请募集注册交银施罗德荣和保本混合型证券投资基金的法律意见书； </w:t>
      </w:r>
    </w:p>
    <w:p>
      <w:pPr>
        <w:spacing w:before="29" w:line="288" w:lineRule="auto"/>
        <w:ind w:firstLine="480" w:firstLineChars="200"/>
        <w:rPr>
          <w:color w:val="000000"/>
          <w:sz w:val="24"/>
          <w:szCs w:val="24"/>
        </w:rPr>
      </w:pPr>
      <w:r>
        <w:rPr>
          <w:color w:val="000000"/>
          <w:sz w:val="24"/>
          <w:szCs w:val="24"/>
        </w:rPr>
        <w:t>12、关于修改《交银施罗德荣和保本混合型证券投资基金基金合同》的法律意见书</w:t>
      </w:r>
    </w:p>
    <w:p w:rsidP="00C15CAC" w:rsidR="004061AC" w:rsidRDefault="006D7FF8" w:rsidRPr="00414345">
      <w:pPr>
        <w:spacing w:before="29" w:line="288" w:lineRule="auto"/>
        <w:ind w:firstLine="480" w:firstLineChars="200"/>
        <w:rPr>
          <w:color w:val="000000"/>
          <w:sz w:val="24"/>
          <w:szCs w:val="24"/>
        </w:rPr>
      </w:pPr>
      <w:r w:rsidRPr="00414345">
        <w:rPr>
          <w:color w:val="000000"/>
          <w:sz w:val="24"/>
          <w:szCs w:val="24"/>
        </w:rPr>
        <w:t>13、报告期内交银施罗德荣和保本混合型证券投资基金、交银施罗德安心收益债券型证券投资基金在指定报刊上各项公告的原稿。</w:t>
      </w:r>
    </w:p>
    <w:p w:rsidP="00C15CAC" w:rsidR="006A48FD" w:rsidRDefault="006A48FD" w:rsidRPr="00414345">
      <w:pPr>
        <w:spacing w:before="29" w:line="288" w:lineRule="auto"/>
        <w:ind w:firstLine="480" w:firstLineChars="200"/>
        <w:rPr>
          <w:color w:val="000000"/>
          <w:sz w:val="24"/>
          <w:szCs w:val="24"/>
        </w:rPr>
      </w:pP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P="00C15CAC" w:rsidR="004061AC" w:rsidRDefault="006D7FF8" w:rsidRPr="00414345">
      <w:pPr>
        <w:spacing w:before="29" w:line="288" w:lineRule="auto"/>
        <w:ind w:firstLine="480" w:firstLineChars="200"/>
        <w:rPr>
          <w:color w:val="000000"/>
          <w:sz w:val="24"/>
          <w:szCs w:val="24"/>
        </w:rPr>
      </w:pPr>
      <w:r w:rsidRPr="00414345">
        <w:rPr>
          <w:color w:val="000000"/>
          <w:sz w:val="24"/>
          <w:szCs w:val="24"/>
        </w:rPr>
        <w:t>备查文件存放于基金管理人的办公场所。</w:t>
      </w:r>
    </w:p>
    <w:p w:rsidP="00C15CAC" w:rsidR="006A48FD" w:rsidRDefault="006A48FD" w:rsidRPr="00414345">
      <w:pPr>
        <w:spacing w:before="29" w:line="288" w:lineRule="auto"/>
        <w:ind w:firstLine="480" w:firstLineChars="200"/>
        <w:rPr>
          <w:color w:val="000000"/>
          <w:sz w:val="24"/>
          <w:szCs w:val="24"/>
        </w:rPr>
      </w:pP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pPr>
        <w:spacing w:before="29" w:line="288" w:lineRule="auto"/>
        <w:ind w:firstLine="480" w:firstLineChars="200"/>
        <w:rPr>
          <w:color w:val="000000"/>
          <w:sz w:val="24"/>
          <w:szCs w:val="24"/>
        </w:rPr>
      </w:pPr>
      <w:r>
        <w:rPr>
          <w:color w:val="000000"/>
          <w:sz w:val="24"/>
          <w:szCs w:val="24"/>
        </w:rPr>
        <w:t xml:space="preserve">投资者可在办公时间内至基金管理人的办公场所免费查阅备查文件，或者登录基金管理人的网站(www.fund001.com)查阅。在支付工本费后，投资者可在合理时间内取得上述文件的复制件或复印件。 </w:t>
      </w:r>
    </w:p>
    <w:p w:rsidP="00C15CAC" w:rsidR="00A90049" w:rsidRDefault="006D7FF8" w:rsidRPr="00414345">
      <w:pPr>
        <w:spacing w:before="29" w:line="288" w:lineRule="auto"/>
        <w:ind w:firstLine="480" w:firstLineChars="200"/>
        <w:rPr>
          <w:color w:val="000000"/>
          <w:sz w:val="24"/>
          <w:szCs w:val="24"/>
        </w:rPr>
      </w:pPr>
      <w:r w:rsidRPr="00414345">
        <w:rPr>
          <w:color w:val="000000"/>
          <w:sz w:val="24"/>
          <w:szCs w:val="24"/>
        </w:rPr>
        <w:t>投资者对本报告书如有疑问，可咨询本基金管理人交银施罗德基金管理有限公司。本公司客户服务中心电话：400-700-5000（免长途话费），021-61055000，电子邮件：services@jysld.com。</w:t>
      </w:r>
    </w:p>
    <w:p w:rsidP="00C15CAC" w:rsidR="002C3C7A" w:rsidRDefault="002C3C7A" w:rsidRPr="00414345">
      <w:pPr>
        <w:spacing w:before="29" w:line="288" w:lineRule="auto"/>
        <w:ind w:firstLine="480" w:firstLineChars="200"/>
        <w:rPr>
          <w:color w:val="000000"/>
          <w:sz w:val="24"/>
          <w:szCs w:val="24"/>
        </w:rPr>
      </w:pPr>
    </w:p>
    <w:sectPr w:rsidR="002C3C7A" w:rsidRPr="00414345" w:rsidSect="00000678">
      <w:pgSz w:code="9" w:h="16838" w:w="11906"/>
      <w:pgMar w:bottom="1440" w:footer="992" w:gutter="0" w:header="851" w:left="1440" w:right="1440" w:top="1440"/>
      <w:cols w:space="425"/>
      <w:docGrid w:linePitch="312" w:type="line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AA1" w:rsidRDefault="00C11AA1" w:rsidP="00876D65">
      <w:r>
        <w:separator/>
      </w:r>
    </w:p>
  </w:endnote>
  <w:endnote w:type="continuationSeparator" w:id="0">
    <w:p w:rsidR="00C11AA1" w:rsidRDefault="00C11AA1"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altName w:val="黑体"/>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80E0000" w:usb2="00000000" w:usb3="00000000" w:csb0="00040000"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6"/>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P="004D340C" w:rsidR="004D340C" w:rsidRDefault="004D340C" w:rsidRPr="001D0DB0">
    <w:pPr>
      <w:pStyle w:val="a6"/>
      <w:jc w:val="center"/>
    </w:pPr>
    <w:r>
      <w:rPr>
        <w:rFonts w:hint="eastAsia"/>
        <w:kern w:val="0"/>
        <w:szCs w:val="21"/>
      </w:rPr>
      <w:t>第</w:t>
    </w:r>
    <w:r w:rsidR="00381EE8">
      <w:rPr>
        <w:kern w:val="0"/>
        <w:szCs w:val="21"/>
      </w:rPr>
      <w:fldChar w:fldCharType="begin"/>
    </w:r>
    <w:r>
      <w:rPr>
        <w:kern w:val="0"/>
        <w:szCs w:val="21"/>
      </w:rPr>
      <w:instrText xml:space="preserve"> PAGE </w:instrText>
    </w:r>
    <w:r w:rsidR="00381EE8">
      <w:rPr>
        <w:kern w:val="0"/>
        <w:szCs w:val="21"/>
      </w:rPr>
      <w:fldChar w:fldCharType="separate"/>
    </w:r>
    <w:r w:rsidR="00AA3969">
      <w:rPr>
        <w:noProof/>
        <w:kern w:val="0"/>
        <w:szCs w:val="21"/>
      </w:rPr>
      <w:t>17</w:t>
    </w:r>
    <w:r w:rsidR="00381EE8">
      <w:rPr>
        <w:kern w:val="0"/>
        <w:szCs w:val="21"/>
      </w:rPr>
      <w:fldChar w:fldCharType="end"/>
    </w:r>
    <w:r>
      <w:rPr>
        <w:rFonts w:hint="eastAsia"/>
        <w:kern w:val="0"/>
        <w:szCs w:val="21"/>
      </w:rPr>
      <w:t>页共</w:t>
    </w:r>
    <w:r w:rsidR="00381EE8">
      <w:rPr>
        <w:kern w:val="0"/>
        <w:szCs w:val="21"/>
      </w:rPr>
      <w:fldChar w:fldCharType="begin"/>
    </w:r>
    <w:r>
      <w:rPr>
        <w:kern w:val="0"/>
        <w:szCs w:val="21"/>
      </w:rPr>
      <w:instrText xml:space="preserve"> NUMPAGES </w:instrText>
    </w:r>
    <w:r w:rsidR="00381EE8">
      <w:rPr>
        <w:kern w:val="0"/>
        <w:szCs w:val="21"/>
      </w:rPr>
      <w:fldChar w:fldCharType="separate"/>
    </w:r>
    <w:r w:rsidR="00AA3969">
      <w:rPr>
        <w:noProof/>
        <w:kern w:val="0"/>
        <w:szCs w:val="21"/>
      </w:rPr>
      <w:t>24</w:t>
    </w:r>
    <w:r w:rsidR="00381EE8">
      <w:rPr>
        <w:kern w:val="0"/>
        <w:szCs w:val="21"/>
      </w:rPr>
      <w:fldChar w:fldCharType="end"/>
    </w:r>
    <w:r>
      <w:rPr>
        <w:rFonts w:hint="eastAsia"/>
        <w:kern w:val="0"/>
        <w:szCs w:val="21"/>
      </w:rPr>
      <w:t>页</w:t>
    </w: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6"/>
    </w:pPr>
  </w:p>
</w:ftr>
</file>

<file path=word/footnotes.xml><?xml version="1.0" encoding="utf-8"?>
<w:footnote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footnote w:id="-1" w:type="separator">
    <w:p w:rsidP="00876D65" w:rsidR="00C11AA1" w:rsidRDefault="00C11AA1">
      <w:r>
        <w:separator/>
      </w:r>
    </w:p>
  </w:footnote>
  <w:footnote w:id="0" w:type="continuationSeparator">
    <w:p w:rsidP="00876D65" w:rsidR="00C11AA1" w:rsidRDefault="00C11AA1">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9"/>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P="00090A26" w:rsidR="00171EF0" w:rsidRDefault="00DC456F" w:rsidRPr="00DC456F">
    <w:pPr>
      <w:pStyle w:val="a9"/>
      <w:pBdr>
        <w:bottom w:color="auto" w:space="0" w:sz="6" w:val="single"/>
      </w:pBdr>
      <w:jc w:val="right"/>
      <w:rPr>
        <w:sz w:val="24"/>
        <w:szCs w:val="24"/>
      </w:rPr>
    </w:pPr>
    <w:r w:rsidRPr="003E676C">
      <w:rPr>
        <w:sz w:val="24"/>
        <w:szCs w:val="24"/>
      </w:rPr>
      <w:t>交银施罗德安心收益债券型证券投资基金2020年第1季度报告</w:t>
    </w: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9"/>
    </w:pP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0">
    <w:nsid w:val="17055987"/>
    <w:multiLevelType w:val="hybridMultilevel"/>
    <w:tmpl w:val="6DACDB38"/>
    <w:lvl w:ilvl="0" w:tplc="307C87E8">
      <w:start w:val="2006"/>
      <w:numFmt w:val="bullet"/>
      <w:lvlText w:val="●"/>
      <w:lvlJc w:val="left"/>
      <w:pPr>
        <w:tabs>
          <w:tab w:pos="780" w:val="num"/>
        </w:tabs>
        <w:ind w:hanging="360" w:left="780"/>
      </w:pPr>
      <w:rPr>
        <w:rFonts w:ascii="Times New Roman" w:eastAsia="宋体" w:hAnsi="Times New Roman" w:hint="default"/>
      </w:rPr>
    </w:lvl>
    <w:lvl w:ilvl="1" w:tplc="04090003">
      <w:start w:val="1"/>
      <w:numFmt w:val="bullet"/>
      <w:lvlText w:val=""/>
      <w:lvlJc w:val="left"/>
      <w:pPr>
        <w:tabs>
          <w:tab w:pos="1260" w:val="num"/>
        </w:tabs>
        <w:ind w:hanging="420" w:left="1260"/>
      </w:pPr>
      <w:rPr>
        <w:rFonts w:ascii="Wingdings" w:cs="Wingdings" w:hAnsi="Wingdings" w:hint="default"/>
      </w:rPr>
    </w:lvl>
    <w:lvl w:ilvl="2" w:tplc="04090005">
      <w:start w:val="1"/>
      <w:numFmt w:val="bullet"/>
      <w:lvlText w:val=""/>
      <w:lvlJc w:val="left"/>
      <w:pPr>
        <w:tabs>
          <w:tab w:pos="1680" w:val="num"/>
        </w:tabs>
        <w:ind w:hanging="420" w:left="1680"/>
      </w:pPr>
      <w:rPr>
        <w:rFonts w:ascii="Wingdings" w:cs="Wingdings" w:hAnsi="Wingdings" w:hint="default"/>
      </w:rPr>
    </w:lvl>
    <w:lvl w:ilvl="3" w:tplc="04090001">
      <w:start w:val="1"/>
      <w:numFmt w:val="bullet"/>
      <w:lvlText w:val=""/>
      <w:lvlJc w:val="left"/>
      <w:pPr>
        <w:tabs>
          <w:tab w:pos="2100" w:val="num"/>
        </w:tabs>
        <w:ind w:hanging="420" w:left="2100"/>
      </w:pPr>
      <w:rPr>
        <w:rFonts w:ascii="Wingdings" w:cs="Wingdings" w:hAnsi="Wingdings" w:hint="default"/>
      </w:rPr>
    </w:lvl>
    <w:lvl w:ilvl="4" w:tplc="04090003">
      <w:start w:val="1"/>
      <w:numFmt w:val="bullet"/>
      <w:lvlText w:val=""/>
      <w:lvlJc w:val="left"/>
      <w:pPr>
        <w:tabs>
          <w:tab w:pos="2520" w:val="num"/>
        </w:tabs>
        <w:ind w:hanging="420" w:left="2520"/>
      </w:pPr>
      <w:rPr>
        <w:rFonts w:ascii="Wingdings" w:cs="Wingdings" w:hAnsi="Wingdings" w:hint="default"/>
      </w:rPr>
    </w:lvl>
    <w:lvl w:ilvl="5" w:tplc="04090005">
      <w:start w:val="1"/>
      <w:numFmt w:val="bullet"/>
      <w:lvlText w:val=""/>
      <w:lvlJc w:val="left"/>
      <w:pPr>
        <w:tabs>
          <w:tab w:pos="2940" w:val="num"/>
        </w:tabs>
        <w:ind w:hanging="420" w:left="2940"/>
      </w:pPr>
      <w:rPr>
        <w:rFonts w:ascii="Wingdings" w:cs="Wingdings" w:hAnsi="Wingdings" w:hint="default"/>
      </w:rPr>
    </w:lvl>
    <w:lvl w:ilvl="6" w:tplc="04090001">
      <w:start w:val="1"/>
      <w:numFmt w:val="bullet"/>
      <w:lvlText w:val=""/>
      <w:lvlJc w:val="left"/>
      <w:pPr>
        <w:tabs>
          <w:tab w:pos="3360" w:val="num"/>
        </w:tabs>
        <w:ind w:hanging="420" w:left="3360"/>
      </w:pPr>
      <w:rPr>
        <w:rFonts w:ascii="Wingdings" w:cs="Wingdings" w:hAnsi="Wingdings" w:hint="default"/>
      </w:rPr>
    </w:lvl>
    <w:lvl w:ilvl="7" w:tplc="04090003">
      <w:start w:val="1"/>
      <w:numFmt w:val="bullet"/>
      <w:lvlText w:val=""/>
      <w:lvlJc w:val="left"/>
      <w:pPr>
        <w:tabs>
          <w:tab w:pos="3780" w:val="num"/>
        </w:tabs>
        <w:ind w:hanging="420" w:left="3780"/>
      </w:pPr>
      <w:rPr>
        <w:rFonts w:ascii="Wingdings" w:cs="Wingdings" w:hAnsi="Wingdings" w:hint="default"/>
      </w:rPr>
    </w:lvl>
    <w:lvl w:ilvl="8" w:tplc="04090005">
      <w:start w:val="1"/>
      <w:numFmt w:val="bullet"/>
      <w:lvlText w:val=""/>
      <w:lvlJc w:val="left"/>
      <w:pPr>
        <w:tabs>
          <w:tab w:pos="4200" w:val="num"/>
        </w:tabs>
        <w:ind w:hanging="420" w:left="4200"/>
      </w:pPr>
      <w:rPr>
        <w:rFonts w:ascii="Wingdings" w:cs="Wingdings" w:hAnsi="Wingdings" w:hint="default"/>
      </w:rPr>
    </w:lvl>
  </w:abstractNum>
  <w:abstractNum w15:restartNumberingAfterBreak="0" w:abstractNumId="1">
    <w:nsid w:val="57E8240C"/>
    <w:multiLevelType w:val="hybridMultilevel"/>
    <w:tmpl w:val="300A7112"/>
    <w:lvl w:ilvl="0" w:tplc="3782FDB8">
      <w:start w:val="1"/>
      <w:numFmt w:val="decimal"/>
      <w:lvlText w:val="（%1）"/>
      <w:lvlJc w:val="left"/>
      <w:pPr>
        <w:tabs>
          <w:tab w:pos="1200" w:val="num"/>
        </w:tabs>
        <w:ind w:hanging="720" w:left="1200"/>
      </w:pPr>
      <w:rPr>
        <w:rFonts w:hint="eastAsia"/>
        <w:sz w:val="24"/>
        <w:szCs w:val="24"/>
      </w:rPr>
    </w:lvl>
    <w:lvl w:ilvl="1" w:tplc="04090019">
      <w:start w:val="1"/>
      <w:numFmt w:val="lowerLetter"/>
      <w:lvlText w:val="%2)"/>
      <w:lvlJc w:val="left"/>
      <w:pPr>
        <w:tabs>
          <w:tab w:pos="1320" w:val="num"/>
        </w:tabs>
        <w:ind w:hanging="420" w:left="1320"/>
      </w:pPr>
    </w:lvl>
    <w:lvl w:ilvl="2" w:tplc="0409001B">
      <w:start w:val="1"/>
      <w:numFmt w:val="lowerRoman"/>
      <w:lvlText w:val="%3."/>
      <w:lvlJc w:val="right"/>
      <w:pPr>
        <w:tabs>
          <w:tab w:pos="1740" w:val="num"/>
        </w:tabs>
        <w:ind w:hanging="420" w:left="1740"/>
      </w:pPr>
    </w:lvl>
    <w:lvl w:ilvl="3" w:tplc="0409000F">
      <w:start w:val="1"/>
      <w:numFmt w:val="decimal"/>
      <w:lvlText w:val="%4."/>
      <w:lvlJc w:val="left"/>
      <w:pPr>
        <w:tabs>
          <w:tab w:pos="2160" w:val="num"/>
        </w:tabs>
        <w:ind w:hanging="420" w:left="2160"/>
      </w:pPr>
    </w:lvl>
    <w:lvl w:ilvl="4" w:tplc="04090019">
      <w:start w:val="1"/>
      <w:numFmt w:val="lowerLetter"/>
      <w:lvlText w:val="%5)"/>
      <w:lvlJc w:val="left"/>
      <w:pPr>
        <w:tabs>
          <w:tab w:pos="2580" w:val="num"/>
        </w:tabs>
        <w:ind w:hanging="420" w:left="2580"/>
      </w:pPr>
    </w:lvl>
    <w:lvl w:ilvl="5" w:tplc="0409001B">
      <w:start w:val="1"/>
      <w:numFmt w:val="lowerRoman"/>
      <w:lvlText w:val="%6."/>
      <w:lvlJc w:val="right"/>
      <w:pPr>
        <w:tabs>
          <w:tab w:pos="3000" w:val="num"/>
        </w:tabs>
        <w:ind w:hanging="420" w:left="3000"/>
      </w:pPr>
    </w:lvl>
    <w:lvl w:ilvl="6" w:tplc="0409000F">
      <w:start w:val="1"/>
      <w:numFmt w:val="decimal"/>
      <w:lvlText w:val="%7."/>
      <w:lvlJc w:val="left"/>
      <w:pPr>
        <w:tabs>
          <w:tab w:pos="3420" w:val="num"/>
        </w:tabs>
        <w:ind w:hanging="420" w:left="3420"/>
      </w:pPr>
    </w:lvl>
    <w:lvl w:ilvl="7" w:tplc="04090019">
      <w:start w:val="1"/>
      <w:numFmt w:val="lowerLetter"/>
      <w:lvlText w:val="%8)"/>
      <w:lvlJc w:val="left"/>
      <w:pPr>
        <w:tabs>
          <w:tab w:pos="3840" w:val="num"/>
        </w:tabs>
        <w:ind w:hanging="420" w:left="3840"/>
      </w:pPr>
    </w:lvl>
    <w:lvl w:ilvl="8" w:tplc="0409001B">
      <w:start w:val="1"/>
      <w:numFmt w:val="lowerRoman"/>
      <w:lvlText w:val="%9."/>
      <w:lvlJc w:val="right"/>
      <w:pPr>
        <w:tabs>
          <w:tab w:pos="4260" w:val="num"/>
        </w:tabs>
        <w:ind w:hanging="420" w:left="4260"/>
      </w:pPr>
    </w:lvl>
  </w:abstractNum>
  <w:abstractNum w15:restartNumberingAfterBreak="0" w:abstractNumId="2">
    <w:nsid w:val="7EC34207"/>
    <w:multiLevelType w:val="hybridMultilevel"/>
    <w:tmpl w:val="58FC50DE"/>
    <w:lvl w:ilvl="0" w:tplc="788C0680">
      <w:start w:val="1"/>
      <w:numFmt w:val="japaneseCounting"/>
      <w:lvlText w:val="%1、"/>
      <w:lvlJc w:val="left"/>
      <w:pPr>
        <w:tabs>
          <w:tab w:pos="480" w:val="num"/>
        </w:tabs>
        <w:ind w:hanging="480" w:left="480"/>
      </w:pPr>
      <w:rPr>
        <w:rFonts w:eastAsia="宋体" w:hint="eastAsia"/>
        <w:color w:val="auto"/>
      </w:rPr>
    </w:lvl>
    <w:lvl w:ilvl="1" w:tplc="D5ACC954">
      <w:start w:val="1"/>
      <w:numFmt w:val="japaneseCounting"/>
      <w:lvlText w:val="(%2)"/>
      <w:lvlJc w:val="left"/>
      <w:pPr>
        <w:tabs>
          <w:tab w:pos="810" w:val="num"/>
        </w:tabs>
        <w:ind w:hanging="390" w:left="810"/>
      </w:pPr>
      <w:rPr>
        <w:rFonts w:hint="eastAsia"/>
      </w:rPr>
    </w:lvl>
    <w:lvl w:ilvl="2" w:tplc="E2F6B948">
      <w:start w:val="1"/>
      <w:numFmt w:val="decimal"/>
      <w:lvlText w:val="%3、"/>
      <w:lvlJc w:val="left"/>
      <w:pPr>
        <w:tabs>
          <w:tab w:pos="1200" w:val="num"/>
        </w:tabs>
        <w:ind w:hanging="360" w:left="1200"/>
      </w:pPr>
      <w:rPr>
        <w:rFonts w:hint="eastAsia"/>
      </w:rPr>
    </w:lvl>
    <w:lvl w:ilvl="3" w:tplc="0409000F">
      <w:start w:val="1"/>
      <w:numFmt w:val="decimal"/>
      <w:lvlText w:val="%4."/>
      <w:lvlJc w:val="left"/>
      <w:pPr>
        <w:tabs>
          <w:tab w:pos="1680" w:val="num"/>
        </w:tabs>
        <w:ind w:hanging="420" w:left="1680"/>
      </w:pPr>
    </w:lvl>
    <w:lvl w:ilvl="4" w:tplc="04090019">
      <w:start w:val="1"/>
      <w:numFmt w:val="lowerLetter"/>
      <w:lvlText w:val="%5)"/>
      <w:lvlJc w:val="left"/>
      <w:pPr>
        <w:tabs>
          <w:tab w:pos="2100" w:val="num"/>
        </w:tabs>
        <w:ind w:hanging="420" w:left="2100"/>
      </w:pPr>
    </w:lvl>
    <w:lvl w:ilvl="5" w:tplc="0409001B">
      <w:start w:val="1"/>
      <w:numFmt w:val="lowerRoman"/>
      <w:lvlText w:val="%6."/>
      <w:lvlJc w:val="right"/>
      <w:pPr>
        <w:tabs>
          <w:tab w:pos="2520" w:val="num"/>
        </w:tabs>
        <w:ind w:hanging="420" w:left="2520"/>
      </w:pPr>
    </w:lvl>
    <w:lvl w:ilvl="6" w:tplc="0409000F">
      <w:start w:val="1"/>
      <w:numFmt w:val="decimal"/>
      <w:lvlText w:val="%7."/>
      <w:lvlJc w:val="left"/>
      <w:pPr>
        <w:tabs>
          <w:tab w:pos="2940" w:val="num"/>
        </w:tabs>
        <w:ind w:hanging="420" w:left="2940"/>
      </w:pPr>
    </w:lvl>
    <w:lvl w:ilvl="7" w:tplc="04090019">
      <w:start w:val="1"/>
      <w:numFmt w:val="lowerLetter"/>
      <w:lvlText w:val="%8)"/>
      <w:lvlJc w:val="left"/>
      <w:pPr>
        <w:tabs>
          <w:tab w:pos="3360" w:val="num"/>
        </w:tabs>
        <w:ind w:hanging="420" w:left="3360"/>
      </w:pPr>
    </w:lvl>
    <w:lvl w:ilvl="8" w:tplc="0409001B">
      <w:start w:val="1"/>
      <w:numFmt w:val="lowerRoman"/>
      <w:lvlText w:val="%9."/>
      <w:lvlJc w:val="right"/>
      <w:pPr>
        <w:tabs>
          <w:tab w:pos="3780" w:val="num"/>
        </w:tabs>
        <w:ind w:hanging="420" w:left="378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spidmax="2049"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66A97"/>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1537B"/>
    <w:rsid w:val="00133015"/>
    <w:rsid w:val="00137452"/>
    <w:rsid w:val="00137B31"/>
    <w:rsid w:val="00144F93"/>
    <w:rsid w:val="00147376"/>
    <w:rsid w:val="0015450B"/>
    <w:rsid w:val="00154BE1"/>
    <w:rsid w:val="0015710B"/>
    <w:rsid w:val="00160EDC"/>
    <w:rsid w:val="00162D61"/>
    <w:rsid w:val="001675CD"/>
    <w:rsid w:val="0017126E"/>
    <w:rsid w:val="001717D5"/>
    <w:rsid w:val="00171EF0"/>
    <w:rsid w:val="00173B44"/>
    <w:rsid w:val="001761D2"/>
    <w:rsid w:val="00176C21"/>
    <w:rsid w:val="0018138B"/>
    <w:rsid w:val="001830D7"/>
    <w:rsid w:val="00185A34"/>
    <w:rsid w:val="001934F6"/>
    <w:rsid w:val="00196E6C"/>
    <w:rsid w:val="001A280A"/>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5A47"/>
    <w:rsid w:val="003470E2"/>
    <w:rsid w:val="0035076C"/>
    <w:rsid w:val="00352719"/>
    <w:rsid w:val="0035383E"/>
    <w:rsid w:val="00355364"/>
    <w:rsid w:val="00364CCB"/>
    <w:rsid w:val="00365798"/>
    <w:rsid w:val="00372F16"/>
    <w:rsid w:val="00381EE8"/>
    <w:rsid w:val="0039085F"/>
    <w:rsid w:val="00394069"/>
    <w:rsid w:val="00396809"/>
    <w:rsid w:val="003A58DC"/>
    <w:rsid w:val="003A6061"/>
    <w:rsid w:val="003B3494"/>
    <w:rsid w:val="003B5E08"/>
    <w:rsid w:val="003B6FBC"/>
    <w:rsid w:val="003C32C0"/>
    <w:rsid w:val="003C50AD"/>
    <w:rsid w:val="003D2269"/>
    <w:rsid w:val="003D742E"/>
    <w:rsid w:val="003E62FB"/>
    <w:rsid w:val="003E6867"/>
    <w:rsid w:val="003F0956"/>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6A8F"/>
    <w:rsid w:val="00427F58"/>
    <w:rsid w:val="00433805"/>
    <w:rsid w:val="00442F8D"/>
    <w:rsid w:val="00443869"/>
    <w:rsid w:val="00443ABF"/>
    <w:rsid w:val="00460575"/>
    <w:rsid w:val="00463EC0"/>
    <w:rsid w:val="00464787"/>
    <w:rsid w:val="00471408"/>
    <w:rsid w:val="00480B35"/>
    <w:rsid w:val="004858E0"/>
    <w:rsid w:val="00487A40"/>
    <w:rsid w:val="004917C3"/>
    <w:rsid w:val="00491C81"/>
    <w:rsid w:val="004934E9"/>
    <w:rsid w:val="004943C2"/>
    <w:rsid w:val="004949F3"/>
    <w:rsid w:val="004A0AA9"/>
    <w:rsid w:val="004A11A7"/>
    <w:rsid w:val="004A459C"/>
    <w:rsid w:val="004A6731"/>
    <w:rsid w:val="004A7B1D"/>
    <w:rsid w:val="004B2AF4"/>
    <w:rsid w:val="004C0914"/>
    <w:rsid w:val="004C20CA"/>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4A5"/>
    <w:rsid w:val="005B09FA"/>
    <w:rsid w:val="005B2E9C"/>
    <w:rsid w:val="005B3CC0"/>
    <w:rsid w:val="005B4C8F"/>
    <w:rsid w:val="005B4F93"/>
    <w:rsid w:val="005B73D2"/>
    <w:rsid w:val="005D2B36"/>
    <w:rsid w:val="005E475E"/>
    <w:rsid w:val="005F118D"/>
    <w:rsid w:val="005F1F22"/>
    <w:rsid w:val="005F3996"/>
    <w:rsid w:val="005F3B8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0D08"/>
    <w:rsid w:val="006B11BB"/>
    <w:rsid w:val="006B2FF6"/>
    <w:rsid w:val="006B5457"/>
    <w:rsid w:val="006B5F69"/>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2639"/>
    <w:rsid w:val="007B4C04"/>
    <w:rsid w:val="007B5AFB"/>
    <w:rsid w:val="007B5F21"/>
    <w:rsid w:val="007C395A"/>
    <w:rsid w:val="007C5862"/>
    <w:rsid w:val="007D0922"/>
    <w:rsid w:val="007D100C"/>
    <w:rsid w:val="007E2686"/>
    <w:rsid w:val="007E57C0"/>
    <w:rsid w:val="007F29B1"/>
    <w:rsid w:val="007F6DD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868F3"/>
    <w:rsid w:val="00891261"/>
    <w:rsid w:val="008A21B2"/>
    <w:rsid w:val="008A3DAA"/>
    <w:rsid w:val="008A5B20"/>
    <w:rsid w:val="008B2FDD"/>
    <w:rsid w:val="008B3C7E"/>
    <w:rsid w:val="008B4A75"/>
    <w:rsid w:val="008C15BF"/>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1009"/>
    <w:rsid w:val="009C5186"/>
    <w:rsid w:val="009C60F7"/>
    <w:rsid w:val="009D0952"/>
    <w:rsid w:val="009D1BD9"/>
    <w:rsid w:val="009E19A9"/>
    <w:rsid w:val="009E31DA"/>
    <w:rsid w:val="009E402C"/>
    <w:rsid w:val="009E7C6A"/>
    <w:rsid w:val="009F27F9"/>
    <w:rsid w:val="009F3659"/>
    <w:rsid w:val="009F4861"/>
    <w:rsid w:val="009F61BE"/>
    <w:rsid w:val="009F7643"/>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969"/>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AF6FFB"/>
    <w:rsid w:val="00B11A78"/>
    <w:rsid w:val="00B11BE5"/>
    <w:rsid w:val="00B11F31"/>
    <w:rsid w:val="00B12B7D"/>
    <w:rsid w:val="00B16985"/>
    <w:rsid w:val="00B22DEE"/>
    <w:rsid w:val="00B27479"/>
    <w:rsid w:val="00B32AA7"/>
    <w:rsid w:val="00B34678"/>
    <w:rsid w:val="00B34FB5"/>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3A00"/>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05E0"/>
    <w:rsid w:val="00BD70E0"/>
    <w:rsid w:val="00BD7473"/>
    <w:rsid w:val="00BD7703"/>
    <w:rsid w:val="00BE14ED"/>
    <w:rsid w:val="00BE420D"/>
    <w:rsid w:val="00BE5388"/>
    <w:rsid w:val="00BF0019"/>
    <w:rsid w:val="00C012F9"/>
    <w:rsid w:val="00C102E6"/>
    <w:rsid w:val="00C11AA1"/>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39AB"/>
    <w:rsid w:val="00CE473F"/>
    <w:rsid w:val="00CE7169"/>
    <w:rsid w:val="00CF04CF"/>
    <w:rsid w:val="00CF2D3E"/>
    <w:rsid w:val="00CF6572"/>
    <w:rsid w:val="00D01FE6"/>
    <w:rsid w:val="00D02347"/>
    <w:rsid w:val="00D03EB3"/>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393A"/>
    <w:rsid w:val="00D94B8D"/>
    <w:rsid w:val="00D96C8D"/>
    <w:rsid w:val="00D974EF"/>
    <w:rsid w:val="00DA0C61"/>
    <w:rsid w:val="00DA14B0"/>
    <w:rsid w:val="00DA2876"/>
    <w:rsid w:val="00DA66D0"/>
    <w:rsid w:val="00DC0B51"/>
    <w:rsid w:val="00DC141F"/>
    <w:rsid w:val="00DC28F1"/>
    <w:rsid w:val="00DC456F"/>
    <w:rsid w:val="00DC6B55"/>
    <w:rsid w:val="00DD7A00"/>
    <w:rsid w:val="00DE27F7"/>
    <w:rsid w:val="00DE4B43"/>
    <w:rsid w:val="00E02660"/>
    <w:rsid w:val="00E04BE1"/>
    <w:rsid w:val="00E12DBF"/>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1826"/>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04FC3"/>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2049" v:ext="edit"/>
    <o:shapelayout v:ext="edit">
      <o:idmap data="1" v:ext="edit"/>
    </o:shapelayout>
  </w:shapeDefaults>
  <w:decimalSymbol w:val="."/>
  <w:listSeparator w:val=","/>
  <w15:docId w15:val="{FB5B536B-9DA6-4920-8EA4-43C10A5F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EastAsia" w:hAnsiTheme="minorHAnsi"/>
        <w:kern w:val="2"/>
        <w:sz w:val="21"/>
        <w:szCs w:val="22"/>
        <w:lang w:bidi="ar-SA" w:eastAsia="zh-CN" w:val="en-US"/>
      </w:rPr>
    </w:rPrDefault>
    <w:pPrDefault/>
  </w:docDefaults>
  <w:latentStyles w:count="371" w:defLockedState="0" w:defQFormat="0" w:defSemiHidden="0" w:defUIPriority="99" w:defUnhideWhenUsed="0">
    <w:lsdException w:name="Normal" w:qFormat="1" w:uiPriority="0"/>
    <w:lsdException w:name="heading 1" w:qFormat="1"/>
    <w:lsdException w:name="heading 2" w:qFormat="1" w:semiHidden="1" w:unhideWhenUsed="1"/>
    <w:lsdException w:name="heading 3" w:qFormat="1" w:semiHidden="1"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uiPriority="0"/>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rsid w:val="004061AC"/>
    <w:pPr>
      <w:widowControl w:val="0"/>
      <w:jc w:val="both"/>
    </w:pPr>
    <w:rPr>
      <w:rFonts w:ascii="Times New Roman" w:cs="Times New Roman" w:eastAsia="宋体" w:hAnsi="Times New Roman"/>
      <w:szCs w:val="21"/>
    </w:rPr>
  </w:style>
  <w:style w:styleId="1" w:type="paragraph">
    <w:name w:val="heading 1"/>
    <w:basedOn w:val="a"/>
    <w:next w:val="a"/>
    <w:link w:val="1Char"/>
    <w:uiPriority w:val="99"/>
    <w:qFormat/>
    <w:rsid w:val="004061AC"/>
    <w:pPr>
      <w:keepNext/>
      <w:keepLines/>
      <w:spacing w:after="330" w:before="340" w:line="578" w:lineRule="auto"/>
      <w:outlineLvl w:val="0"/>
    </w:pPr>
    <w:rPr>
      <w:b/>
      <w:bCs/>
      <w:kern w:val="44"/>
      <w:sz w:val="44"/>
      <w:szCs w:val="44"/>
    </w:rPr>
  </w:style>
  <w:style w:styleId="2" w:type="paragraph">
    <w:name w:val="heading 2"/>
    <w:basedOn w:val="a"/>
    <w:next w:val="a0"/>
    <w:link w:val="2Char"/>
    <w:uiPriority w:val="99"/>
    <w:qFormat/>
    <w:rsid w:val="004061AC"/>
    <w:pPr>
      <w:keepNext/>
      <w:keepLines/>
      <w:spacing w:after="260" w:before="260" w:line="360" w:lineRule="auto"/>
      <w:outlineLvl w:val="1"/>
    </w:pPr>
    <w:rPr>
      <w:rFonts w:ascii="Arial" w:cs="Arial" w:hAnsi="Arial"/>
      <w:b/>
      <w:bCs/>
      <w:sz w:val="24"/>
      <w:szCs w:val="24"/>
    </w:rPr>
  </w:style>
  <w:style w:styleId="3" w:type="paragraph">
    <w:name w:val="heading 3"/>
    <w:basedOn w:val="a"/>
    <w:next w:val="a"/>
    <w:link w:val="3Char"/>
    <w:uiPriority w:val="99"/>
    <w:qFormat/>
    <w:rsid w:val="004061AC"/>
    <w:pPr>
      <w:keepNext/>
      <w:keepLines/>
      <w:spacing w:after="260" w:before="260" w:line="416" w:lineRule="auto"/>
      <w:outlineLvl w:val="2"/>
    </w:pPr>
    <w:rPr>
      <w:b/>
      <w:bCs/>
      <w:sz w:val="32"/>
      <w:szCs w:val="32"/>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customStyle="1" w:styleId="1Char" w:type="character">
    <w:name w:val="标题 1 Char"/>
    <w:basedOn w:val="a1"/>
    <w:link w:val="1"/>
    <w:uiPriority w:val="99"/>
    <w:rsid w:val="004061AC"/>
    <w:rPr>
      <w:rFonts w:ascii="Times New Roman" w:cs="Times New Roman" w:eastAsia="宋体" w:hAnsi="Times New Roman"/>
      <w:b/>
      <w:bCs/>
      <w:kern w:val="44"/>
      <w:sz w:val="44"/>
      <w:szCs w:val="44"/>
    </w:rPr>
  </w:style>
  <w:style w:customStyle="1" w:styleId="2Char" w:type="character">
    <w:name w:val="标题 2 Char"/>
    <w:basedOn w:val="a1"/>
    <w:link w:val="2"/>
    <w:uiPriority w:val="99"/>
    <w:rsid w:val="004061AC"/>
    <w:rPr>
      <w:rFonts w:ascii="Arial" w:cs="Arial" w:eastAsia="宋体" w:hAnsi="Arial"/>
      <w:b/>
      <w:bCs/>
      <w:sz w:val="24"/>
      <w:szCs w:val="24"/>
    </w:rPr>
  </w:style>
  <w:style w:customStyle="1" w:styleId="3Char" w:type="character">
    <w:name w:val="标题 3 Char"/>
    <w:basedOn w:val="a1"/>
    <w:link w:val="3"/>
    <w:uiPriority w:val="99"/>
    <w:rsid w:val="004061AC"/>
    <w:rPr>
      <w:rFonts w:ascii="Times New Roman" w:cs="Times New Roman" w:eastAsia="宋体" w:hAnsi="Times New Roman"/>
      <w:b/>
      <w:bCs/>
      <w:sz w:val="32"/>
      <w:szCs w:val="32"/>
    </w:rPr>
  </w:style>
  <w:style w:styleId="a0" w:type="paragraph">
    <w:name w:val="Normal Indent"/>
    <w:basedOn w:val="a"/>
    <w:uiPriority w:val="99"/>
    <w:rsid w:val="004061AC"/>
    <w:pPr>
      <w:ind w:firstLine="420" w:firstLineChars="200"/>
    </w:pPr>
  </w:style>
  <w:style w:styleId="a4" w:type="paragraph">
    <w:name w:val="Body Text Indent"/>
    <w:basedOn w:val="a"/>
    <w:link w:val="Char"/>
    <w:uiPriority w:val="99"/>
    <w:rsid w:val="004061AC"/>
    <w:pPr>
      <w:widowControl/>
      <w:spacing w:after="100" w:afterAutospacing="1" w:before="100" w:beforeAutospacing="1"/>
      <w:jc w:val="left"/>
    </w:pPr>
    <w:rPr>
      <w:rFonts w:ascii="Arial Unicode MS" w:cs="Arial Unicode MS" w:eastAsia="Arial Unicode MS" w:hAnsi="Arial Unicode MS"/>
      <w:kern w:val="0"/>
      <w:sz w:val="24"/>
      <w:szCs w:val="24"/>
    </w:rPr>
  </w:style>
  <w:style w:customStyle="1" w:styleId="Char" w:type="character">
    <w:name w:val="正文文本缩进 Char"/>
    <w:basedOn w:val="a1"/>
    <w:link w:val="a4"/>
    <w:uiPriority w:val="99"/>
    <w:rsid w:val="004061AC"/>
    <w:rPr>
      <w:rFonts w:ascii="Arial Unicode MS" w:cs="Arial Unicode MS" w:eastAsia="Arial Unicode MS" w:hAnsi="Arial Unicode MS"/>
      <w:kern w:val="0"/>
      <w:sz w:val="24"/>
      <w:szCs w:val="24"/>
    </w:rPr>
  </w:style>
  <w:style w:styleId="a5" w:type="paragraph">
    <w:name w:val="Plain Text"/>
    <w:basedOn w:val="a"/>
    <w:link w:val="Char0"/>
    <w:uiPriority w:val="99"/>
    <w:rsid w:val="004061AC"/>
    <w:rPr>
      <w:rFonts w:ascii="宋体" w:cs="宋体" w:hAnsi="Courier New"/>
    </w:rPr>
  </w:style>
  <w:style w:customStyle="1" w:styleId="Char0" w:type="character">
    <w:name w:val="纯文本 Char"/>
    <w:basedOn w:val="a1"/>
    <w:link w:val="a5"/>
    <w:uiPriority w:val="99"/>
    <w:rsid w:val="004061AC"/>
    <w:rPr>
      <w:rFonts w:ascii="宋体" w:cs="宋体" w:eastAsia="宋体" w:hAnsi="Courier New"/>
      <w:szCs w:val="21"/>
    </w:rPr>
  </w:style>
  <w:style w:styleId="20" w:type="paragraph">
    <w:name w:val="Body Text Indent 2"/>
    <w:basedOn w:val="a"/>
    <w:link w:val="2Char0"/>
    <w:uiPriority w:val="99"/>
    <w:rsid w:val="004061AC"/>
    <w:pPr>
      <w:spacing w:line="560" w:lineRule="exact"/>
      <w:ind w:firstLine="480" w:firstLineChars="200"/>
    </w:pPr>
    <w:rPr>
      <w:rFonts w:ascii="宋体" w:cs="宋体" w:hAnsi="宋体"/>
      <w:color w:val="FF0000"/>
      <w:sz w:val="24"/>
      <w:szCs w:val="24"/>
    </w:rPr>
  </w:style>
  <w:style w:customStyle="1" w:styleId="2Char0" w:type="character">
    <w:name w:val="正文文本缩进 2 Char"/>
    <w:basedOn w:val="a1"/>
    <w:link w:val="20"/>
    <w:uiPriority w:val="99"/>
    <w:rsid w:val="004061AC"/>
    <w:rPr>
      <w:rFonts w:ascii="宋体" w:cs="宋体" w:eastAsia="宋体" w:hAnsi="宋体"/>
      <w:color w:val="FF0000"/>
      <w:sz w:val="24"/>
      <w:szCs w:val="24"/>
    </w:rPr>
  </w:style>
  <w:style w:styleId="a6" w:type="paragraph">
    <w:name w:val="footer"/>
    <w:basedOn w:val="a"/>
    <w:link w:val="Char1"/>
    <w:rsid w:val="004061AC"/>
    <w:pPr>
      <w:tabs>
        <w:tab w:pos="4153" w:val="center"/>
        <w:tab w:pos="8306" w:val="right"/>
      </w:tabs>
      <w:snapToGrid w:val="0"/>
      <w:jc w:val="left"/>
    </w:pPr>
    <w:rPr>
      <w:sz w:val="18"/>
      <w:szCs w:val="18"/>
    </w:rPr>
  </w:style>
  <w:style w:customStyle="1" w:styleId="Char1" w:type="character">
    <w:name w:val="页脚 Char"/>
    <w:basedOn w:val="a1"/>
    <w:link w:val="a6"/>
    <w:uiPriority w:val="99"/>
    <w:rsid w:val="004061AC"/>
    <w:rPr>
      <w:rFonts w:ascii="Times New Roman" w:cs="Times New Roman" w:eastAsia="宋体" w:hAnsi="Times New Roman"/>
      <w:sz w:val="18"/>
      <w:szCs w:val="18"/>
    </w:rPr>
  </w:style>
  <w:style w:styleId="a7" w:type="character">
    <w:name w:val="page number"/>
    <w:basedOn w:val="a1"/>
    <w:uiPriority w:val="99"/>
    <w:rsid w:val="004061AC"/>
  </w:style>
  <w:style w:styleId="a8" w:type="character">
    <w:name w:val="Hyperlink"/>
    <w:basedOn w:val="a1"/>
    <w:uiPriority w:val="99"/>
    <w:rsid w:val="004061AC"/>
    <w:rPr>
      <w:color w:val="0000FF"/>
      <w:u w:val="single"/>
    </w:rPr>
  </w:style>
  <w:style w:styleId="30" w:type="paragraph">
    <w:name w:val="Body Text Indent 3"/>
    <w:basedOn w:val="a"/>
    <w:link w:val="3Char0"/>
    <w:uiPriority w:val="99"/>
    <w:rsid w:val="004061AC"/>
    <w:pPr>
      <w:spacing w:line="560" w:lineRule="exact"/>
      <w:ind w:firstLine="420" w:firstLineChars="200"/>
    </w:pPr>
    <w:rPr>
      <w:rFonts w:ascii="Arial" w:cs="Arial" w:hAnsi="Arial"/>
      <w:color w:val="FF0000"/>
    </w:rPr>
  </w:style>
  <w:style w:customStyle="1" w:styleId="3Char0" w:type="character">
    <w:name w:val="正文文本缩进 3 Char"/>
    <w:basedOn w:val="a1"/>
    <w:link w:val="30"/>
    <w:uiPriority w:val="99"/>
    <w:rsid w:val="004061AC"/>
    <w:rPr>
      <w:rFonts w:ascii="Arial" w:cs="Arial" w:eastAsia="宋体" w:hAnsi="Arial"/>
      <w:color w:val="FF0000"/>
      <w:szCs w:val="21"/>
    </w:rPr>
  </w:style>
  <w:style w:styleId="a9" w:type="paragraph">
    <w:name w:val="header"/>
    <w:basedOn w:val="a"/>
    <w:link w:val="Char2"/>
    <w:uiPriority w:val="99"/>
    <w:rsid w:val="004061AC"/>
    <w:pPr>
      <w:pBdr>
        <w:bottom w:color="auto" w:space="1" w:sz="6" w:val="single"/>
      </w:pBdr>
      <w:tabs>
        <w:tab w:pos="4153" w:val="center"/>
        <w:tab w:pos="8306" w:val="right"/>
      </w:tabs>
      <w:snapToGrid w:val="0"/>
      <w:jc w:val="center"/>
    </w:pPr>
    <w:rPr>
      <w:sz w:val="18"/>
      <w:szCs w:val="18"/>
    </w:rPr>
  </w:style>
  <w:style w:customStyle="1" w:styleId="Char2" w:type="character">
    <w:name w:val="页眉 Char"/>
    <w:basedOn w:val="a1"/>
    <w:link w:val="a9"/>
    <w:uiPriority w:val="99"/>
    <w:rsid w:val="004061AC"/>
    <w:rPr>
      <w:rFonts w:ascii="Times New Roman" w:cs="Times New Roman" w:eastAsia="宋体" w:hAnsi="Times New Roman"/>
      <w:sz w:val="18"/>
      <w:szCs w:val="18"/>
    </w:rPr>
  </w:style>
  <w:style w:styleId="aa" w:type="character">
    <w:name w:val="FollowedHyperlink"/>
    <w:basedOn w:val="a1"/>
    <w:uiPriority w:val="99"/>
    <w:rsid w:val="004061AC"/>
    <w:rPr>
      <w:color w:val="800080"/>
      <w:u w:val="single"/>
    </w:rPr>
  </w:style>
  <w:style w:styleId="ab" w:type="paragraph">
    <w:name w:val="List"/>
    <w:basedOn w:val="ac"/>
    <w:uiPriority w:val="99"/>
    <w:rsid w:val="004061AC"/>
    <w:pPr>
      <w:spacing w:after="220" w:line="220" w:lineRule="atLeast"/>
      <w:ind w:hanging="360" w:left="1440"/>
    </w:pPr>
  </w:style>
  <w:style w:styleId="ac" w:type="paragraph">
    <w:name w:val="Body Text"/>
    <w:basedOn w:val="a"/>
    <w:link w:val="Char3"/>
    <w:uiPriority w:val="99"/>
    <w:rsid w:val="004061AC"/>
    <w:pPr>
      <w:spacing w:after="120"/>
    </w:pPr>
  </w:style>
  <w:style w:customStyle="1" w:styleId="Char3" w:type="character">
    <w:name w:val="正文文本 Char"/>
    <w:basedOn w:val="a1"/>
    <w:link w:val="ac"/>
    <w:uiPriority w:val="99"/>
    <w:rsid w:val="004061AC"/>
    <w:rPr>
      <w:rFonts w:ascii="Times New Roman" w:cs="Times New Roman" w:eastAsia="宋体" w:hAnsi="Times New Roman"/>
      <w:szCs w:val="21"/>
    </w:rPr>
  </w:style>
  <w:style w:styleId="ad" w:type="paragraph">
    <w:name w:val="Date"/>
    <w:basedOn w:val="a"/>
    <w:next w:val="a"/>
    <w:link w:val="Char4"/>
    <w:rsid w:val="004061AC"/>
    <w:rPr>
      <w:sz w:val="24"/>
      <w:szCs w:val="24"/>
    </w:rPr>
  </w:style>
  <w:style w:customStyle="1" w:styleId="Char4" w:type="character">
    <w:name w:val="日期 Char"/>
    <w:basedOn w:val="a1"/>
    <w:link w:val="ad"/>
    <w:rsid w:val="004061AC"/>
    <w:rPr>
      <w:rFonts w:ascii="Times New Roman" w:cs="Times New Roman" w:eastAsia="宋体" w:hAnsi="Times New Roman"/>
      <w:sz w:val="24"/>
      <w:szCs w:val="24"/>
    </w:rPr>
  </w:style>
  <w:style w:customStyle="1" w:styleId="c1" w:type="character">
    <w:name w:val="c1"/>
    <w:basedOn w:val="a1"/>
    <w:uiPriority w:val="99"/>
    <w:rsid w:val="004061AC"/>
    <w:rPr>
      <w:color w:val="000000"/>
      <w:sz w:val="18"/>
      <w:szCs w:val="18"/>
    </w:rPr>
  </w:style>
  <w:style w:styleId="10" w:type="paragraph">
    <w:name w:val="index 1"/>
    <w:basedOn w:val="a"/>
    <w:next w:val="a"/>
    <w:autoRedefine/>
    <w:uiPriority w:val="99"/>
    <w:semiHidden/>
    <w:rsid w:val="004061AC"/>
    <w:pPr>
      <w:jc w:val="right"/>
    </w:pPr>
    <w:rPr>
      <w:color w:val="008000"/>
    </w:rPr>
  </w:style>
  <w:style w:customStyle="1" w:styleId="font5" w:type="paragraph">
    <w:name w:val="font5"/>
    <w:basedOn w:val="a"/>
    <w:uiPriority w:val="99"/>
    <w:rsid w:val="004061AC"/>
    <w:pPr>
      <w:widowControl/>
      <w:spacing w:after="100" w:afterAutospacing="1" w:before="100" w:beforeAutospacing="1"/>
      <w:jc w:val="left"/>
    </w:pPr>
    <w:rPr>
      <w:rFonts w:ascii="宋体" w:cs="宋体" w:hAnsi="宋体"/>
      <w:kern w:val="0"/>
      <w:sz w:val="18"/>
      <w:szCs w:val="18"/>
    </w:rPr>
  </w:style>
  <w:style w:customStyle="1" w:styleId="xl24" w:type="paragraph">
    <w:name w:val="xl24"/>
    <w:basedOn w:val="a"/>
    <w:uiPriority w:val="99"/>
    <w:rsid w:val="004061AC"/>
    <w:pPr>
      <w:widowControl/>
      <w:pBdr>
        <w:top w:color="000000" w:space="0" w:sz="6" w:val="doub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0000FF"/>
      <w:kern w:val="0"/>
      <w:sz w:val="29"/>
      <w:szCs w:val="29"/>
    </w:rPr>
  </w:style>
  <w:style w:customStyle="1" w:styleId="xl25" w:type="paragraph">
    <w:name w:val="xl25"/>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left"/>
    </w:pPr>
    <w:rPr>
      <w:rFonts w:ascii="Arial Unicode MS" w:cs="Arial Unicode MS" w:eastAsia="Arial Unicode MS" w:hAnsi="Arial Unicode MS"/>
      <w:b/>
      <w:bCs/>
      <w:color w:val="000000"/>
      <w:kern w:val="0"/>
      <w:sz w:val="24"/>
      <w:szCs w:val="24"/>
    </w:rPr>
  </w:style>
  <w:style w:customStyle="1" w:styleId="xl26" w:type="paragraph">
    <w:name w:val="xl26"/>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27" w:type="paragraph">
    <w:name w:val="xl27"/>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12"/>
      <w:szCs w:val="12"/>
    </w:rPr>
  </w:style>
  <w:style w:customStyle="1" w:styleId="xl28" w:type="paragraph">
    <w:name w:val="xl28"/>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29" w:type="paragraph">
    <w:name w:val="xl29"/>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30" w:type="paragraph">
    <w:name w:val="xl30"/>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31" w:type="paragraph">
    <w:name w:val="xl31"/>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2" w:type="paragraph">
    <w:name w:val="xl32"/>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3" w:type="paragraph">
    <w:name w:val="xl33"/>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color w:val="000000"/>
      <w:kern w:val="0"/>
      <w:sz w:val="22"/>
      <w:szCs w:val="22"/>
    </w:rPr>
  </w:style>
  <w:style w:customStyle="1" w:styleId="xl34" w:type="paragraph">
    <w:name w:val="xl34"/>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5" w:type="paragraph">
    <w:name w:val="xl35"/>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000000"/>
      <w:kern w:val="0"/>
      <w:sz w:val="23"/>
      <w:szCs w:val="23"/>
    </w:rPr>
  </w:style>
  <w:style w:customStyle="1" w:styleId="xl36" w:type="paragraph">
    <w:name w:val="xl36"/>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customStyle="1" w:styleId="xl37" w:type="paragraph">
    <w:name w:val="xl37"/>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FF0000"/>
      <w:kern w:val="0"/>
      <w:sz w:val="23"/>
      <w:szCs w:val="23"/>
    </w:rPr>
  </w:style>
  <w:style w:customStyle="1" w:styleId="xl38" w:type="paragraph">
    <w:name w:val="xl38"/>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styleId="ae" w:type="paragraph">
    <w:name w:val="Balloon Text"/>
    <w:basedOn w:val="a"/>
    <w:link w:val="Char5"/>
    <w:uiPriority w:val="99"/>
    <w:semiHidden/>
    <w:rsid w:val="004061AC"/>
    <w:rPr>
      <w:sz w:val="18"/>
      <w:szCs w:val="18"/>
    </w:rPr>
  </w:style>
  <w:style w:customStyle="1" w:styleId="Char5" w:type="character">
    <w:name w:val="批注框文本 Char"/>
    <w:basedOn w:val="a1"/>
    <w:link w:val="ae"/>
    <w:uiPriority w:val="99"/>
    <w:semiHidden/>
    <w:rsid w:val="004061AC"/>
    <w:rPr>
      <w:rFonts w:ascii="Times New Roman" w:cs="Times New Roman" w:eastAsia="宋体" w:hAnsi="Times New Roman"/>
      <w:sz w:val="18"/>
      <w:szCs w:val="18"/>
    </w:rPr>
  </w:style>
  <w:style w:styleId="af" w:type="character">
    <w:name w:val="annotation reference"/>
    <w:basedOn w:val="a1"/>
    <w:uiPriority w:val="99"/>
    <w:semiHidden/>
    <w:rsid w:val="004061AC"/>
    <w:rPr>
      <w:sz w:val="21"/>
      <w:szCs w:val="21"/>
    </w:rPr>
  </w:style>
  <w:style w:styleId="af0" w:type="paragraph">
    <w:name w:val="annotation text"/>
    <w:basedOn w:val="a"/>
    <w:link w:val="Char6"/>
    <w:uiPriority w:val="99"/>
    <w:semiHidden/>
    <w:rsid w:val="004061AC"/>
    <w:pPr>
      <w:jc w:val="left"/>
    </w:pPr>
  </w:style>
  <w:style w:customStyle="1" w:styleId="Char6" w:type="character">
    <w:name w:val="批注文字 Char"/>
    <w:basedOn w:val="a1"/>
    <w:link w:val="af0"/>
    <w:uiPriority w:val="99"/>
    <w:semiHidden/>
    <w:rsid w:val="004061AC"/>
    <w:rPr>
      <w:rFonts w:ascii="Times New Roman" w:cs="Times New Roman" w:eastAsia="宋体" w:hAnsi="Times New Roman"/>
      <w:szCs w:val="21"/>
    </w:rPr>
  </w:style>
  <w:style w:styleId="af1" w:type="paragraph">
    <w:name w:val="annotation subject"/>
    <w:basedOn w:val="af0"/>
    <w:next w:val="af0"/>
    <w:link w:val="Char7"/>
    <w:uiPriority w:val="99"/>
    <w:semiHidden/>
    <w:rsid w:val="004061AC"/>
    <w:rPr>
      <w:b/>
      <w:bCs/>
    </w:rPr>
  </w:style>
  <w:style w:customStyle="1" w:styleId="Char7" w:type="character">
    <w:name w:val="批注主题 Char"/>
    <w:basedOn w:val="Char6"/>
    <w:link w:val="af1"/>
    <w:uiPriority w:val="99"/>
    <w:semiHidden/>
    <w:rsid w:val="004061AC"/>
    <w:rPr>
      <w:rFonts w:ascii="Times New Roman" w:cs="Times New Roman" w:eastAsia="宋体" w:hAnsi="Times New Roman"/>
      <w:b/>
      <w:bCs/>
      <w:szCs w:val="21"/>
    </w:rPr>
  </w:style>
  <w:style w:customStyle="1" w:styleId="Char8" w:type="paragraph">
    <w:name w:val="Char"/>
    <w:basedOn w:val="a"/>
    <w:uiPriority w:val="99"/>
    <w:rsid w:val="004061AC"/>
  </w:style>
  <w:style w:styleId="af2" w:type="paragraph">
    <w:name w:val="Document Map"/>
    <w:basedOn w:val="a"/>
    <w:link w:val="Char9"/>
    <w:uiPriority w:val="99"/>
    <w:semiHidden/>
    <w:rsid w:val="004061AC"/>
    <w:pPr>
      <w:shd w:color="auto" w:fill="000080" w:val="clear"/>
    </w:pPr>
  </w:style>
  <w:style w:customStyle="1" w:styleId="Char9" w:type="character">
    <w:name w:val="文档结构图 Char"/>
    <w:basedOn w:val="a1"/>
    <w:link w:val="af2"/>
    <w:uiPriority w:val="99"/>
    <w:semiHidden/>
    <w:rsid w:val="004061AC"/>
    <w:rPr>
      <w:rFonts w:ascii="Times New Roman" w:cs="Times New Roman" w:eastAsia="宋体" w:hAnsi="Times New Roman"/>
      <w:szCs w:val="21"/>
      <w:shd w:color="auto" w:fill="000080" w:val="clear"/>
    </w:rPr>
  </w:style>
  <w:style w:customStyle="1" w:styleId="af3" w:type="paragraph">
    <w:name w:val="正文 + (符号) 宋体"/>
    <w:aliases w:val="小四,紧缩量  0.2 磅"/>
    <w:basedOn w:val="a"/>
    <w:uiPriority w:val="99"/>
    <w:rsid w:val="004061AC"/>
    <w:pPr>
      <w:autoSpaceDE w:val="0"/>
      <w:autoSpaceDN w:val="0"/>
      <w:adjustRightInd w:val="0"/>
      <w:ind w:firstLine="1229" w:firstLineChars="512" w:right="1409" w:rightChars="671"/>
      <w:jc w:val="distribute"/>
    </w:pPr>
    <w:rPr>
      <w:sz w:val="24"/>
      <w:szCs w:val="24"/>
    </w:rPr>
  </w:style>
  <w:style w:styleId="af4" w:type="paragraph">
    <w:name w:val="footnote text"/>
    <w:basedOn w:val="a"/>
    <w:link w:val="Chara"/>
    <w:rsid w:val="004061AC"/>
    <w:pPr>
      <w:snapToGrid w:val="0"/>
      <w:jc w:val="left"/>
    </w:pPr>
    <w:rPr>
      <w:sz w:val="18"/>
      <w:szCs w:val="18"/>
    </w:rPr>
  </w:style>
  <w:style w:customStyle="1" w:styleId="Chara" w:type="character">
    <w:name w:val="脚注文本 Char"/>
    <w:basedOn w:val="a1"/>
    <w:link w:val="af4"/>
    <w:rsid w:val="004061AC"/>
    <w:rPr>
      <w:rFonts w:ascii="Times New Roman" w:cs="Times New Roman" w:eastAsia="宋体" w:hAnsi="Times New Roman"/>
      <w:sz w:val="18"/>
      <w:szCs w:val="18"/>
    </w:rPr>
  </w:style>
  <w:style w:styleId="af5" w:type="character">
    <w:name w:val="footnote reference"/>
    <w:basedOn w:val="a1"/>
    <w:rsid w:val="004061AC"/>
    <w:rPr>
      <w:vertAlign w:val="superscript"/>
    </w:rPr>
  </w:style>
  <w:style w:styleId="af6" w:type="paragraph">
    <w:name w:val="Normal (Web)"/>
    <w:basedOn w:val="a"/>
    <w:uiPriority w:val="99"/>
    <w:rsid w:val="004061AC"/>
    <w:pPr>
      <w:widowControl/>
      <w:spacing w:after="100" w:afterAutospacing="1" w:before="100" w:beforeAutospacing="1"/>
      <w:jc w:val="left"/>
    </w:pPr>
    <w:rPr>
      <w:rFonts w:ascii="宋体" w:cs="宋体" w:hAnsi="宋体"/>
      <w:kern w:val="0"/>
      <w:sz w:val="24"/>
      <w:szCs w:val="24"/>
    </w:rPr>
  </w:style>
  <w:style w:styleId="af7" w:type="table">
    <w:name w:val="Table Grid"/>
    <w:basedOn w:val="a2"/>
    <w:qFormat/>
    <w:rsid w:val="004061AC"/>
    <w:pPr>
      <w:widowControl w:val="0"/>
      <w:jc w:val="both"/>
    </w:pPr>
    <w:rPr>
      <w:rFonts w:ascii="Times New Roman" w:cs="Times New Roman" w:eastAsia="宋体"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Char10" w:type="paragraph">
    <w:name w:val="Char1"/>
    <w:basedOn w:val="a"/>
    <w:uiPriority w:val="99"/>
    <w:rsid w:val="004061AC"/>
  </w:style>
  <w:style w:customStyle="1" w:styleId="CharCharCharCharCharChar1CharCharChar" w:type="paragraph">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customStyle="1" w:styleId="CharCharCharCharCharChar1CharCharChar2" w:type="paragraph">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styleId="af8" w:type="paragraph">
    <w:name w:val="Title"/>
    <w:basedOn w:val="a"/>
    <w:next w:val="a"/>
    <w:link w:val="Charb"/>
    <w:uiPriority w:val="99"/>
    <w:qFormat/>
    <w:rsid w:val="004061AC"/>
    <w:pPr>
      <w:spacing w:after="60" w:before="240"/>
      <w:jc w:val="center"/>
      <w:outlineLvl w:val="0"/>
    </w:pPr>
    <w:rPr>
      <w:rFonts w:ascii="Cambria" w:cs="Cambria" w:hAnsi="Cambria"/>
      <w:b/>
      <w:bCs/>
      <w:sz w:val="32"/>
      <w:szCs w:val="32"/>
    </w:rPr>
  </w:style>
  <w:style w:customStyle="1" w:styleId="Charb" w:type="character">
    <w:name w:val="标题 Char"/>
    <w:basedOn w:val="a1"/>
    <w:link w:val="af8"/>
    <w:uiPriority w:val="99"/>
    <w:rsid w:val="004061AC"/>
    <w:rPr>
      <w:rFonts w:ascii="Cambria" w:cs="Cambria" w:eastAsia="宋体" w:hAnsi="Cambria"/>
      <w:b/>
      <w:bCs/>
      <w:sz w:val="32"/>
      <w:szCs w:val="32"/>
    </w:rPr>
  </w:style>
  <w:style w:customStyle="1" w:styleId="CharCharCharCharCharChar1CharCharChar1" w:type="paragraph">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styleId="af9" w:type="paragraph">
    <w:name w:val="No Spacing"/>
    <w:link w:val="Charc"/>
    <w:uiPriority w:val="1"/>
    <w:qFormat/>
    <w:rsid w:val="004061AC"/>
    <w:rPr>
      <w:rFonts w:ascii="Calibri" w:cs="Calibri" w:eastAsia="宋体" w:hAnsi="Calibri"/>
      <w:kern w:val="0"/>
      <w:sz w:val="22"/>
    </w:rPr>
  </w:style>
  <w:style w:customStyle="1" w:styleId="Charc" w:type="character">
    <w:name w:val="无间隔 Char"/>
    <w:basedOn w:val="a1"/>
    <w:link w:val="af9"/>
    <w:uiPriority w:val="1"/>
    <w:locked/>
    <w:rsid w:val="004061AC"/>
    <w:rPr>
      <w:rFonts w:ascii="Calibri" w:cs="Calibri" w:eastAsia="宋体" w:hAnsi="Calibri"/>
      <w:kern w:val="0"/>
      <w:sz w:val="22"/>
    </w:rPr>
  </w:style>
  <w:style w:customStyle="1" w:styleId="t1" w:type="character">
    <w:name w:val="t1"/>
    <w:basedOn w:val="a1"/>
    <w:uiPriority w:val="99"/>
    <w:rsid w:val="004061AC"/>
    <w:rPr>
      <w:color w:val="auto"/>
    </w:rPr>
  </w:style>
  <w:style w:styleId="afa" w:type="paragraph">
    <w:name w:val="List Paragraph"/>
    <w:basedOn w:val="a"/>
    <w:uiPriority w:val="34"/>
    <w:qFormat/>
    <w:rsid w:val="00154BE1"/>
    <w:pPr>
      <w:ind w:firstLine="420" w:firstLineChars="200"/>
    </w:pPr>
  </w:style>
  <w:style w:customStyle="1" w:styleId="Default" w:type="paragraph">
    <w:name w:val="Default"/>
    <w:rsid w:val="00275745"/>
    <w:pPr>
      <w:widowControl w:val="0"/>
      <w:autoSpaceDE w:val="0"/>
      <w:autoSpaceDN w:val="0"/>
      <w:adjustRightInd w:val="0"/>
    </w:pPr>
    <w:rPr>
      <w:rFonts w:ascii="FangSong" w:cs="FangSong" w:eastAsia="宋体" w:hAnsi="FangSong"/>
      <w:color w:val="000000"/>
      <w:kern w:val="0"/>
      <w:sz w:val="24"/>
      <w:szCs w:val="24"/>
    </w:rPr>
  </w:style>
  <w:style w:styleId="afb" w:type="character">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media/image1.jpeg" Type="http://schemas.openxmlformats.org/officeDocument/2006/relationships/image"/>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24F61-935D-4852-8DB9-16A24A127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1828</TotalTime>
  <Pages>24</Pages>
  <Words>3807</Words>
  <Characters>21700</Characters>
  <Application>Microsoft Office Word</Application>
  <DocSecurity>0</DocSecurity>
  <Lines>180</Lines>
  <Paragraphs>50</Paragraphs>
  <ScaleCrop>false</ScaleCrop>
  <Company/>
  <LinksUpToDate>false</LinksUpToDate>
  <CharactersWithSpaces>25457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2012-10-16T06:07:00Z</dcterms:created>
  <cp:lastModifiedBy>业务系统</cp:lastModifiedBy>
  <dcterms:modified xsi:type="dcterms:W3CDTF">2020-01-17T03:03:00Z</dcterms:modified>
  <cp:revision>600</cp:revision>
</cp:coreProperties>
</file>