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交银施罗德新生活力灵活配置混合型证券投资基金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2016年11月11日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3,942,804,296.05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760,172,081.99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582,331,727.86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0.1419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8,496,959,602.35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2.155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7.32%</w:t>
            </w:r>
          </w:p>
        </w:tc>
        <w:tc>
          <w:tcPr>
            <w:vAlign w:val="center"/>
          </w:tcPr>
          <w:p>
            <w:pPr>
              <w:jc w:val="center"/>
            </w:pPr>
            <w:r>
              <w:rPr>
                <w:color w:val="000000"/>
                <w:sz w:val="24"/>
                <w:szCs w:val="24"/>
              </w:rPr>
              <w:t>1.91%</w:t>
            </w:r>
          </w:p>
        </w:tc>
        <w:tc>
          <w:tcPr>
            <w:vAlign w:val="center"/>
          </w:tcPr>
          <w:p>
            <w:pPr>
              <w:jc w:val="center"/>
            </w:pPr>
            <w:r>
              <w:rPr>
                <w:color w:val="000000"/>
                <w:sz w:val="24"/>
                <w:szCs w:val="24"/>
              </w:rPr>
              <w:t>-4.90%</w:t>
            </w:r>
          </w:p>
        </w:tc>
        <w:tc>
          <w:tcPr>
            <w:vAlign w:val="center"/>
          </w:tcPr>
          <w:p>
            <w:pPr>
              <w:jc w:val="center"/>
            </w:pPr>
            <w:r>
              <w:rPr>
                <w:color w:val="000000"/>
                <w:sz w:val="24"/>
                <w:szCs w:val="24"/>
              </w:rPr>
              <w:t>1.15%</w:t>
            </w:r>
          </w:p>
        </w:tc>
        <w:tc>
          <w:tcPr>
            <w:vAlign w:val="center"/>
          </w:tcPr>
          <w:p>
            <w:pPr>
              <w:jc w:val="center"/>
            </w:pPr>
            <w:r>
              <w:rPr>
                <w:color w:val="000000"/>
                <w:sz w:val="24"/>
                <w:szCs w:val="24"/>
              </w:rPr>
              <w:t>12.22%</w:t>
            </w:r>
          </w:p>
        </w:tc>
        <w:tc>
          <w:tcPr>
            <w:vAlign w:val="center"/>
          </w:tcPr>
          <w:p>
            <w:pPr>
              <w:jc w:val="center"/>
            </w:pPr>
            <w:r>
              <w:rPr>
                <w:color w:val="000000"/>
                <w:sz w:val="24"/>
                <w:szCs w:val="24"/>
              </w:rPr>
              <w:t>0.76%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交银施罗德新生活力灵活配置混合型证券投资基金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2016年11月11日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交银定期支付双息平衡混合、交银新生活力灵活配置混合、交银内核驱动混合、交银科锐科技创新混合的基金经理</w:t>
            </w:r>
          </w:p>
        </w:tc>
        <w:tc>
          <w:tcPr>
            <w:vAlign w:val="center"/>
          </w:tcPr>
          <w:p>
            <w:pPr>
              <w:jc w:val="center"/>
            </w:pPr>
            <w:r>
              <w:rPr>
                <w:color w:val="000000"/>
                <w:sz w:val="24"/>
                <w:szCs w:val="24"/>
              </w:rPr>
              <w:t>2016-11-11</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一季度，市场主要受到新冠疫情的影响。二月在短期的流动性刺激下，科技板块表现出较大的弹性进而泡沫化，而随着疫情蔓延到全球，海外疫情超预期的发展，市场逐步形成全球衰退预期，三月市场遭遇较大回撤。整体而言，必选消费、公共服务等行业表现较为抗跌，而能源、出口型消费和制造企业跌幅很大。</w:t>
      </w:r>
    </w:p>
    <w:p>
      <w:pPr>
        <w:spacing w:before="29" w:line="288" w:lineRule="auto"/>
        <w:ind w:firstLine="480" w:firstLineChars="200"/>
        <w:rPr>
          <w:color w:val="000000"/>
          <w:sz w:val="24"/>
          <w:szCs w:val="24"/>
        </w:rPr>
      </w:pPr>
      <w:r>
        <w:rPr>
          <w:color w:val="000000"/>
          <w:sz w:val="24"/>
          <w:szCs w:val="24"/>
        </w:rPr>
        <w:t xml:space="preserve">本基金本季度跑赢业绩比较基准。基金的仓位较为稳定，我们还是倾向于投资优秀的个股，而用品种间景气度相互对冲的方式来平衡组合的波动性，我们本季度的超额收益的主要来源是个股选择，持仓中的内需消费和服务业个股表现较好，也对二月涨幅较大的科技板块作了一些减持获利了结。 </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疫情的影响目前尚未结束，对疫情后国际关系、全球化进程、对国内今年的经济增长目标、刺激政策的动向市场众说纷纭，我们认为这都是非常难以判断的事情，我们也不会基于某一个宏观的判断，而大幅度的去做仓位选择和行业配置调整。在疫情中，我们观察到优秀的公司没有停下修炼内功的步伐，过去持续的研发投入，较好的资金储备，规整的管理体系，使得他们在疫情期间表现出较好的经营稳定性，这也有助于他们在疫情结束后，获得更大的市场份额。经济进入较低增长期间，结构性，供给面研究我们认为是一个消除不确定性的可行之道。</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6,961,864,948.23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81.30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6,961,864,948.23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81.30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472,151,722.88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472,151,722.88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620,000,510.00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434,890,569.89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73,993,699.95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0.86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8,562,901,450.95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299,597,837.64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3,089,792,075.82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19,147.31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496,545,727.96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1,169,085,606.51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221,296,041.90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189,139,699.33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34,294,014.52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577,127,827.98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18,827,879.20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866,139,090.06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6,961,864,948.23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81.93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13,634,954</w:t>
            </w:r>
          </w:p>
        </w:tc>
        <w:tc>
          <w:tcPr>
            <w:vAlign w:val="center"/>
          </w:tcPr>
          <w:p>
            <w:pPr>
              <w:jc w:val="right"/>
            </w:pPr>
            <w:r>
              <w:rPr>
                <w:color w:val="000000"/>
                <w:sz w:val="24"/>
                <w:szCs w:val="24"/>
              </w:rPr>
              <w:t>594,347,644.86</w:t>
            </w:r>
          </w:p>
        </w:tc>
        <w:tc>
          <w:tcPr>
            <w:vAlign w:val="center"/>
          </w:tcPr>
          <w:p>
            <w:pPr>
              <w:jc w:val="right"/>
            </w:pPr>
            <w:r>
              <w:rPr>
                <w:color w:val="000000"/>
                <w:sz w:val="24"/>
                <w:szCs w:val="24"/>
              </w:rPr>
              <w:t>6.99</w:t>
            </w:r>
          </w:p>
        </w:tc>
      </w:tr>
      <w:tr>
        <w:tc>
          <w:tcPr>
            <w:vAlign w:val="center"/>
          </w:tcPr>
          <w:p>
            <w:pPr>
              <w:jc w:val="center"/>
            </w:pPr>
            <w:r>
              <w:rPr>
                <w:color w:val="000000"/>
                <w:sz w:val="24"/>
                <w:szCs w:val="24"/>
              </w:rPr>
              <w:t>2</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25,345,974</w:t>
            </w:r>
          </w:p>
        </w:tc>
        <w:tc>
          <w:tcPr>
            <w:vAlign w:val="center"/>
          </w:tcPr>
          <w:p>
            <w:pPr>
              <w:jc w:val="right"/>
            </w:pPr>
            <w:r>
              <w:rPr>
                <w:color w:val="000000"/>
                <w:sz w:val="24"/>
                <w:szCs w:val="24"/>
              </w:rPr>
              <w:t>577,127,827.98</w:t>
            </w:r>
          </w:p>
        </w:tc>
        <w:tc>
          <w:tcPr>
            <w:vAlign w:val="center"/>
          </w:tcPr>
          <w:p>
            <w:pPr>
              <w:jc w:val="right"/>
            </w:pPr>
            <w:r>
              <w:rPr>
                <w:color w:val="000000"/>
                <w:sz w:val="24"/>
                <w:szCs w:val="24"/>
              </w:rPr>
              <w:t>6.79</w:t>
            </w:r>
          </w:p>
        </w:tc>
      </w:tr>
      <w:tr>
        <w:tc>
          <w:tcPr>
            <w:vAlign w:val="center"/>
          </w:tcPr>
          <w:p>
            <w:pPr>
              <w:jc w:val="center"/>
            </w:pPr>
            <w:r>
              <w:rPr>
                <w:color w:val="000000"/>
                <w:sz w:val="24"/>
                <w:szCs w:val="24"/>
              </w:rPr>
              <w:t>3</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9,493,751</w:t>
            </w:r>
          </w:p>
        </w:tc>
        <w:tc>
          <w:tcPr>
            <w:vAlign w:val="center"/>
          </w:tcPr>
          <w:p>
            <w:pPr>
              <w:jc w:val="right"/>
            </w:pPr>
            <w:r>
              <w:rPr>
                <w:color w:val="000000"/>
                <w:sz w:val="24"/>
                <w:szCs w:val="24"/>
              </w:rPr>
              <w:t>490,301,614.25</w:t>
            </w:r>
          </w:p>
        </w:tc>
        <w:tc>
          <w:tcPr>
            <w:vAlign w:val="center"/>
          </w:tcPr>
          <w:p>
            <w:pPr>
              <w:jc w:val="right"/>
            </w:pPr>
            <w:r>
              <w:rPr>
                <w:color w:val="000000"/>
                <w:sz w:val="24"/>
                <w:szCs w:val="24"/>
              </w:rPr>
              <w:t>5.77</w:t>
            </w:r>
          </w:p>
        </w:tc>
      </w:tr>
      <w:tr>
        <w:tc>
          <w:tcPr>
            <w:vAlign w:val="center"/>
          </w:tcPr>
          <w:p>
            <w:pPr>
              <w:jc w:val="center"/>
            </w:pPr>
            <w:r>
              <w:rPr>
                <w:color w:val="000000"/>
                <w:sz w:val="24"/>
                <w:szCs w:val="24"/>
              </w:rPr>
              <w:t>4</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10,398,586</w:t>
            </w:r>
          </w:p>
        </w:tc>
        <w:tc>
          <w:tcPr>
            <w:vAlign w:val="center"/>
          </w:tcPr>
          <w:p>
            <w:pPr>
              <w:jc w:val="right"/>
            </w:pPr>
            <w:r>
              <w:rPr>
                <w:color w:val="000000"/>
                <w:sz w:val="24"/>
                <w:szCs w:val="24"/>
              </w:rPr>
              <w:t>489,042,202.64</w:t>
            </w:r>
          </w:p>
        </w:tc>
        <w:tc>
          <w:tcPr>
            <w:vAlign w:val="center"/>
          </w:tcPr>
          <w:p>
            <w:pPr>
              <w:jc w:val="right"/>
            </w:pPr>
            <w:r>
              <w:rPr>
                <w:color w:val="000000"/>
                <w:sz w:val="24"/>
                <w:szCs w:val="24"/>
              </w:rPr>
              <w:t>5.76</w:t>
            </w:r>
          </w:p>
        </w:tc>
      </w:tr>
      <w:tr>
        <w:tc>
          <w:tcPr>
            <w:vAlign w:val="center"/>
          </w:tcPr>
          <w:p>
            <w:pPr>
              <w:jc w:val="center"/>
            </w:pPr>
            <w:r>
              <w:rPr>
                <w:color w:val="000000"/>
                <w:sz w:val="24"/>
                <w:szCs w:val="24"/>
              </w:rPr>
              <w:t>5</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10,975,911</w:t>
            </w:r>
          </w:p>
        </w:tc>
        <w:tc>
          <w:tcPr>
            <w:vAlign w:val="center"/>
          </w:tcPr>
          <w:p>
            <w:pPr>
              <w:jc w:val="right"/>
            </w:pPr>
            <w:r>
              <w:rPr>
                <w:color w:val="000000"/>
                <w:sz w:val="24"/>
                <w:szCs w:val="24"/>
              </w:rPr>
              <w:t>373,510,251.33</w:t>
            </w:r>
          </w:p>
        </w:tc>
        <w:tc>
          <w:tcPr>
            <w:vAlign w:val="center"/>
          </w:tcPr>
          <w:p>
            <w:pPr>
              <w:jc w:val="right"/>
            </w:pPr>
            <w:r>
              <w:rPr>
                <w:color w:val="000000"/>
                <w:sz w:val="24"/>
                <w:szCs w:val="24"/>
              </w:rPr>
              <w:t>4.40</w:t>
            </w:r>
          </w:p>
        </w:tc>
      </w:tr>
      <w:tr>
        <w:tc>
          <w:tcPr>
            <w:vAlign w:val="center"/>
          </w:tcPr>
          <w:p>
            <w:pPr>
              <w:jc w:val="center"/>
            </w:pPr>
            <w:r>
              <w:rPr>
                <w:color w:val="000000"/>
                <w:sz w:val="24"/>
                <w:szCs w:val="24"/>
              </w:rPr>
              <w:t>6</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24,563,613</w:t>
            </w:r>
          </w:p>
        </w:tc>
        <w:tc>
          <w:tcPr>
            <w:vAlign w:val="center"/>
          </w:tcPr>
          <w:p>
            <w:pPr>
              <w:jc w:val="right"/>
            </w:pPr>
            <w:r>
              <w:rPr>
                <w:color w:val="000000"/>
                <w:sz w:val="24"/>
                <w:szCs w:val="24"/>
              </w:rPr>
              <w:t>353,716,027.20</w:t>
            </w:r>
          </w:p>
        </w:tc>
        <w:tc>
          <w:tcPr>
            <w:vAlign w:val="center"/>
          </w:tcPr>
          <w:p>
            <w:pPr>
              <w:jc w:val="right"/>
            </w:pPr>
            <w:r>
              <w:rPr>
                <w:color w:val="000000"/>
                <w:sz w:val="24"/>
                <w:szCs w:val="24"/>
              </w:rPr>
              <w:t>4.16</w:t>
            </w:r>
          </w:p>
        </w:tc>
      </w:tr>
      <w:tr>
        <w:tc>
          <w:tcPr>
            <w:vAlign w:val="center"/>
          </w:tcPr>
          <w:p>
            <w:pPr>
              <w:jc w:val="center"/>
            </w:pPr>
            <w:r>
              <w:rPr>
                <w:color w:val="000000"/>
                <w:sz w:val="24"/>
                <w:szCs w:val="24"/>
              </w:rPr>
              <w:t>7</w:t>
            </w:r>
          </w:p>
        </w:tc>
        <w:tc>
          <w:tcPr>
            <w:vAlign w:val="center"/>
          </w:tcPr>
          <w:p>
            <w:pPr>
              <w:jc w:val="center"/>
            </w:pPr>
            <w:r>
              <w:rPr>
                <w:color w:val="000000"/>
                <w:sz w:val="24"/>
                <w:szCs w:val="24"/>
              </w:rPr>
              <w:t>000998</w:t>
            </w:r>
          </w:p>
        </w:tc>
        <w:tc>
          <w:tcPr>
            <w:vAlign w:val="center"/>
          </w:tcPr>
          <w:p>
            <w:pPr>
              <w:jc w:val="center"/>
            </w:pPr>
            <w:r>
              <w:rPr>
                <w:color w:val="000000"/>
                <w:sz w:val="24"/>
                <w:szCs w:val="24"/>
              </w:rPr>
              <w:t>隆平高科</w:t>
            </w:r>
          </w:p>
        </w:tc>
        <w:tc>
          <w:tcPr>
            <w:vAlign w:val="center"/>
          </w:tcPr>
          <w:p>
            <w:pPr>
              <w:jc w:val="right"/>
            </w:pPr>
            <w:r>
              <w:rPr>
                <w:color w:val="000000"/>
                <w:sz w:val="24"/>
                <w:szCs w:val="24"/>
              </w:rPr>
              <w:t>16,534,097</w:t>
            </w:r>
          </w:p>
        </w:tc>
        <w:tc>
          <w:tcPr>
            <w:vAlign w:val="center"/>
          </w:tcPr>
          <w:p>
            <w:pPr>
              <w:jc w:val="right"/>
            </w:pPr>
            <w:r>
              <w:rPr>
                <w:color w:val="000000"/>
                <w:sz w:val="24"/>
                <w:szCs w:val="24"/>
              </w:rPr>
              <w:t>299,597,837.64</w:t>
            </w:r>
          </w:p>
        </w:tc>
        <w:tc>
          <w:tcPr>
            <w:vAlign w:val="center"/>
          </w:tcPr>
          <w:p>
            <w:pPr>
              <w:jc w:val="right"/>
            </w:pPr>
            <w:r>
              <w:rPr>
                <w:color w:val="000000"/>
                <w:sz w:val="24"/>
                <w:szCs w:val="24"/>
              </w:rPr>
              <w:t>3.53</w:t>
            </w:r>
          </w:p>
        </w:tc>
      </w:tr>
      <w:tr>
        <w:tc>
          <w:tcPr>
            <w:vAlign w:val="center"/>
          </w:tcPr>
          <w:p>
            <w:pPr>
              <w:jc w:val="center"/>
            </w:pPr>
            <w:r>
              <w:rPr>
                <w:color w:val="000000"/>
                <w:sz w:val="24"/>
                <w:szCs w:val="24"/>
              </w:rPr>
              <w:t>8</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17,834,593</w:t>
            </w:r>
          </w:p>
        </w:tc>
        <w:tc>
          <w:tcPr>
            <w:vAlign w:val="center"/>
          </w:tcPr>
          <w:p>
            <w:pPr>
              <w:jc w:val="right"/>
            </w:pPr>
            <w:r>
              <w:rPr>
                <w:color w:val="000000"/>
                <w:sz w:val="24"/>
                <w:szCs w:val="24"/>
              </w:rPr>
              <w:t>286,601,909.51</w:t>
            </w:r>
          </w:p>
        </w:tc>
        <w:tc>
          <w:tcPr>
            <w:vAlign w:val="center"/>
          </w:tcPr>
          <w:p>
            <w:pPr>
              <w:jc w:val="right"/>
            </w:pPr>
            <w:r>
              <w:rPr>
                <w:color w:val="000000"/>
                <w:sz w:val="24"/>
                <w:szCs w:val="24"/>
              </w:rPr>
              <w:t>3.37</w:t>
            </w:r>
          </w:p>
        </w:tc>
      </w:tr>
      <w:tr>
        <w:tc>
          <w:tcPr>
            <w:vAlign w:val="center"/>
          </w:tcPr>
          <w:p>
            <w:pPr>
              <w:jc w:val="center"/>
            </w:pPr>
            <w:r>
              <w:rPr>
                <w:color w:val="000000"/>
                <w:sz w:val="24"/>
                <w:szCs w:val="24"/>
              </w:rPr>
              <w:t>9</w:t>
            </w:r>
          </w:p>
        </w:tc>
        <w:tc>
          <w:tcPr>
            <w:vAlign w:val="center"/>
          </w:tcPr>
          <w:p>
            <w:pPr>
              <w:jc w:val="center"/>
            </w:pPr>
            <w:r>
              <w:rPr>
                <w:color w:val="000000"/>
                <w:sz w:val="24"/>
                <w:szCs w:val="24"/>
              </w:rPr>
              <w:t>600522</w:t>
            </w:r>
          </w:p>
        </w:tc>
        <w:tc>
          <w:tcPr>
            <w:vAlign w:val="center"/>
          </w:tcPr>
          <w:p>
            <w:pPr>
              <w:jc w:val="center"/>
            </w:pPr>
            <w:r>
              <w:rPr>
                <w:color w:val="000000"/>
                <w:sz w:val="24"/>
                <w:szCs w:val="24"/>
              </w:rPr>
              <w:t>中天科技</w:t>
            </w:r>
          </w:p>
        </w:tc>
        <w:tc>
          <w:tcPr>
            <w:vAlign w:val="center"/>
          </w:tcPr>
          <w:p>
            <w:pPr>
              <w:jc w:val="right"/>
            </w:pPr>
            <w:r>
              <w:rPr>
                <w:color w:val="000000"/>
                <w:sz w:val="24"/>
                <w:szCs w:val="24"/>
              </w:rPr>
              <w:t>28,656,098</w:t>
            </w:r>
          </w:p>
        </w:tc>
        <w:tc>
          <w:tcPr>
            <w:vAlign w:val="center"/>
          </w:tcPr>
          <w:p>
            <w:pPr>
              <w:jc w:val="right"/>
            </w:pPr>
            <w:r>
              <w:rPr>
                <w:color w:val="000000"/>
                <w:sz w:val="24"/>
                <w:szCs w:val="24"/>
              </w:rPr>
              <w:t>275,385,101.78</w:t>
            </w:r>
          </w:p>
        </w:tc>
        <w:tc>
          <w:tcPr>
            <w:vAlign w:val="center"/>
          </w:tcPr>
          <w:p>
            <w:pPr>
              <w:jc w:val="right"/>
            </w:pPr>
            <w:r>
              <w:rPr>
                <w:color w:val="000000"/>
                <w:sz w:val="24"/>
                <w:szCs w:val="24"/>
              </w:rPr>
              <w:t>3.24</w:t>
            </w:r>
          </w:p>
        </w:tc>
      </w:tr>
      <w:tr>
        <w:tc>
          <w:tcPr>
            <w:vAlign w:val="center"/>
          </w:tcPr>
          <w:p>
            <w:pPr>
              <w:jc w:val="center"/>
            </w:pPr>
            <w:r>
              <w:rPr>
                <w:color w:val="000000"/>
                <w:sz w:val="24"/>
                <w:szCs w:val="24"/>
              </w:rPr>
              <w:t>10</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11,867,449</w:t>
            </w:r>
          </w:p>
        </w:tc>
        <w:tc>
          <w:tcPr>
            <w:vAlign w:val="center"/>
          </w:tcPr>
          <w:p>
            <w:pPr>
              <w:jc w:val="right"/>
            </w:pPr>
            <w:r>
              <w:rPr>
                <w:color w:val="000000"/>
                <w:sz w:val="24"/>
                <w:szCs w:val="24"/>
              </w:rPr>
              <w:t>241,265,238.17</w:t>
            </w:r>
          </w:p>
        </w:tc>
        <w:tc>
          <w:tcPr>
            <w:vAlign w:val="center"/>
          </w:tcPr>
          <w:p>
            <w:pPr>
              <w:jc w:val="right"/>
            </w:pPr>
            <w:r>
              <w:rPr>
                <w:color w:val="000000"/>
                <w:sz w:val="24"/>
                <w:szCs w:val="24"/>
              </w:rPr>
              <w:t>2.84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452,364,000.00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452,364,000.00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19,787,722.88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0.23</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472,151,722.88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3,200,000</w:t>
            </w:r>
          </w:p>
        </w:tc>
        <w:tc>
          <w:tcPr>
            <w:vAlign w:val="center"/>
          </w:tcPr>
          <w:p>
            <w:pPr>
              <w:jc w:val="right"/>
            </w:pPr>
            <w:r>
              <w:rPr>
                <w:color w:val="000000"/>
                <w:sz w:val="24"/>
                <w:szCs w:val="24"/>
              </w:rPr>
              <w:t>321,792,000.00</w:t>
            </w:r>
          </w:p>
        </w:tc>
        <w:tc>
          <w:tcPr>
            <w:vAlign w:val="center"/>
          </w:tcPr>
          <w:p>
            <w:pPr>
              <w:jc w:val="right"/>
            </w:pPr>
            <w:r>
              <w:rPr>
                <w:color w:val="000000"/>
                <w:sz w:val="24"/>
                <w:szCs w:val="24"/>
              </w:rPr>
              <w:t>3.79</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1,000,000</w:t>
            </w:r>
          </w:p>
        </w:tc>
        <w:tc>
          <w:tcPr>
            <w:vAlign w:val="center"/>
          </w:tcPr>
          <w:p>
            <w:pPr>
              <w:jc w:val="right"/>
            </w:pPr>
            <w:r>
              <w:rPr>
                <w:color w:val="000000"/>
                <w:sz w:val="24"/>
                <w:szCs w:val="24"/>
              </w:rPr>
              <w:t>100,530,000.00</w:t>
            </w:r>
          </w:p>
        </w:tc>
        <w:tc>
          <w:tcPr>
            <w:vAlign w:val="center"/>
          </w:tcPr>
          <w:p>
            <w:pPr>
              <w:jc w:val="right"/>
            </w:pPr>
            <w:r>
              <w:rPr>
                <w:color w:val="000000"/>
                <w:sz w:val="24"/>
                <w:szCs w:val="24"/>
              </w:rPr>
              <w:t>1.18</w:t>
            </w:r>
          </w:p>
        </w:tc>
      </w:tr>
      <w:tr>
        <w:tc>
          <w:tcPr>
            <w:vAlign w:val="center"/>
          </w:tcPr>
          <w:p>
            <w:pPr>
              <w:jc w:val="center"/>
            </w:pPr>
            <w:r>
              <w:rPr>
                <w:color w:val="000000"/>
                <w:sz w:val="24"/>
                <w:szCs w:val="24"/>
              </w:rPr>
              <w:t>3</w:t>
            </w:r>
          </w:p>
        </w:tc>
        <w:tc>
          <w:tcPr>
            <w:vAlign w:val="center"/>
          </w:tcPr>
          <w:p>
            <w:pPr>
              <w:jc w:val="center"/>
            </w:pPr>
            <w:r>
              <w:rPr>
                <w:color w:val="000000"/>
                <w:sz w:val="24"/>
                <w:szCs w:val="24"/>
              </w:rPr>
              <w:t>200304</w:t>
            </w:r>
          </w:p>
        </w:tc>
        <w:tc>
          <w:tcPr>
            <w:vAlign w:val="center"/>
          </w:tcPr>
          <w:p>
            <w:pPr>
              <w:jc w:val="center"/>
            </w:pPr>
            <w:r>
              <w:rPr>
                <w:color w:val="000000"/>
                <w:sz w:val="24"/>
                <w:szCs w:val="24"/>
              </w:rPr>
              <w:t>20进出04</w:t>
            </w:r>
          </w:p>
        </w:tc>
        <w:tc>
          <w:tcPr>
            <w:vAlign w:val="center"/>
          </w:tcPr>
          <w:p>
            <w:pPr>
              <w:jc w:val="right"/>
            </w:pPr>
            <w:r>
              <w:rPr>
                <w:color w:val="000000"/>
                <w:sz w:val="24"/>
                <w:szCs w:val="24"/>
              </w:rPr>
              <w:t>300,000</w:t>
            </w:r>
          </w:p>
        </w:tc>
        <w:tc>
          <w:tcPr>
            <w:vAlign w:val="center"/>
          </w:tcPr>
          <w:p>
            <w:pPr>
              <w:jc w:val="right"/>
            </w:pPr>
            <w:r>
              <w:rPr>
                <w:color w:val="000000"/>
                <w:sz w:val="24"/>
                <w:szCs w:val="24"/>
              </w:rPr>
              <w:t>30,042,000.00</w:t>
            </w:r>
          </w:p>
        </w:tc>
        <w:tc>
          <w:tcPr>
            <w:vAlign w:val="center"/>
          </w:tcPr>
          <w:p>
            <w:pPr>
              <w:jc w:val="right"/>
            </w:pPr>
            <w:r>
              <w:rPr>
                <w:color w:val="000000"/>
                <w:sz w:val="24"/>
                <w:szCs w:val="24"/>
              </w:rPr>
              <w:t>0.35</w:t>
            </w:r>
          </w:p>
        </w:tc>
      </w:tr>
      <w:tr>
        <w:tc>
          <w:tcPr>
            <w:vAlign w:val="center"/>
          </w:tcPr>
          <w:p>
            <w:pPr>
              <w:jc w:val="center"/>
            </w:pPr>
            <w:r>
              <w:rPr>
                <w:color w:val="000000"/>
                <w:sz w:val="24"/>
                <w:szCs w:val="24"/>
              </w:rPr>
              <w:t>4</w:t>
            </w:r>
          </w:p>
        </w:tc>
        <w:tc>
          <w:tcPr>
            <w:vAlign w:val="center"/>
          </w:tcPr>
          <w:p>
            <w:pPr>
              <w:jc w:val="center"/>
            </w:pPr>
            <w:r>
              <w:rPr>
                <w:color w:val="000000"/>
                <w:sz w:val="24"/>
                <w:szCs w:val="24"/>
              </w:rPr>
              <w:t>123041</w:t>
            </w:r>
          </w:p>
        </w:tc>
        <w:tc>
          <w:tcPr>
            <w:vAlign w:val="center"/>
          </w:tcPr>
          <w:p>
            <w:pPr>
              <w:jc w:val="center"/>
            </w:pPr>
            <w:r>
              <w:rPr>
                <w:color w:val="000000"/>
                <w:sz w:val="24"/>
                <w:szCs w:val="24"/>
              </w:rPr>
              <w:t>东财转2</w:t>
            </w:r>
          </w:p>
        </w:tc>
        <w:tc>
          <w:tcPr>
            <w:vAlign w:val="center"/>
          </w:tcPr>
          <w:p>
            <w:pPr>
              <w:jc w:val="right"/>
            </w:pPr>
            <w:r>
              <w:rPr>
                <w:color w:val="000000"/>
                <w:sz w:val="24"/>
                <w:szCs w:val="24"/>
              </w:rPr>
              <w:t>124,986</w:t>
            </w:r>
          </w:p>
        </w:tc>
        <w:tc>
          <w:tcPr>
            <w:vAlign w:val="center"/>
          </w:tcPr>
          <w:p>
            <w:pPr>
              <w:jc w:val="right"/>
            </w:pPr>
            <w:r>
              <w:rPr>
                <w:color w:val="000000"/>
                <w:sz w:val="24"/>
                <w:szCs w:val="24"/>
              </w:rPr>
              <w:t>16,758,122.88</w:t>
            </w:r>
          </w:p>
        </w:tc>
        <w:tc>
          <w:tcPr>
            <w:vAlign w:val="center"/>
          </w:tcPr>
          <w:p>
            <w:pPr>
              <w:jc w:val="right"/>
            </w:pPr>
            <w:r>
              <w:rPr>
                <w:color w:val="000000"/>
                <w:sz w:val="24"/>
                <w:szCs w:val="24"/>
              </w:rPr>
              <w:t>0.20</w:t>
            </w:r>
          </w:p>
        </w:tc>
      </w:tr>
      <w:tr>
        <w:tc>
          <w:tcPr>
            <w:vAlign w:val="center"/>
          </w:tcPr>
          <w:p>
            <w:pPr>
              <w:jc w:val="center"/>
            </w:pPr>
            <w:r>
              <w:rPr>
                <w:color w:val="000000"/>
                <w:sz w:val="24"/>
                <w:szCs w:val="24"/>
              </w:rPr>
              <w:t>5</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30,296</w:t>
            </w:r>
          </w:p>
        </w:tc>
        <w:tc>
          <w:tcPr>
            <w:vAlign w:val="center"/>
          </w:tcPr>
          <w:p>
            <w:pPr>
              <w:jc w:val="right"/>
            </w:pPr>
            <w:r>
              <w:rPr>
                <w:color w:val="000000"/>
                <w:sz w:val="24"/>
                <w:szCs w:val="24"/>
              </w:rPr>
              <w:t>3,029,600.00</w:t>
            </w:r>
          </w:p>
        </w:tc>
        <w:tc>
          <w:tcPr>
            <w:vAlign w:val="center"/>
          </w:tcPr>
          <w:p>
            <w:pPr>
              <w:jc w:val="right"/>
            </w:pPr>
            <w:r>
              <w:rPr>
                <w:color w:val="000000"/>
                <w:sz w:val="24"/>
                <w:szCs w:val="24"/>
              </w:rPr>
              <w:t>0.04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4,159,652.32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42,370,518.94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5,147,645.80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22,315,882.89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73,993,699.95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50,750,000.00</w:t>
            </w:r>
          </w:p>
        </w:tc>
        <w:tc>
          <w:tcPr>
            <w:vAlign w:val="center"/>
          </w:tcPr>
          <w:p>
            <w:pPr>
              <w:jc w:val="right"/>
            </w:pPr>
            <w:r>
              <w:rPr>
                <w:color w:val="000000"/>
                <w:sz w:val="24"/>
                <w:szCs w:val="24"/>
              </w:rPr>
              <w:t>0.60</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40,329,000.00</w:t>
            </w:r>
          </w:p>
        </w:tc>
        <w:tc>
          <w:tcPr>
            <w:vAlign w:val="center"/>
          </w:tcPr>
          <w:p>
            <w:pPr>
              <w:jc w:val="right"/>
            </w:pPr>
            <w:r>
              <w:rPr>
                <w:color w:val="000000"/>
                <w:sz w:val="24"/>
                <w:szCs w:val="24"/>
              </w:rPr>
              <w:t>0.47</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3,659,516,257.90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1,818,322,502.71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1,535,034,464.56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3,942,804,296.05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    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1、中国证监会准予交银施罗德新生活力灵活配置混合型证券投资基金募集注册的文件；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2、《交银施罗德新生活力灵活配置混合型证券投资基金基金合同》；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3、《交银施罗德新生活力灵活配置混合型证券投资基金招募说明书》；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4、《交银施罗德新生活力灵活配置混合型证券投资基金托管协议》；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5、关于申请募集注册交银施罗德新生活力灵活配置混合型证券投资基金的法律意见书；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8、报告期内交银施罗德新生活力灵活配置混合型证券投资基金在指定报刊上各项公告的原稿。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交银施罗德新生活力灵活配置混合型证券投资基金2020年第1季度报告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