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交银施罗德荣鑫灵活配置混合型证券投资基金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2019年第4季度报告</w:t>
      </w:r>
    </w:p>
    <w:p w:rsidP="00C15CAC" w:rsidR="004061AC" w:rsidRDefault="00655CD8" w:rsidRPr="0081286B">
      <w:pPr>
        <w:spacing w:before="29" w:line="288" w:lineRule="auto"/>
        <w:jc w:val="center"/>
        <w:rPr>
          <w:b/>
          <w:sz w:val="36"/>
          <w:szCs w:val="36"/>
        </w:rPr>
      </w:pPr>
      <w:r w:rsidRPr="0081286B">
        <w:rPr>
          <w:b/>
          <w:sz w:val="36"/>
          <w:szCs w:val="36"/>
        </w:rPr>
        <w:t>2019年12月31日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中国民生银行股份有限公司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基金托管人中国民生银行股份有限公司根据本基金合同规定，于2020年1月20日复核了本报告中的财务指标、净值表现和投资组合报告等内容，保证复核内容不存在虚假记载、误导性陈述或者重大遗漏。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交银荣鑫灵活配置混合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519766</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519766</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2019年3月29日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335,587,375.39</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在严格控制投资风险和保持资产流动性的基础上，力争实现基金资产的长期稳定增值。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将结合宏观经济环境、政策形势、证券市场走势的综合分析，自上而下灵活配置大类资产，精选投资标的，合理确定基金在股票、债券等各类资产类别上的投资比例，同时进行高效的流动性管理，获得稳健投资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沪深300指数收益率×50%+中债综合全价指数收益率×50%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中国民生银行股份有限公司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(2019年10月1日-2019年12月31日)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6,775,497.34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9,817,401.59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0.0283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371,998,145.86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1.108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2.59%</w:t>
            </w:r>
          </w:p>
        </w:tc>
        <w:tc>
          <w:tcPr>
            <w:vAlign w:val="center"/>
          </w:tcPr>
          <w:p>
            <w:pPr>
              <w:jc w:val="center"/>
            </w:pPr>
            <w:r>
              <w:rPr>
                <w:color w:val="000000"/>
                <w:sz w:val="24"/>
                <w:szCs w:val="24"/>
              </w:rPr>
              <w:t>0.15%</w:t>
            </w:r>
          </w:p>
        </w:tc>
        <w:tc>
          <w:tcPr>
            <w:vAlign w:val="center"/>
          </w:tcPr>
          <w:p>
            <w:pPr>
              <w:jc w:val="center"/>
            </w:pPr>
            <w:r>
              <w:rPr>
                <w:color w:val="000000"/>
                <w:sz w:val="24"/>
                <w:szCs w:val="24"/>
              </w:rPr>
              <w:t>3.99%</w:t>
            </w:r>
          </w:p>
        </w:tc>
        <w:tc>
          <w:tcPr>
            <w:vAlign w:val="center"/>
          </w:tcPr>
          <w:p>
            <w:pPr>
              <w:jc w:val="center"/>
            </w:pPr>
            <w:r>
              <w:rPr>
                <w:color w:val="000000"/>
                <w:sz w:val="24"/>
                <w:szCs w:val="24"/>
              </w:rPr>
              <w:t>0.37%</w:t>
            </w:r>
          </w:p>
        </w:tc>
        <w:tc>
          <w:tcPr>
            <w:vAlign w:val="center"/>
          </w:tcPr>
          <w:p>
            <w:pPr>
              <w:jc w:val="center"/>
            </w:pPr>
            <w:r>
              <w:rPr>
                <w:color w:val="000000"/>
                <w:sz w:val="24"/>
                <w:szCs w:val="24"/>
              </w:rPr>
              <w:t>-1.40%</w:t>
            </w:r>
          </w:p>
        </w:tc>
        <w:tc>
          <w:tcPr>
            <w:vAlign w:val="center"/>
          </w:tcPr>
          <w:p>
            <w:pPr>
              <w:jc w:val="center"/>
            </w:pPr>
            <w:r>
              <w:rPr>
                <w:color w:val="000000"/>
                <w:sz w:val="24"/>
                <w:szCs w:val="24"/>
              </w:rPr>
              <w:t>-0.22%</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交银施罗德荣鑫灵活配置混合型证券投资基金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2019年3月29日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由交银施罗德荣鑫保本混合型证券投资基金转型而来。基金转型日为2019年3月29日，基金转型日至报告期期末，本基金转型时间未满一年。本基金的投资转型期为交银施罗德荣鑫保本混合型证券投资基金保本周期到期期间截止日的次日（即2019年3月29日）起的3个月。截至投资转型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唐赟</w:t>
            </w:r>
          </w:p>
        </w:tc>
        <w:tc>
          <w:tcPr>
            <w:vAlign w:val="center"/>
          </w:tcPr>
          <w:p>
            <w:pPr>
              <w:jc w:val="center"/>
            </w:pPr>
            <w:r>
              <w:rPr>
                <w:color w:val="000000"/>
                <w:sz w:val="24"/>
                <w:szCs w:val="24"/>
              </w:rPr>
              <w:t>交银信用添利债券(LOF)、交银双利债券、交银双轮动债券、交银荣鑫灵活配置混合的基金经理</w:t>
            </w:r>
          </w:p>
        </w:tc>
        <w:tc>
          <w:tcPr>
            <w:vAlign w:val="center"/>
          </w:tcPr>
          <w:p>
            <w:pPr>
              <w:jc w:val="center"/>
            </w:pPr>
            <w:r>
              <w:rPr>
                <w:color w:val="000000"/>
                <w:sz w:val="24"/>
                <w:szCs w:val="24"/>
              </w:rPr>
              <w:t>2019-02-28</w:t>
            </w:r>
          </w:p>
        </w:tc>
        <w:tc>
          <w:tcPr>
            <w:vAlign w:val="center"/>
          </w:tcPr>
          <w:p>
            <w:pPr>
              <w:jc w:val="center"/>
            </w:pPr>
            <w:r>
              <w:rPr>
                <w:color w:val="000000"/>
                <w:sz w:val="24"/>
                <w:szCs w:val="24"/>
              </w:rPr>
              <w:t>-</w:t>
            </w:r>
          </w:p>
        </w:tc>
        <w:tc>
          <w:tcPr>
            <w:vAlign w:val="center"/>
          </w:tcPr>
          <w:p>
            <w:pPr>
              <w:jc w:val="center"/>
            </w:pPr>
            <w:r>
              <w:rPr>
                <w:color w:val="000000"/>
                <w:sz w:val="24"/>
                <w:szCs w:val="24"/>
              </w:rPr>
              <w:t>9年</w:t>
            </w:r>
          </w:p>
        </w:tc>
        <w:tc>
          <w:tcPr>
            <w:vAlign w:val="center"/>
          </w:tcPr>
          <w:p>
            <w:pPr>
              <w:jc w:val="both"/>
            </w:pPr>
            <w:r>
              <w:rPr>
                <w:color w:val="000000"/>
                <w:sz w:val="24"/>
                <w:szCs w:val="24"/>
              </w:rPr>
              <w:t>唐赟先生，香港城市大学电子工程硕士。历任渣打银行环球企业部助理客户经理、平安资产管理公司信用分析员。2012年加入交银施罗德基金管理有限公司，历任固定收益研究员、基金经理助理。2015年11月7日至2018年6月1日担任转型前的交银施罗德荣和保本混合型证券投资基金的基金经理。2017年3月31日至2019年10月23日担任交银施罗德裕通纯债债券型证券投资基金的基金经理。2018年6月2日至2019年12月13日担任交银施罗德安心收益债券型证券投资基金的基金经理。</w:t>
            </w:r>
          </w:p>
        </w:tc>
      </w:tr>
      <w:tr>
        <w:tc>
          <w:tcPr>
            <w:vAlign w:val="center"/>
          </w:tcPr>
          <w:p>
            <w:pPr>
              <w:jc w:val="center"/>
            </w:pPr>
            <w:r>
              <w:rPr>
                <w:color w:val="000000"/>
                <w:sz w:val="24"/>
                <w:szCs w:val="24"/>
              </w:rPr>
              <w:t>王艺伟</w:t>
            </w:r>
          </w:p>
        </w:tc>
        <w:tc>
          <w:tcPr>
            <w:vAlign w:val="center"/>
          </w:tcPr>
          <w:p>
            <w:pPr>
              <w:jc w:val="center"/>
            </w:pPr>
            <w:r>
              <w:rPr>
                <w:color w:val="000000"/>
                <w:sz w:val="24"/>
                <w:szCs w:val="24"/>
              </w:rPr>
              <w:t>交银安心收益债券、交银荣鑫灵活配置混合的基金经理</w:t>
            </w:r>
          </w:p>
        </w:tc>
        <w:tc>
          <w:tcPr>
            <w:vAlign w:val="center"/>
          </w:tcPr>
          <w:p>
            <w:pPr>
              <w:jc w:val="center"/>
            </w:pPr>
            <w:r>
              <w:rPr>
                <w:color w:val="000000"/>
                <w:sz w:val="24"/>
                <w:szCs w:val="24"/>
              </w:rPr>
              <w:t>2019-11-28</w:t>
            </w:r>
          </w:p>
        </w:tc>
        <w:tc>
          <w:tcPr>
            <w:vAlign w:val="center"/>
          </w:tcPr>
          <w:p>
            <w:pPr>
              <w:jc w:val="center"/>
            </w:pPr>
            <w:r>
              <w:rPr>
                <w:color w:val="000000"/>
                <w:sz w:val="24"/>
                <w:szCs w:val="24"/>
              </w:rPr>
              <w:t>-</w:t>
            </w:r>
          </w:p>
        </w:tc>
        <w:tc>
          <w:tcPr>
            <w:vAlign w:val="center"/>
          </w:tcPr>
          <w:p>
            <w:pPr>
              <w:jc w:val="center"/>
            </w:pPr>
            <w:r>
              <w:rPr>
                <w:color w:val="000000"/>
                <w:sz w:val="24"/>
                <w:szCs w:val="24"/>
              </w:rPr>
              <w:t>7年</w:t>
            </w:r>
          </w:p>
        </w:tc>
        <w:tc>
          <w:tcPr>
            <w:vAlign w:val="center"/>
          </w:tcPr>
          <w:p>
            <w:pPr>
              <w:jc w:val="both"/>
            </w:pPr>
            <w:r>
              <w:rPr>
                <w:color w:val="000000"/>
                <w:sz w:val="24"/>
                <w:szCs w:val="24"/>
              </w:rPr>
              <w:t>王艺伟女士，北京大学经济学硕士，吉林大学经济学学士、理学学士。2012年-2014年任光大证券研究所宏观分析师。2014年9月加入交银施罗德基金管理有限公司，历任研究员、研究部助理总经理、基金经理助理。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本报告期内，债券市场受通胀预期、资金面等因素影响，收益率呈现倒V走势。十月，因通胀上行压力及社融数据较强，市场恐慌资金面收紧，债市持续回调。十一月伊始，央行持续降低政策利率，市场资金面较为宽松，债市收益率不断下行。进入十二月，资金面宽松持续，但受海外市场风险因素阶段缓解、国内逆周期调控政策上行预期影响，长端债券收益率震荡走平，中短久期债券收益率持续下行。</w:t>
      </w:r>
    </w:p>
    <w:p>
      <w:pPr>
        <w:spacing w:before="29" w:line="288" w:lineRule="auto"/>
        <w:ind w:firstLine="480" w:firstLineChars="200"/>
        <w:rPr>
          <w:color w:val="000000"/>
          <w:sz w:val="24"/>
          <w:szCs w:val="24"/>
        </w:rPr>
      </w:pPr>
      <w:r>
        <w:rPr>
          <w:color w:val="000000"/>
          <w:sz w:val="24"/>
          <w:szCs w:val="24"/>
        </w:rPr>
        <w:t>四季度，权益市场表现相对强势，科技主线延续强势，地产和基建相关板块也有不错表现。指数层面看，成长优于大盘。从行业看，建筑、电子、家电以及传媒等板块领涨，军工及部分强周期板块表现相对弱势。</w:t>
      </w:r>
    </w:p>
    <w:p>
      <w:pPr>
        <w:spacing w:before="29" w:line="288" w:lineRule="auto"/>
        <w:ind w:firstLine="480" w:firstLineChars="200"/>
        <w:rPr>
          <w:color w:val="000000"/>
          <w:sz w:val="24"/>
          <w:szCs w:val="24"/>
        </w:rPr>
      </w:pPr>
      <w:r>
        <w:rPr>
          <w:color w:val="000000"/>
          <w:sz w:val="24"/>
          <w:szCs w:val="24"/>
        </w:rPr>
        <w:t>我们认为，四季度债市以震荡为主，并持续看好科技板块，以及低估值受益于逆周期调控政策相关行业的机会。因此在基金操作中，债券部分我们维持中短久期高等级信用债的底仓配置，以获取稳定的票息收益。权益方面，组合秉承稳健收益的原则，以低估值高股息品种为主，并适当增加小仓位科技品种。此外，组合积极参与权益及转债的一级申购，以增厚收益。</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一季度，尽管经济内生企稳动力不强的情况难以扭转，中期经济承压的格局未变，但在宏观逆周期调控政策发力，资金面维持中性偏宽的格局下，短期经济增长存在改善可能。考虑到债券收益率受资金面影响下行较多，因此我们对明年一季度债券市场维持震荡观望的观点，底仓配置中短久期高等级信用债品种，以期获取票息收益，并根据市场变化动态调整组合久期。权益方面，我们继续维持低估值高分红的品种配置，并在行业的选择中，逐步关注周期板块盈利存在改善的行业，以及密切关注电子、软件等领域优质个股的回调布局机会。我们将继续积极参加权益及转债的一级申购，以期增厚组合收益。</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82,952,424.93</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20.70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82,952,424.93</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20.70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297,726,838.30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74.29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297,726,838.30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74.29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5,500,951.18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14,562,036.77</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3.63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400,742,251.18</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2,016,406.00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0.54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13,332,504.95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3.58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4,495,500.00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1,106,683.70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0.30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58,591,584.04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15.75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3,353,156.00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0.90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6,578.04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50,012.20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82,952,424.93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22.30</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601288</w:t>
            </w:r>
          </w:p>
        </w:tc>
        <w:tc>
          <w:tcPr>
            <w:vAlign w:val="center"/>
          </w:tcPr>
          <w:p>
            <w:pPr>
              <w:jc w:val="center"/>
            </w:pPr>
            <w:r>
              <w:rPr>
                <w:color w:val="000000"/>
                <w:sz w:val="24"/>
                <w:szCs w:val="24"/>
              </w:rPr>
              <w:t>农业银行</w:t>
            </w:r>
          </w:p>
        </w:tc>
        <w:tc>
          <w:tcPr>
            <w:vAlign w:val="center"/>
          </w:tcPr>
          <w:p>
            <w:pPr>
              <w:jc w:val="right"/>
            </w:pPr>
            <w:r>
              <w:rPr>
                <w:color w:val="000000"/>
                <w:sz w:val="24"/>
                <w:szCs w:val="24"/>
              </w:rPr>
              <w:t>6,300,000</w:t>
            </w:r>
          </w:p>
        </w:tc>
        <w:tc>
          <w:tcPr>
            <w:vAlign w:val="center"/>
          </w:tcPr>
          <w:p>
            <w:pPr>
              <w:jc w:val="right"/>
            </w:pPr>
            <w:r>
              <w:rPr>
                <w:color w:val="000000"/>
                <w:sz w:val="24"/>
                <w:szCs w:val="24"/>
              </w:rPr>
              <w:t>23,247,000.00</w:t>
            </w:r>
          </w:p>
        </w:tc>
        <w:tc>
          <w:tcPr>
            <w:vAlign w:val="center"/>
          </w:tcPr>
          <w:p>
            <w:pPr>
              <w:jc w:val="right"/>
            </w:pPr>
            <w:r>
              <w:rPr>
                <w:color w:val="000000"/>
                <w:sz w:val="24"/>
                <w:szCs w:val="24"/>
              </w:rPr>
              <w:t>6.25</w:t>
            </w:r>
          </w:p>
        </w:tc>
      </w:tr>
      <w:tr>
        <w:tc>
          <w:tcPr>
            <w:vAlign w:val="center"/>
          </w:tcPr>
          <w:p>
            <w:pPr>
              <w:jc w:val="center"/>
            </w:pPr>
            <w:r>
              <w:rPr>
                <w:color w:val="000000"/>
                <w:sz w:val="24"/>
                <w:szCs w:val="24"/>
              </w:rPr>
              <w:t>2</w:t>
            </w:r>
          </w:p>
        </w:tc>
        <w:tc>
          <w:tcPr>
            <w:vAlign w:val="center"/>
          </w:tcPr>
          <w:p>
            <w:pPr>
              <w:jc w:val="center"/>
            </w:pPr>
            <w:r>
              <w:rPr>
                <w:color w:val="000000"/>
                <w:sz w:val="24"/>
                <w:szCs w:val="24"/>
              </w:rPr>
              <w:t>601336</w:t>
            </w:r>
          </w:p>
        </w:tc>
        <w:tc>
          <w:tcPr>
            <w:vAlign w:val="center"/>
          </w:tcPr>
          <w:p>
            <w:pPr>
              <w:jc w:val="center"/>
            </w:pPr>
            <w:r>
              <w:rPr>
                <w:color w:val="000000"/>
                <w:sz w:val="24"/>
                <w:szCs w:val="24"/>
              </w:rPr>
              <w:t>新华保险</w:t>
            </w:r>
          </w:p>
        </w:tc>
        <w:tc>
          <w:tcPr>
            <w:vAlign w:val="center"/>
          </w:tcPr>
          <w:p>
            <w:pPr>
              <w:jc w:val="right"/>
            </w:pPr>
            <w:r>
              <w:rPr>
                <w:color w:val="000000"/>
                <w:sz w:val="24"/>
                <w:szCs w:val="24"/>
              </w:rPr>
              <w:t>299,939</w:t>
            </w:r>
          </w:p>
        </w:tc>
        <w:tc>
          <w:tcPr>
            <w:vAlign w:val="center"/>
          </w:tcPr>
          <w:p>
            <w:pPr>
              <w:jc w:val="right"/>
            </w:pPr>
            <w:r>
              <w:rPr>
                <w:color w:val="000000"/>
                <w:sz w:val="24"/>
                <w:szCs w:val="24"/>
              </w:rPr>
              <w:t>14,742,001.85</w:t>
            </w:r>
          </w:p>
        </w:tc>
        <w:tc>
          <w:tcPr>
            <w:vAlign w:val="center"/>
          </w:tcPr>
          <w:p>
            <w:pPr>
              <w:jc w:val="right"/>
            </w:pPr>
            <w:r>
              <w:rPr>
                <w:color w:val="000000"/>
                <w:sz w:val="24"/>
                <w:szCs w:val="24"/>
              </w:rPr>
              <w:t>3.96</w:t>
            </w:r>
          </w:p>
        </w:tc>
      </w:tr>
      <w:tr>
        <w:tc>
          <w:tcPr>
            <w:vAlign w:val="center"/>
          </w:tcPr>
          <w:p>
            <w:pPr>
              <w:jc w:val="center"/>
            </w:pPr>
            <w:r>
              <w:rPr>
                <w:color w:val="000000"/>
                <w:sz w:val="24"/>
                <w:szCs w:val="24"/>
              </w:rPr>
              <w:t>3</w:t>
            </w:r>
          </w:p>
        </w:tc>
        <w:tc>
          <w:tcPr>
            <w:vAlign w:val="center"/>
          </w:tcPr>
          <w:p>
            <w:pPr>
              <w:jc w:val="center"/>
            </w:pPr>
            <w:r>
              <w:rPr>
                <w:color w:val="000000"/>
                <w:sz w:val="24"/>
                <w:szCs w:val="24"/>
              </w:rPr>
              <w:t>601398</w:t>
            </w:r>
          </w:p>
        </w:tc>
        <w:tc>
          <w:tcPr>
            <w:vAlign w:val="center"/>
          </w:tcPr>
          <w:p>
            <w:pPr>
              <w:jc w:val="center"/>
            </w:pPr>
            <w:r>
              <w:rPr>
                <w:color w:val="000000"/>
                <w:sz w:val="24"/>
                <w:szCs w:val="24"/>
              </w:rPr>
              <w:t>工商银行</w:t>
            </w:r>
          </w:p>
        </w:tc>
        <w:tc>
          <w:tcPr>
            <w:vAlign w:val="center"/>
          </w:tcPr>
          <w:p>
            <w:pPr>
              <w:jc w:val="right"/>
            </w:pPr>
            <w:r>
              <w:rPr>
                <w:color w:val="000000"/>
                <w:sz w:val="24"/>
                <w:szCs w:val="24"/>
              </w:rPr>
              <w:t>2,137,900</w:t>
            </w:r>
          </w:p>
        </w:tc>
        <w:tc>
          <w:tcPr>
            <w:vAlign w:val="center"/>
          </w:tcPr>
          <w:p>
            <w:pPr>
              <w:jc w:val="right"/>
            </w:pPr>
            <w:r>
              <w:rPr>
                <w:color w:val="000000"/>
                <w:sz w:val="24"/>
                <w:szCs w:val="24"/>
              </w:rPr>
              <w:t>12,570,852.00</w:t>
            </w:r>
          </w:p>
        </w:tc>
        <w:tc>
          <w:tcPr>
            <w:vAlign w:val="center"/>
          </w:tcPr>
          <w:p>
            <w:pPr>
              <w:jc w:val="right"/>
            </w:pPr>
            <w:r>
              <w:rPr>
                <w:color w:val="000000"/>
                <w:sz w:val="24"/>
                <w:szCs w:val="24"/>
              </w:rPr>
              <w:t>3.38</w:t>
            </w:r>
          </w:p>
        </w:tc>
      </w:tr>
      <w:tr>
        <w:tc>
          <w:tcPr>
            <w:vAlign w:val="center"/>
          </w:tcPr>
          <w:p>
            <w:pPr>
              <w:jc w:val="center"/>
            </w:pPr>
            <w:r>
              <w:rPr>
                <w:color w:val="000000"/>
                <w:sz w:val="24"/>
                <w:szCs w:val="24"/>
              </w:rPr>
              <w:t>4</w:t>
            </w:r>
          </w:p>
        </w:tc>
        <w:tc>
          <w:tcPr>
            <w:vAlign w:val="center"/>
          </w:tcPr>
          <w:p>
            <w:pPr>
              <w:jc w:val="center"/>
            </w:pPr>
            <w:r>
              <w:rPr>
                <w:color w:val="000000"/>
                <w:sz w:val="24"/>
                <w:szCs w:val="24"/>
              </w:rPr>
              <w:t>600104</w:t>
            </w:r>
          </w:p>
        </w:tc>
        <w:tc>
          <w:tcPr>
            <w:vAlign w:val="center"/>
          </w:tcPr>
          <w:p>
            <w:pPr>
              <w:jc w:val="center"/>
            </w:pPr>
            <w:r>
              <w:rPr>
                <w:color w:val="000000"/>
                <w:sz w:val="24"/>
                <w:szCs w:val="24"/>
              </w:rPr>
              <w:t>上汽集团</w:t>
            </w:r>
          </w:p>
        </w:tc>
        <w:tc>
          <w:tcPr>
            <w:vAlign w:val="center"/>
          </w:tcPr>
          <w:p>
            <w:pPr>
              <w:jc w:val="right"/>
            </w:pPr>
            <w:r>
              <w:rPr>
                <w:color w:val="000000"/>
                <w:sz w:val="24"/>
                <w:szCs w:val="24"/>
              </w:rPr>
              <w:t>520,095</w:t>
            </w:r>
          </w:p>
        </w:tc>
        <w:tc>
          <w:tcPr>
            <w:vAlign w:val="center"/>
          </w:tcPr>
          <w:p>
            <w:pPr>
              <w:jc w:val="right"/>
            </w:pPr>
            <w:r>
              <w:rPr>
                <w:color w:val="000000"/>
                <w:sz w:val="24"/>
                <w:szCs w:val="24"/>
              </w:rPr>
              <w:t>12,404,265.75</w:t>
            </w:r>
          </w:p>
        </w:tc>
        <w:tc>
          <w:tcPr>
            <w:vAlign w:val="center"/>
          </w:tcPr>
          <w:p>
            <w:pPr>
              <w:jc w:val="right"/>
            </w:pPr>
            <w:r>
              <w:rPr>
                <w:color w:val="000000"/>
                <w:sz w:val="24"/>
                <w:szCs w:val="24"/>
              </w:rPr>
              <w:t>3.33</w:t>
            </w:r>
          </w:p>
        </w:tc>
      </w:tr>
      <w:tr>
        <w:tc>
          <w:tcPr>
            <w:vAlign w:val="center"/>
          </w:tcPr>
          <w:p>
            <w:pPr>
              <w:jc w:val="center"/>
            </w:pPr>
            <w:r>
              <w:rPr>
                <w:color w:val="000000"/>
                <w:sz w:val="24"/>
                <w:szCs w:val="24"/>
              </w:rPr>
              <w:t>5</w:t>
            </w:r>
          </w:p>
        </w:tc>
        <w:tc>
          <w:tcPr>
            <w:vAlign w:val="center"/>
          </w:tcPr>
          <w:p>
            <w:pPr>
              <w:jc w:val="center"/>
            </w:pPr>
            <w:r>
              <w:rPr>
                <w:color w:val="000000"/>
                <w:sz w:val="24"/>
                <w:szCs w:val="24"/>
              </w:rPr>
              <w:t>000001</w:t>
            </w:r>
          </w:p>
        </w:tc>
        <w:tc>
          <w:tcPr>
            <w:vAlign w:val="center"/>
          </w:tcPr>
          <w:p>
            <w:pPr>
              <w:jc w:val="center"/>
            </w:pPr>
            <w:r>
              <w:rPr>
                <w:color w:val="000000"/>
                <w:sz w:val="24"/>
                <w:szCs w:val="24"/>
              </w:rPr>
              <w:t>平安银行</w:t>
            </w:r>
          </w:p>
        </w:tc>
        <w:tc>
          <w:tcPr>
            <w:vAlign w:val="center"/>
          </w:tcPr>
          <w:p>
            <w:pPr>
              <w:jc w:val="right"/>
            </w:pPr>
            <w:r>
              <w:rPr>
                <w:color w:val="000000"/>
                <w:sz w:val="24"/>
                <w:szCs w:val="24"/>
              </w:rPr>
              <w:t>350,000</w:t>
            </w:r>
          </w:p>
        </w:tc>
        <w:tc>
          <w:tcPr>
            <w:vAlign w:val="center"/>
          </w:tcPr>
          <w:p>
            <w:pPr>
              <w:jc w:val="right"/>
            </w:pPr>
            <w:r>
              <w:rPr>
                <w:color w:val="000000"/>
                <w:sz w:val="24"/>
                <w:szCs w:val="24"/>
              </w:rPr>
              <w:t>5,757,500.00</w:t>
            </w:r>
          </w:p>
        </w:tc>
        <w:tc>
          <w:tcPr>
            <w:vAlign w:val="center"/>
          </w:tcPr>
          <w:p>
            <w:pPr>
              <w:jc w:val="right"/>
            </w:pPr>
            <w:r>
              <w:rPr>
                <w:color w:val="000000"/>
                <w:sz w:val="24"/>
                <w:szCs w:val="24"/>
              </w:rPr>
              <w:t>1.55</w:t>
            </w:r>
          </w:p>
        </w:tc>
      </w:tr>
      <w:tr>
        <w:tc>
          <w:tcPr>
            <w:vAlign w:val="center"/>
          </w:tcPr>
          <w:p>
            <w:pPr>
              <w:jc w:val="center"/>
            </w:pPr>
            <w:r>
              <w:rPr>
                <w:color w:val="000000"/>
                <w:sz w:val="24"/>
                <w:szCs w:val="24"/>
              </w:rPr>
              <w:t>6</w:t>
            </w:r>
          </w:p>
        </w:tc>
        <w:tc>
          <w:tcPr>
            <w:vAlign w:val="center"/>
          </w:tcPr>
          <w:p>
            <w:pPr>
              <w:jc w:val="center"/>
            </w:pPr>
            <w:r>
              <w:rPr>
                <w:color w:val="000000"/>
                <w:sz w:val="24"/>
                <w:szCs w:val="24"/>
              </w:rPr>
              <w:t>002120</w:t>
            </w:r>
          </w:p>
        </w:tc>
        <w:tc>
          <w:tcPr>
            <w:vAlign w:val="center"/>
          </w:tcPr>
          <w:p>
            <w:pPr>
              <w:jc w:val="center"/>
            </w:pPr>
            <w:r>
              <w:rPr>
                <w:color w:val="000000"/>
                <w:sz w:val="24"/>
                <w:szCs w:val="24"/>
              </w:rPr>
              <w:t>韵达股份</w:t>
            </w:r>
          </w:p>
        </w:tc>
        <w:tc>
          <w:tcPr>
            <w:vAlign w:val="center"/>
          </w:tcPr>
          <w:p>
            <w:pPr>
              <w:jc w:val="right"/>
            </w:pPr>
            <w:r>
              <w:rPr>
                <w:color w:val="000000"/>
                <w:sz w:val="24"/>
                <w:szCs w:val="24"/>
              </w:rPr>
              <w:t>135,000</w:t>
            </w:r>
          </w:p>
        </w:tc>
        <w:tc>
          <w:tcPr>
            <w:vAlign w:val="center"/>
          </w:tcPr>
          <w:p>
            <w:pPr>
              <w:jc w:val="right"/>
            </w:pPr>
            <w:r>
              <w:rPr>
                <w:color w:val="000000"/>
                <w:sz w:val="24"/>
                <w:szCs w:val="24"/>
              </w:rPr>
              <w:t>4,495,500.00</w:t>
            </w:r>
          </w:p>
        </w:tc>
        <w:tc>
          <w:tcPr>
            <w:vAlign w:val="center"/>
          </w:tcPr>
          <w:p>
            <w:pPr>
              <w:jc w:val="right"/>
            </w:pPr>
            <w:r>
              <w:rPr>
                <w:color w:val="000000"/>
                <w:sz w:val="24"/>
                <w:szCs w:val="24"/>
              </w:rPr>
              <w:t>1.21</w:t>
            </w:r>
          </w:p>
        </w:tc>
      </w:tr>
      <w:tr>
        <w:tc>
          <w:tcPr>
            <w:vAlign w:val="center"/>
          </w:tcPr>
          <w:p>
            <w:pPr>
              <w:jc w:val="center"/>
            </w:pPr>
            <w:r>
              <w:rPr>
                <w:color w:val="000000"/>
                <w:sz w:val="24"/>
                <w:szCs w:val="24"/>
              </w:rPr>
              <w:t>7</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104,200</w:t>
            </w:r>
          </w:p>
        </w:tc>
        <w:tc>
          <w:tcPr>
            <w:vAlign w:val="center"/>
          </w:tcPr>
          <w:p>
            <w:pPr>
              <w:jc w:val="right"/>
            </w:pPr>
            <w:r>
              <w:rPr>
                <w:color w:val="000000"/>
                <w:sz w:val="24"/>
                <w:szCs w:val="24"/>
              </w:rPr>
              <w:t>3,353,156.00</w:t>
            </w:r>
          </w:p>
        </w:tc>
        <w:tc>
          <w:tcPr>
            <w:vAlign w:val="center"/>
          </w:tcPr>
          <w:p>
            <w:pPr>
              <w:jc w:val="right"/>
            </w:pPr>
            <w:r>
              <w:rPr>
                <w:color w:val="000000"/>
                <w:sz w:val="24"/>
                <w:szCs w:val="24"/>
              </w:rPr>
              <w:t>0.90</w:t>
            </w:r>
          </w:p>
        </w:tc>
      </w:tr>
      <w:tr>
        <w:tc>
          <w:tcPr>
            <w:vAlign w:val="center"/>
          </w:tcPr>
          <w:p>
            <w:pPr>
              <w:jc w:val="center"/>
            </w:pPr>
            <w:r>
              <w:rPr>
                <w:color w:val="000000"/>
                <w:sz w:val="24"/>
                <w:szCs w:val="24"/>
              </w:rPr>
              <w:t>8</w:t>
            </w:r>
          </w:p>
        </w:tc>
        <w:tc>
          <w:tcPr>
            <w:vAlign w:val="center"/>
          </w:tcPr>
          <w:p>
            <w:pPr>
              <w:jc w:val="center"/>
            </w:pPr>
            <w:r>
              <w:rPr>
                <w:color w:val="000000"/>
                <w:sz w:val="24"/>
                <w:szCs w:val="24"/>
              </w:rPr>
              <w:t>601658</w:t>
            </w:r>
          </w:p>
        </w:tc>
        <w:tc>
          <w:tcPr>
            <w:vAlign w:val="center"/>
          </w:tcPr>
          <w:p>
            <w:pPr>
              <w:jc w:val="center"/>
            </w:pPr>
            <w:r>
              <w:rPr>
                <w:color w:val="000000"/>
                <w:sz w:val="24"/>
                <w:szCs w:val="24"/>
              </w:rPr>
              <w:t>邮储银行</w:t>
            </w:r>
          </w:p>
        </w:tc>
        <w:tc>
          <w:tcPr>
            <w:vAlign w:val="center"/>
          </w:tcPr>
          <w:p>
            <w:pPr>
              <w:jc w:val="right"/>
            </w:pPr>
            <w:r>
              <w:rPr>
                <w:color w:val="000000"/>
                <w:sz w:val="24"/>
                <w:szCs w:val="24"/>
              </w:rPr>
              <w:t>398,289</w:t>
            </w:r>
          </w:p>
        </w:tc>
        <w:tc>
          <w:tcPr>
            <w:vAlign w:val="center"/>
          </w:tcPr>
          <w:p>
            <w:pPr>
              <w:jc w:val="right"/>
            </w:pPr>
            <w:r>
              <w:rPr>
                <w:color w:val="000000"/>
                <w:sz w:val="24"/>
                <w:szCs w:val="24"/>
              </w:rPr>
              <w:t>2,274,230.19</w:t>
            </w:r>
          </w:p>
        </w:tc>
        <w:tc>
          <w:tcPr>
            <w:vAlign w:val="center"/>
          </w:tcPr>
          <w:p>
            <w:pPr>
              <w:jc w:val="right"/>
            </w:pPr>
            <w:r>
              <w:rPr>
                <w:color w:val="000000"/>
                <w:sz w:val="24"/>
                <w:szCs w:val="24"/>
              </w:rPr>
              <w:t>0.61</w:t>
            </w:r>
          </w:p>
        </w:tc>
      </w:tr>
      <w:tr>
        <w:tc>
          <w:tcPr>
            <w:vAlign w:val="center"/>
          </w:tcPr>
          <w:p>
            <w:pPr>
              <w:jc w:val="center"/>
            </w:pPr>
            <w:r>
              <w:rPr>
                <w:color w:val="000000"/>
                <w:sz w:val="24"/>
                <w:szCs w:val="24"/>
              </w:rPr>
              <w:t>9</w:t>
            </w:r>
          </w:p>
        </w:tc>
        <w:tc>
          <w:tcPr>
            <w:vAlign w:val="center"/>
          </w:tcPr>
          <w:p>
            <w:pPr>
              <w:jc w:val="center"/>
            </w:pPr>
            <w:r>
              <w:rPr>
                <w:color w:val="000000"/>
                <w:sz w:val="24"/>
                <w:szCs w:val="24"/>
              </w:rPr>
              <w:t>600028</w:t>
            </w:r>
          </w:p>
        </w:tc>
        <w:tc>
          <w:tcPr>
            <w:vAlign w:val="center"/>
          </w:tcPr>
          <w:p>
            <w:pPr>
              <w:jc w:val="center"/>
            </w:pPr>
            <w:r>
              <w:rPr>
                <w:color w:val="000000"/>
                <w:sz w:val="24"/>
                <w:szCs w:val="24"/>
              </w:rPr>
              <w:t>中国石化</w:t>
            </w:r>
          </w:p>
        </w:tc>
        <w:tc>
          <w:tcPr>
            <w:vAlign w:val="center"/>
          </w:tcPr>
          <w:p>
            <w:pPr>
              <w:jc w:val="right"/>
            </w:pPr>
            <w:r>
              <w:rPr>
                <w:color w:val="000000"/>
                <w:sz w:val="24"/>
                <w:szCs w:val="24"/>
              </w:rPr>
              <w:t>394,600</w:t>
            </w:r>
          </w:p>
        </w:tc>
        <w:tc>
          <w:tcPr>
            <w:vAlign w:val="center"/>
          </w:tcPr>
          <w:p>
            <w:pPr>
              <w:jc w:val="right"/>
            </w:pPr>
            <w:r>
              <w:rPr>
                <w:color w:val="000000"/>
                <w:sz w:val="24"/>
                <w:szCs w:val="24"/>
              </w:rPr>
              <w:t>2,016,406.00</w:t>
            </w:r>
          </w:p>
        </w:tc>
        <w:tc>
          <w:tcPr>
            <w:vAlign w:val="center"/>
          </w:tcPr>
          <w:p>
            <w:pPr>
              <w:jc w:val="right"/>
            </w:pPr>
            <w:r>
              <w:rPr>
                <w:color w:val="000000"/>
                <w:sz w:val="24"/>
                <w:szCs w:val="24"/>
              </w:rPr>
              <w:t>0.54</w:t>
            </w:r>
          </w:p>
        </w:tc>
      </w:tr>
      <w:tr>
        <w:tc>
          <w:tcPr>
            <w:vAlign w:val="center"/>
          </w:tcPr>
          <w:p>
            <w:pPr>
              <w:jc w:val="center"/>
            </w:pPr>
            <w:r>
              <w:rPr>
                <w:color w:val="000000"/>
                <w:sz w:val="24"/>
                <w:szCs w:val="24"/>
              </w:rPr>
              <w:t>10</w:t>
            </w:r>
          </w:p>
        </w:tc>
        <w:tc>
          <w:tcPr>
            <w:vAlign w:val="center"/>
          </w:tcPr>
          <w:p>
            <w:pPr>
              <w:jc w:val="center"/>
            </w:pPr>
            <w:r>
              <w:rPr>
                <w:color w:val="000000"/>
                <w:sz w:val="24"/>
                <w:szCs w:val="24"/>
              </w:rPr>
              <w:t>688188</w:t>
            </w:r>
          </w:p>
        </w:tc>
        <w:tc>
          <w:tcPr>
            <w:vAlign w:val="center"/>
          </w:tcPr>
          <w:p>
            <w:pPr>
              <w:jc w:val="center"/>
            </w:pPr>
            <w:r>
              <w:rPr>
                <w:color w:val="000000"/>
                <w:sz w:val="24"/>
                <w:szCs w:val="24"/>
              </w:rPr>
              <w:t>柏楚电子</w:t>
            </w:r>
          </w:p>
        </w:tc>
        <w:tc>
          <w:tcPr>
            <w:vAlign w:val="center"/>
          </w:tcPr>
          <w:p>
            <w:pPr>
              <w:jc w:val="right"/>
            </w:pPr>
            <w:r>
              <w:rPr>
                <w:color w:val="000000"/>
                <w:sz w:val="24"/>
                <w:szCs w:val="24"/>
              </w:rPr>
              <w:t>4,913</w:t>
            </w:r>
          </w:p>
        </w:tc>
        <w:tc>
          <w:tcPr>
            <w:vAlign w:val="center"/>
          </w:tcPr>
          <w:p>
            <w:pPr>
              <w:jc w:val="right"/>
            </w:pPr>
            <w:r>
              <w:rPr>
                <w:color w:val="000000"/>
                <w:sz w:val="24"/>
                <w:szCs w:val="24"/>
              </w:rPr>
              <w:t>772,421.86</w:t>
            </w:r>
          </w:p>
        </w:tc>
        <w:tc>
          <w:tcPr>
            <w:vAlign w:val="center"/>
          </w:tcPr>
          <w:p>
            <w:pPr>
              <w:jc w:val="right"/>
            </w:pPr>
            <w:r>
              <w:rPr>
                <w:color w:val="000000"/>
                <w:sz w:val="24"/>
                <w:szCs w:val="24"/>
              </w:rPr>
              <w:t>0.21</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22,668,750.00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6.09</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22,668,750.00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6.09</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130,727,000.00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35.14</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141,571,000.00</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38.06</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2,760,088.30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0.74</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297,726,838.30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80.03</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018007</w:t>
            </w:r>
          </w:p>
        </w:tc>
        <w:tc>
          <w:tcPr>
            <w:vAlign w:val="center"/>
          </w:tcPr>
          <w:p>
            <w:pPr>
              <w:jc w:val="center"/>
            </w:pPr>
            <w:r>
              <w:rPr>
                <w:color w:val="000000"/>
                <w:sz w:val="24"/>
                <w:szCs w:val="24"/>
              </w:rPr>
              <w:t>国开1801</w:t>
            </w:r>
          </w:p>
        </w:tc>
        <w:tc>
          <w:tcPr>
            <w:vAlign w:val="center"/>
          </w:tcPr>
          <w:p>
            <w:pPr>
              <w:jc w:val="right"/>
            </w:pPr>
            <w:r>
              <w:rPr>
                <w:color w:val="000000"/>
                <w:sz w:val="24"/>
                <w:szCs w:val="24"/>
              </w:rPr>
              <w:t>225,000</w:t>
            </w:r>
          </w:p>
        </w:tc>
        <w:tc>
          <w:tcPr>
            <w:vAlign w:val="center"/>
          </w:tcPr>
          <w:p>
            <w:pPr>
              <w:jc w:val="right"/>
            </w:pPr>
            <w:r>
              <w:rPr>
                <w:color w:val="000000"/>
                <w:sz w:val="24"/>
                <w:szCs w:val="24"/>
              </w:rPr>
              <w:t>22,668,750.00</w:t>
            </w:r>
          </w:p>
        </w:tc>
        <w:tc>
          <w:tcPr>
            <w:vAlign w:val="center"/>
          </w:tcPr>
          <w:p>
            <w:pPr>
              <w:jc w:val="right"/>
            </w:pPr>
            <w:r>
              <w:rPr>
                <w:color w:val="000000"/>
                <w:sz w:val="24"/>
                <w:szCs w:val="24"/>
              </w:rPr>
              <w:t>6.09</w:t>
            </w:r>
          </w:p>
        </w:tc>
      </w:tr>
      <w:tr>
        <w:tc>
          <w:tcPr>
            <w:vAlign w:val="center"/>
          </w:tcPr>
          <w:p>
            <w:pPr>
              <w:jc w:val="center"/>
            </w:pPr>
            <w:r>
              <w:rPr>
                <w:color w:val="000000"/>
                <w:sz w:val="24"/>
                <w:szCs w:val="24"/>
              </w:rPr>
              <w:t>2</w:t>
            </w:r>
          </w:p>
        </w:tc>
        <w:tc>
          <w:tcPr>
            <w:vAlign w:val="center"/>
          </w:tcPr>
          <w:p>
            <w:pPr>
              <w:jc w:val="center"/>
            </w:pPr>
            <w:r>
              <w:rPr>
                <w:color w:val="000000"/>
                <w:sz w:val="24"/>
                <w:szCs w:val="24"/>
              </w:rPr>
              <w:t>101800369</w:t>
            </w:r>
          </w:p>
        </w:tc>
        <w:tc>
          <w:tcPr>
            <w:vAlign w:val="center"/>
          </w:tcPr>
          <w:p>
            <w:pPr>
              <w:jc w:val="center"/>
            </w:pPr>
            <w:r>
              <w:rPr>
                <w:color w:val="000000"/>
                <w:sz w:val="24"/>
                <w:szCs w:val="24"/>
              </w:rPr>
              <w:t>18豫投资MTN002</w:t>
            </w:r>
          </w:p>
        </w:tc>
        <w:tc>
          <w:tcPr>
            <w:vAlign w:val="center"/>
          </w:tcPr>
          <w:p>
            <w:pPr>
              <w:jc w:val="right"/>
            </w:pPr>
            <w:r>
              <w:rPr>
                <w:color w:val="000000"/>
                <w:sz w:val="24"/>
                <w:szCs w:val="24"/>
              </w:rPr>
              <w:t>100,000</w:t>
            </w:r>
          </w:p>
        </w:tc>
        <w:tc>
          <w:tcPr>
            <w:vAlign w:val="center"/>
          </w:tcPr>
          <w:p>
            <w:pPr>
              <w:jc w:val="right"/>
            </w:pPr>
            <w:r>
              <w:rPr>
                <w:color w:val="000000"/>
                <w:sz w:val="24"/>
                <w:szCs w:val="24"/>
              </w:rPr>
              <w:t>10,280,000.00</w:t>
            </w:r>
          </w:p>
        </w:tc>
        <w:tc>
          <w:tcPr>
            <w:vAlign w:val="center"/>
          </w:tcPr>
          <w:p>
            <w:pPr>
              <w:jc w:val="right"/>
            </w:pPr>
            <w:r>
              <w:rPr>
                <w:color w:val="000000"/>
                <w:sz w:val="24"/>
                <w:szCs w:val="24"/>
              </w:rPr>
              <w:t>2.76</w:t>
            </w:r>
          </w:p>
        </w:tc>
      </w:tr>
      <w:tr>
        <w:tc>
          <w:tcPr>
            <w:vAlign w:val="center"/>
          </w:tcPr>
          <w:p>
            <w:pPr>
              <w:jc w:val="center"/>
            </w:pPr>
            <w:r>
              <w:rPr>
                <w:color w:val="000000"/>
                <w:sz w:val="24"/>
                <w:szCs w:val="24"/>
              </w:rPr>
              <w:t>3</w:t>
            </w:r>
          </w:p>
        </w:tc>
        <w:tc>
          <w:tcPr>
            <w:vAlign w:val="center"/>
          </w:tcPr>
          <w:p>
            <w:pPr>
              <w:jc w:val="center"/>
            </w:pPr>
            <w:r>
              <w:rPr>
                <w:color w:val="000000"/>
                <w:sz w:val="24"/>
                <w:szCs w:val="24"/>
              </w:rPr>
              <w:t>101800415</w:t>
            </w:r>
          </w:p>
        </w:tc>
        <w:tc>
          <w:tcPr>
            <w:vAlign w:val="center"/>
          </w:tcPr>
          <w:p>
            <w:pPr>
              <w:jc w:val="center"/>
            </w:pPr>
            <w:r>
              <w:rPr>
                <w:color w:val="000000"/>
                <w:sz w:val="24"/>
                <w:szCs w:val="24"/>
              </w:rPr>
              <w:t>18兆润投资MTN001</w:t>
            </w:r>
          </w:p>
        </w:tc>
        <w:tc>
          <w:tcPr>
            <w:vAlign w:val="center"/>
          </w:tcPr>
          <w:p>
            <w:pPr>
              <w:jc w:val="right"/>
            </w:pPr>
            <w:r>
              <w:rPr>
                <w:color w:val="000000"/>
                <w:sz w:val="24"/>
                <w:szCs w:val="24"/>
              </w:rPr>
              <w:t>100,000</w:t>
            </w:r>
          </w:p>
        </w:tc>
        <w:tc>
          <w:tcPr>
            <w:vAlign w:val="center"/>
          </w:tcPr>
          <w:p>
            <w:pPr>
              <w:jc w:val="right"/>
            </w:pPr>
            <w:r>
              <w:rPr>
                <w:color w:val="000000"/>
                <w:sz w:val="24"/>
                <w:szCs w:val="24"/>
              </w:rPr>
              <w:t>10,268,000.00</w:t>
            </w:r>
          </w:p>
        </w:tc>
        <w:tc>
          <w:tcPr>
            <w:vAlign w:val="center"/>
          </w:tcPr>
          <w:p>
            <w:pPr>
              <w:jc w:val="right"/>
            </w:pPr>
            <w:r>
              <w:rPr>
                <w:color w:val="000000"/>
                <w:sz w:val="24"/>
                <w:szCs w:val="24"/>
              </w:rPr>
              <w:t>2.76</w:t>
            </w:r>
          </w:p>
        </w:tc>
      </w:tr>
      <w:tr>
        <w:tc>
          <w:tcPr>
            <w:vAlign w:val="center"/>
          </w:tcPr>
          <w:p>
            <w:pPr>
              <w:jc w:val="center"/>
            </w:pPr>
            <w:r>
              <w:rPr>
                <w:color w:val="000000"/>
                <w:sz w:val="24"/>
                <w:szCs w:val="24"/>
              </w:rPr>
              <w:t>4</w:t>
            </w:r>
          </w:p>
        </w:tc>
        <w:tc>
          <w:tcPr>
            <w:vAlign w:val="center"/>
          </w:tcPr>
          <w:p>
            <w:pPr>
              <w:jc w:val="center"/>
            </w:pPr>
            <w:r>
              <w:rPr>
                <w:color w:val="000000"/>
                <w:sz w:val="24"/>
                <w:szCs w:val="24"/>
              </w:rPr>
              <w:t>143762</w:t>
            </w:r>
          </w:p>
        </w:tc>
        <w:tc>
          <w:tcPr>
            <w:vAlign w:val="center"/>
          </w:tcPr>
          <w:p>
            <w:pPr>
              <w:jc w:val="center"/>
            </w:pPr>
            <w:r>
              <w:rPr>
                <w:color w:val="000000"/>
                <w:sz w:val="24"/>
                <w:szCs w:val="24"/>
              </w:rPr>
              <w:t>18招商G8</w:t>
            </w:r>
          </w:p>
        </w:tc>
        <w:tc>
          <w:tcPr>
            <w:vAlign w:val="center"/>
          </w:tcPr>
          <w:p>
            <w:pPr>
              <w:jc w:val="right"/>
            </w:pPr>
            <w:r>
              <w:rPr>
                <w:color w:val="000000"/>
                <w:sz w:val="24"/>
                <w:szCs w:val="24"/>
              </w:rPr>
              <w:t>100,000</w:t>
            </w:r>
          </w:p>
        </w:tc>
        <w:tc>
          <w:tcPr>
            <w:vAlign w:val="center"/>
          </w:tcPr>
          <w:p>
            <w:pPr>
              <w:jc w:val="right"/>
            </w:pPr>
            <w:r>
              <w:rPr>
                <w:color w:val="000000"/>
                <w:sz w:val="24"/>
                <w:szCs w:val="24"/>
              </w:rPr>
              <w:t>10,156,000.00</w:t>
            </w:r>
          </w:p>
        </w:tc>
        <w:tc>
          <w:tcPr>
            <w:vAlign w:val="center"/>
          </w:tcPr>
          <w:p>
            <w:pPr>
              <w:jc w:val="right"/>
            </w:pPr>
            <w:r>
              <w:rPr>
                <w:color w:val="000000"/>
                <w:sz w:val="24"/>
                <w:szCs w:val="24"/>
              </w:rPr>
              <w:t>2.73</w:t>
            </w:r>
          </w:p>
        </w:tc>
      </w:tr>
      <w:tr>
        <w:tc>
          <w:tcPr>
            <w:vAlign w:val="center"/>
          </w:tcPr>
          <w:p>
            <w:pPr>
              <w:jc w:val="center"/>
            </w:pPr>
            <w:r>
              <w:rPr>
                <w:color w:val="000000"/>
                <w:sz w:val="24"/>
                <w:szCs w:val="24"/>
              </w:rPr>
              <w:t>5</w:t>
            </w:r>
          </w:p>
        </w:tc>
        <w:tc>
          <w:tcPr>
            <w:vAlign w:val="center"/>
          </w:tcPr>
          <w:p>
            <w:pPr>
              <w:jc w:val="center"/>
            </w:pPr>
            <w:r>
              <w:rPr>
                <w:color w:val="000000"/>
                <w:sz w:val="24"/>
                <w:szCs w:val="24"/>
              </w:rPr>
              <w:t>101801139</w:t>
            </w:r>
          </w:p>
        </w:tc>
        <w:tc>
          <w:tcPr>
            <w:vAlign w:val="center"/>
          </w:tcPr>
          <w:p>
            <w:pPr>
              <w:jc w:val="center"/>
            </w:pPr>
            <w:r>
              <w:rPr>
                <w:color w:val="000000"/>
                <w:sz w:val="24"/>
                <w:szCs w:val="24"/>
              </w:rPr>
              <w:t>18光明MTN004</w:t>
            </w:r>
          </w:p>
        </w:tc>
        <w:tc>
          <w:tcPr>
            <w:vAlign w:val="center"/>
          </w:tcPr>
          <w:p>
            <w:pPr>
              <w:jc w:val="right"/>
            </w:pPr>
            <w:r>
              <w:rPr>
                <w:color w:val="000000"/>
                <w:sz w:val="24"/>
                <w:szCs w:val="24"/>
              </w:rPr>
              <w:t>100,000</w:t>
            </w:r>
          </w:p>
        </w:tc>
        <w:tc>
          <w:tcPr>
            <w:vAlign w:val="center"/>
          </w:tcPr>
          <w:p>
            <w:pPr>
              <w:jc w:val="right"/>
            </w:pPr>
            <w:r>
              <w:rPr>
                <w:color w:val="000000"/>
                <w:sz w:val="24"/>
                <w:szCs w:val="24"/>
              </w:rPr>
              <w:t>10,149,000.00</w:t>
            </w:r>
          </w:p>
        </w:tc>
        <w:tc>
          <w:tcPr>
            <w:vAlign w:val="center"/>
          </w:tcPr>
          <w:p>
            <w:pPr>
              <w:jc w:val="right"/>
            </w:pPr>
            <w:r>
              <w:rPr>
                <w:color w:val="000000"/>
                <w:sz w:val="24"/>
                <w:szCs w:val="24"/>
              </w:rPr>
              <w:t>2.73</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5.11.1报告期内本基金投资的前十名证券的发行主体除18招商G8（证券代码：143762）外，未出现被监管部门立案调查，或在报告编制日前一年内受到公开谴责、处罚的情形。</w:t>
      </w:r>
    </w:p>
    <w:p>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18招商G8（证券代码：143762）的发行主体招商证券于2019年5月29日公告，因全资子公司招商证券（香港）有限公司在担任中国金属再生资源（控股）有限公司上市申请的联席保荐人时（2008年11月至2009年6月）没有履行其应尽的尽职审查责任，近日香港证券及期货事务监察委员会对招商证券（香港）有限公司采取纪律行动，包括处以罚款2700万元港币；公司于2019年6月1日公告，因全资子公司招商证券（香港）有限公司错误处理客户款项(发生于2011年10月至2014年9月期间)，近日香港证券及期货事务监察委员会对招商证券（香港）有限公司采取纪律行动，包括处以罚款500万元港币。</w:t>
      </w:r>
    </w:p>
    <w:p>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49,886.05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10,340,098.70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4,172,052.02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14,562,036.77</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066A97" w:rsidR="00066A97" w:rsidRDefault="00066A97"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5F1F22">
            <w:pPr>
              <w:spacing w:before="29" w:line="288" w:lineRule="auto"/>
              <w:ind w:left="17"/>
              <w:jc w:val="center"/>
              <w:rPr>
                <w:color w:val="000000"/>
                <w:sz w:val="24"/>
                <w:szCs w:val="24"/>
              </w:rPr>
            </w:pPr>
            <w:r w:rsidRPr="00414345">
              <w:rPr>
                <w:color w:val="000000"/>
                <w:sz w:val="24"/>
                <w:szCs w:val="24"/>
              </w:rPr>
              <w:t>流通受限部分的公允价值</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601658</w:t>
            </w:r>
          </w:p>
        </w:tc>
        <w:tc>
          <w:tcPr>
            <w:vAlign w:val="center"/>
          </w:tcPr>
          <w:p>
            <w:pPr>
              <w:jc w:val="center"/>
            </w:pPr>
            <w:r>
              <w:rPr>
                <w:color w:val="000000"/>
                <w:sz w:val="24"/>
                <w:szCs w:val="24"/>
              </w:rPr>
              <w:t>邮储银行</w:t>
            </w:r>
          </w:p>
        </w:tc>
        <w:tc>
          <w:tcPr>
            <w:vAlign w:val="center"/>
          </w:tcPr>
          <w:p>
            <w:pPr>
              <w:jc w:val="right"/>
            </w:pPr>
            <w:r>
              <w:rPr>
                <w:color w:val="000000"/>
                <w:sz w:val="24"/>
                <w:szCs w:val="24"/>
              </w:rPr>
              <w:t>2,274,230.19</w:t>
            </w:r>
          </w:p>
        </w:tc>
        <w:tc>
          <w:tcPr>
            <w:vAlign w:val="center"/>
          </w:tcPr>
          <w:p>
            <w:pPr>
              <w:jc w:val="right"/>
            </w:pPr>
            <w:r>
              <w:rPr>
                <w:color w:val="000000"/>
                <w:sz w:val="24"/>
                <w:szCs w:val="24"/>
              </w:rPr>
              <w:t>0.61</w:t>
            </w:r>
          </w:p>
        </w:tc>
        <w:tc>
          <w:tcPr>
            <w:vAlign w:val="center"/>
          </w:tcPr>
          <w:p>
            <w:pPr>
              <w:jc w:val="right"/>
            </w:pPr>
            <w:r>
              <w:rPr>
                <w:color w:val="000000"/>
                <w:sz w:val="24"/>
                <w:szCs w:val="24"/>
              </w:rPr>
              <w:t>限售股</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pPr>
        <w:spacing w:before="29" w:line="288" w:lineRule="auto"/>
        <w:rPr>
          <w:color w:val="000000"/>
          <w:sz w:val="24"/>
          <w:szCs w:val="24"/>
        </w:rPr>
      </w:pPr>
      <w:r>
        <w:rPr>
          <w:color w:val="000000"/>
          <w:sz w:val="24"/>
          <w:szCs w:val="24"/>
        </w:rPr>
        <w:t>1、本基金本报告期末未持有处于交换期的可交换债券。</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2、由于四舍五入的原因，分项之和与合计项之间可能存在尾差。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348,016,478.97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55,295,479.71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67,724,583.29</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335,587,375.39</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2019/10/1-2019/12/31</w:t>
            </w:r>
          </w:p>
        </w:tc>
        <w:tc>
          <w:tcPr>
            <w:vAlign w:val="center"/>
          </w:tcPr>
          <w:p>
            <w:pPr>
              <w:jc w:val="center"/>
            </w:pPr>
            <w:r>
              <w:rPr>
                <w:rFonts w:ascii="宋体" w:hAnsi="宋体"/>
                <w:color w:val="000000"/>
                <w:kern w:val="0"/>
              </w:rPr>
              <w:t>95,968,330.13</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95,968,330.13</w:t>
            </w:r>
          </w:p>
        </w:tc>
        <w:tc>
          <w:tcPr>
            <w:vAlign w:val="center"/>
          </w:tcPr>
          <w:p>
            <w:pPr>
              <w:jc w:val="center"/>
            </w:pPr>
            <w:r>
              <w:rPr>
                <w:rFonts w:ascii="宋体" w:hAnsi="宋体"/>
                <w:color w:val="000000"/>
                <w:kern w:val="0"/>
              </w:rPr>
              <w:t>28.60%</w:t>
            </w:r>
          </w:p>
        </w:tc>
      </w:tr>
      <w:tr>
        <w:tc>
          <w:tcPr>
            <w:vMerge/>
          </w:tcPr>
          <w:p/>
        </w:tc>
        <w:tc>
          <w:tcPr>
            <w:vAlign w:val="center"/>
          </w:tcPr>
          <w:p>
            <w:pPr>
              <w:jc w:val="center"/>
            </w:pPr>
            <w:r>
              <w:rPr>
                <w:rFonts w:ascii="宋体" w:hAnsi="宋体"/>
                <w:color w:val="000000"/>
                <w:kern w:val="0"/>
              </w:rPr>
              <w:t>2</w:t>
            </w:r>
          </w:p>
        </w:tc>
        <w:tc>
          <w:tcPr>
            <w:vAlign w:val="center"/>
          </w:tcPr>
          <w:p>
            <w:pPr>
              <w:jc w:val="center"/>
            </w:pPr>
            <w:r>
              <w:rPr>
                <w:rFonts w:ascii="宋体" w:hAnsi="宋体"/>
                <w:color w:val="000000"/>
                <w:kern w:val="0"/>
              </w:rPr>
              <w:t>2019/10/1-2019/12/31</w:t>
            </w:r>
          </w:p>
        </w:tc>
        <w:tc>
          <w:tcPr>
            <w:vAlign w:val="center"/>
          </w:tcPr>
          <w:p>
            <w:pPr>
              <w:jc w:val="center"/>
            </w:pPr>
            <w:r>
              <w:rPr>
                <w:rFonts w:ascii="宋体" w:hAnsi="宋体"/>
                <w:color w:val="000000"/>
                <w:kern w:val="0"/>
              </w:rPr>
              <w:t>95,968,330.13</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95,968,330.13</w:t>
            </w:r>
          </w:p>
        </w:tc>
        <w:tc>
          <w:tcPr>
            <w:vAlign w:val="center"/>
          </w:tcPr>
          <w:p>
            <w:pPr>
              <w:jc w:val="center"/>
            </w:pPr>
            <w:r>
              <w:rPr>
                <w:rFonts w:ascii="宋体" w:hAnsi="宋体"/>
                <w:color w:val="000000"/>
                <w:kern w:val="0"/>
              </w:rPr>
              <w:t>28.60%</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8.2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1、中国证监会准予交银施罗德荣鑫保本混合型证券投资基金募集注册的文件；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2、《交银施罗德荣鑫灵活配置混合型证券投资基金基金合同》；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3、《交银施罗德荣鑫灵活配置混合型证券投资基金招募说明书》；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4、《交银施罗德荣鑫灵活配置混合型证券投资基金托管协议》； </w:t>
      </w:r>
    </w:p>
    <w:p>
      <w:pPr>
        <w:spacing w:before="29" w:line="288" w:lineRule="auto"/>
        <w:ind w:firstLine="480" w:firstLineChars="200"/>
        <w:rPr>
          <w:color w:val="000000"/>
          <w:sz w:val="24"/>
          <w:szCs w:val="24"/>
        </w:rPr>
      </w:pPr>
      <w:r>
        <w:rPr>
          <w:color w:val="000000"/>
          <w:sz w:val="24"/>
          <w:szCs w:val="24"/>
        </w:rPr>
        <w:t xml:space="preserve">5、《交银施罗德荣鑫保本混合型证券投资基金基金合同》； </w:t>
      </w:r>
    </w:p>
    <w:p>
      <w:pPr>
        <w:spacing w:before="29" w:line="288" w:lineRule="auto"/>
        <w:ind w:firstLine="480" w:firstLineChars="200"/>
        <w:rPr>
          <w:color w:val="000000"/>
          <w:sz w:val="24"/>
          <w:szCs w:val="24"/>
        </w:rPr>
      </w:pPr>
      <w:r>
        <w:rPr>
          <w:color w:val="000000"/>
          <w:sz w:val="24"/>
          <w:szCs w:val="24"/>
        </w:rPr>
        <w:t xml:space="preserve">6、《交银施罗德荣鑫保本混合型证券投资基金招募说明书》； </w:t>
      </w:r>
    </w:p>
    <w:p>
      <w:pPr>
        <w:spacing w:before="29" w:line="288" w:lineRule="auto"/>
        <w:ind w:firstLine="480" w:firstLineChars="200"/>
        <w:rPr>
          <w:color w:val="000000"/>
          <w:sz w:val="24"/>
          <w:szCs w:val="24"/>
        </w:rPr>
      </w:pPr>
      <w:r>
        <w:rPr>
          <w:color w:val="000000"/>
          <w:sz w:val="24"/>
          <w:szCs w:val="24"/>
        </w:rPr>
        <w:t xml:space="preserve">7、《交银施罗德荣鑫保本混合型证券投资基金托管协议》； </w:t>
      </w:r>
    </w:p>
    <w:p>
      <w:pPr>
        <w:spacing w:before="29" w:line="288" w:lineRule="auto"/>
        <w:ind w:firstLine="480" w:firstLineChars="200"/>
        <w:rPr>
          <w:color w:val="000000"/>
          <w:sz w:val="24"/>
          <w:szCs w:val="24"/>
        </w:rPr>
      </w:pPr>
      <w:r>
        <w:rPr>
          <w:color w:val="000000"/>
          <w:sz w:val="24"/>
          <w:szCs w:val="24"/>
        </w:rPr>
        <w:t>8、《交银施罗德荣鑫保本混合型证券投资基金保证合同》；</w:t>
      </w:r>
    </w:p>
    <w:p>
      <w:pPr>
        <w:spacing w:before="29" w:line="288" w:lineRule="auto"/>
        <w:ind w:firstLine="480" w:firstLineChars="200"/>
        <w:rPr>
          <w:color w:val="000000"/>
          <w:sz w:val="24"/>
          <w:szCs w:val="24"/>
        </w:rPr>
      </w:pPr>
      <w:r>
        <w:rPr>
          <w:color w:val="000000"/>
          <w:sz w:val="24"/>
          <w:szCs w:val="24"/>
        </w:rPr>
        <w:t xml:space="preserve">9、基金管理人业务资格批件、营业执照； </w:t>
      </w:r>
    </w:p>
    <w:p>
      <w:pPr>
        <w:spacing w:before="29" w:line="288" w:lineRule="auto"/>
        <w:ind w:firstLine="480" w:firstLineChars="200"/>
        <w:rPr>
          <w:color w:val="000000"/>
          <w:sz w:val="24"/>
          <w:szCs w:val="24"/>
        </w:rPr>
      </w:pPr>
      <w:r>
        <w:rPr>
          <w:color w:val="000000"/>
          <w:sz w:val="24"/>
          <w:szCs w:val="24"/>
        </w:rPr>
        <w:t xml:space="preserve">10、基金托管人业务资格批件、营业执照； </w:t>
      </w:r>
    </w:p>
    <w:p>
      <w:pPr>
        <w:spacing w:before="29" w:line="288" w:lineRule="auto"/>
        <w:ind w:firstLine="480" w:firstLineChars="200"/>
        <w:rPr>
          <w:color w:val="000000"/>
          <w:sz w:val="24"/>
          <w:szCs w:val="24"/>
        </w:rPr>
      </w:pPr>
      <w:r>
        <w:rPr>
          <w:color w:val="000000"/>
          <w:sz w:val="24"/>
          <w:szCs w:val="24"/>
        </w:rPr>
        <w:t xml:space="preserve">11、关于申请募集注册交银施罗德荣鑫保本混合型证券投资基金的法律意见书； </w:t>
      </w:r>
    </w:p>
    <w:p>
      <w:pPr>
        <w:spacing w:before="29" w:line="288" w:lineRule="auto"/>
        <w:ind w:firstLine="480" w:firstLineChars="200"/>
        <w:rPr>
          <w:color w:val="000000"/>
          <w:sz w:val="24"/>
          <w:szCs w:val="24"/>
        </w:rPr>
      </w:pPr>
      <w:r>
        <w:rPr>
          <w:color w:val="000000"/>
          <w:sz w:val="24"/>
          <w:szCs w:val="24"/>
        </w:rPr>
        <w:t>12、关于修改《交银施罗德荣鑫保本混合型证券投资基金基金合同》的法律意见书</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13、报告期内交银施罗德荣鑫保本混合型证券投资基金、交银施罗德荣鑫灵活配置混合型证券投资基金在指定报刊上各项公告的原稿。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交银施罗德荣鑫灵活配置混合型证券投资基金2019年第4季度报告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