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交银施罗德信用添利债券证券投资基金（</w:t>
      </w:r>
      <w:r w:rsidRPr="0081286B">
        <w:rPr>
          <w:b/>
          <w:sz w:val="36"/>
          <w:szCs w:val="36"/>
        </w:rPr>
        <w:t>LOF</w:t>
      </w:r>
      <w:r w:rsidRPr="0081286B">
        <w:rPr>
          <w:b/>
          <w:sz w:val="36"/>
          <w:szCs w:val="36"/>
        </w:rPr>
        <w:t>）</w:t>
      </w:r>
    </w:p>
    <w:p w:rsidR="002279D3" w:rsidRPr="0081286B" w:rsidRDefault="002279D3" w:rsidP="00C15CAC">
      <w:pPr>
        <w:spacing w:before="29" w:line="288" w:lineRule="auto"/>
        <w:jc w:val="center"/>
        <w:rPr>
          <w:b/>
          <w:sz w:val="36"/>
          <w:szCs w:val="36"/>
        </w:rPr>
      </w:pPr>
      <w:r w:rsidRPr="0081286B">
        <w:rPr>
          <w:b/>
          <w:sz w:val="36"/>
          <w:szCs w:val="36"/>
        </w:rPr>
        <w:t>2019</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2019</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二〇二〇年一月二十一日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B445BE" w:rsidRDefault="008B4B64">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B445BE" w:rsidRDefault="008B4B64">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2020</w:t>
      </w:r>
      <w:r>
        <w:rPr>
          <w:color w:val="000000"/>
          <w:sz w:val="24"/>
          <w:szCs w:val="24"/>
        </w:rPr>
        <w:t>年</w:t>
      </w:r>
      <w:r>
        <w:rPr>
          <w:color w:val="000000"/>
          <w:sz w:val="24"/>
          <w:szCs w:val="24"/>
        </w:rPr>
        <w:t>1</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B445BE" w:rsidRDefault="008B4B64">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B445BE" w:rsidRDefault="008B4B64">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B445BE" w:rsidRDefault="008B4B64">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2019</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交银信用添利债券（</w:t>
            </w:r>
            <w:r w:rsidRPr="00414345">
              <w:rPr>
                <w:color w:val="000000"/>
                <w:kern w:val="0"/>
                <w:sz w:val="24"/>
                <w:szCs w:val="24"/>
              </w:rPr>
              <w:t>LOF</w:t>
            </w:r>
            <w:r w:rsidRPr="00414345">
              <w:rPr>
                <w:color w:val="000000"/>
                <w:kern w:val="0"/>
                <w:sz w:val="24"/>
                <w:szCs w:val="24"/>
              </w:rPr>
              <w:t>）</w:t>
            </w:r>
          </w:p>
        </w:tc>
      </w:tr>
      <w:tr w:rsidR="006E6726" w:rsidRPr="00414345" w:rsidTr="006E6726">
        <w:trPr>
          <w:jc w:val="center"/>
        </w:trPr>
        <w:tc>
          <w:tcPr>
            <w:tcW w:w="3023" w:type="dxa"/>
            <w:vAlign w:val="center"/>
          </w:tcPr>
          <w:p w:rsidR="006E6726" w:rsidRDefault="006E6726">
            <w:pPr>
              <w:adjustRightInd w:val="0"/>
              <w:spacing w:before="29" w:line="288" w:lineRule="auto"/>
              <w:ind w:left="17"/>
              <w:jc w:val="left"/>
              <w:rPr>
                <w:kern w:val="0"/>
                <w:sz w:val="24"/>
                <w:szCs w:val="24"/>
              </w:rPr>
            </w:pPr>
            <w:r>
              <w:rPr>
                <w:rFonts w:hint="eastAsia"/>
                <w:kern w:val="0"/>
                <w:sz w:val="24"/>
              </w:rPr>
              <w:t>场内简称</w:t>
            </w:r>
          </w:p>
        </w:tc>
        <w:tc>
          <w:tcPr>
            <w:tcW w:w="5845" w:type="dxa"/>
            <w:gridSpan w:val="2"/>
            <w:vAlign w:val="center"/>
          </w:tcPr>
          <w:p w:rsidR="006E6726" w:rsidRDefault="006E6726">
            <w:pPr>
              <w:adjustRightInd w:val="0"/>
              <w:spacing w:before="29" w:line="288" w:lineRule="auto"/>
              <w:ind w:left="17"/>
              <w:jc w:val="left"/>
              <w:rPr>
                <w:color w:val="000000"/>
                <w:kern w:val="0"/>
                <w:sz w:val="24"/>
                <w:szCs w:val="24"/>
              </w:rPr>
            </w:pPr>
            <w:r>
              <w:rPr>
                <w:color w:val="000000"/>
                <w:kern w:val="0"/>
                <w:sz w:val="24"/>
              </w:rPr>
              <w:t>交银添利</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164902</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164902</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164903</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上市契约型开放式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2011</w:t>
            </w:r>
            <w:r w:rsidRPr="00414345">
              <w:rPr>
                <w:color w:val="000000"/>
                <w:kern w:val="0"/>
                <w:sz w:val="24"/>
                <w:szCs w:val="24"/>
              </w:rPr>
              <w:t>年</w:t>
            </w:r>
            <w:r w:rsidRPr="00414345">
              <w:rPr>
                <w:color w:val="000000"/>
                <w:kern w:val="0"/>
                <w:sz w:val="24"/>
                <w:szCs w:val="24"/>
              </w:rPr>
              <w:t>1</w:t>
            </w:r>
            <w:r w:rsidRPr="00414345">
              <w:rPr>
                <w:color w:val="000000"/>
                <w:kern w:val="0"/>
                <w:sz w:val="24"/>
                <w:szCs w:val="24"/>
              </w:rPr>
              <w:t>月</w:t>
            </w:r>
            <w:r w:rsidRPr="00414345">
              <w:rPr>
                <w:color w:val="000000"/>
                <w:kern w:val="0"/>
                <w:sz w:val="24"/>
                <w:szCs w:val="24"/>
              </w:rPr>
              <w:t>27</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1,546,236,280.51</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根据宏观经济运行状况和金融市场的运行趋势，自上而下进行宏观分析，自下而上精选个券，在控制信用风险、利率风险和流动性风险前提下，力求通过主动承担适度信用风险获得持续投资收益，谋求基金资产的长期稳定增长。</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规范化的基本面研究、严谨的信用分析与积极主动的投资风格相结合，在分析和判断宏观经济运行状况和金融市场运行趋势的基础上，动态调整大类金融资产比例，自上而下决定债券组合久期及债券类属配置；在严谨深入的信用分析基础上，综合考量信用债券的信用评级，</w:t>
            </w:r>
            <w:r w:rsidRPr="00414345">
              <w:rPr>
                <w:color w:val="000000"/>
                <w:kern w:val="0"/>
                <w:sz w:val="24"/>
                <w:szCs w:val="24"/>
              </w:rPr>
              <w:lastRenderedPageBreak/>
              <w:t>以及各类债券的流动性、供求关系和收益率水平等，自下而上地精选个券。同时，本基金也会关注股票一级市场、权证一级市场等其它相关市场存在的投资机会，力争实现基金总体风险收益特征保持不变前提下的基金资产增值最大化。</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80%×</w:t>
            </w:r>
            <w:r w:rsidRPr="00414345">
              <w:rPr>
                <w:color w:val="000000"/>
                <w:kern w:val="0"/>
                <w:sz w:val="24"/>
                <w:szCs w:val="24"/>
              </w:rPr>
              <w:t>中债企业债总全价指数收益率</w:t>
            </w:r>
            <w:r w:rsidRPr="00414345">
              <w:rPr>
                <w:color w:val="000000"/>
                <w:kern w:val="0"/>
                <w:sz w:val="24"/>
                <w:szCs w:val="24"/>
              </w:rPr>
              <w:t>+20%×</w:t>
            </w:r>
            <w:r w:rsidRPr="00414345">
              <w:rPr>
                <w:color w:val="000000"/>
                <w:kern w:val="0"/>
                <w:sz w:val="24"/>
                <w:szCs w:val="24"/>
              </w:rPr>
              <w:t>中债国债总全价指数收益率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本基金是一只债券型基金，属于证券投资基金中中等风险的品种，其长期平均的预期收益和风险高于货币市场基金，低于混合型基金和股票型基金。</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注：根据本基金《基金合同》及《招募说明书》的相关规定，本基金在基金合同生效之日起三年</w:t>
      </w:r>
      <w:r w:rsidRPr="00414345">
        <w:rPr>
          <w:color w:val="000000"/>
          <w:sz w:val="24"/>
          <w:szCs w:val="24"/>
        </w:rPr>
        <w:t>(</w:t>
      </w:r>
      <w:r w:rsidRPr="00414345">
        <w:rPr>
          <w:color w:val="000000"/>
          <w:sz w:val="24"/>
          <w:szCs w:val="24"/>
        </w:rPr>
        <w:t>含三年</w:t>
      </w:r>
      <w:r w:rsidRPr="00414345">
        <w:rPr>
          <w:color w:val="000000"/>
          <w:sz w:val="24"/>
          <w:szCs w:val="24"/>
        </w:rPr>
        <w:t>)</w:t>
      </w:r>
      <w:r w:rsidRPr="00414345">
        <w:rPr>
          <w:color w:val="000000"/>
          <w:sz w:val="24"/>
          <w:szCs w:val="24"/>
        </w:rPr>
        <w:t>的期间内，采取封闭式运作，在深圳证券交易所上市交易，封闭期结束后转为上市开放式基金（</w:t>
      </w:r>
      <w:r w:rsidRPr="00414345">
        <w:rPr>
          <w:color w:val="000000"/>
          <w:sz w:val="24"/>
          <w:szCs w:val="24"/>
        </w:rPr>
        <w:t>LOF</w:t>
      </w:r>
      <w:r w:rsidRPr="00414345">
        <w:rPr>
          <w:color w:val="000000"/>
          <w:sz w:val="24"/>
          <w:szCs w:val="24"/>
        </w:rPr>
        <w:t>）。本基金封闭期自</w:t>
      </w:r>
      <w:r w:rsidRPr="00414345">
        <w:rPr>
          <w:color w:val="000000"/>
          <w:sz w:val="24"/>
          <w:szCs w:val="24"/>
        </w:rPr>
        <w:t>2011</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27</w:t>
      </w:r>
      <w:r w:rsidRPr="00414345">
        <w:rPr>
          <w:color w:val="000000"/>
          <w:sz w:val="24"/>
          <w:szCs w:val="24"/>
        </w:rPr>
        <w:t>日</w:t>
      </w:r>
      <w:r w:rsidRPr="00414345">
        <w:rPr>
          <w:color w:val="000000"/>
          <w:sz w:val="24"/>
          <w:szCs w:val="24"/>
        </w:rPr>
        <w:t>(</w:t>
      </w:r>
      <w:r w:rsidRPr="00414345">
        <w:rPr>
          <w:color w:val="000000"/>
          <w:sz w:val="24"/>
          <w:szCs w:val="24"/>
        </w:rPr>
        <w:t>基金合同生效日</w:t>
      </w:r>
      <w:r w:rsidRPr="00414345">
        <w:rPr>
          <w:color w:val="000000"/>
          <w:sz w:val="24"/>
          <w:szCs w:val="24"/>
        </w:rPr>
        <w:t>)</w:t>
      </w:r>
      <w:r w:rsidRPr="00414345">
        <w:rPr>
          <w:color w:val="000000"/>
          <w:sz w:val="24"/>
          <w:szCs w:val="24"/>
        </w:rPr>
        <w:t>起至</w:t>
      </w:r>
      <w:r w:rsidRPr="00414345">
        <w:rPr>
          <w:color w:val="000000"/>
          <w:sz w:val="24"/>
          <w:szCs w:val="24"/>
        </w:rPr>
        <w:t>2014</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27</w:t>
      </w:r>
      <w:r w:rsidRPr="00414345">
        <w:rPr>
          <w:color w:val="000000"/>
          <w:sz w:val="24"/>
          <w:szCs w:val="24"/>
        </w:rPr>
        <w:t>日止，自</w:t>
      </w:r>
      <w:r w:rsidRPr="00414345">
        <w:rPr>
          <w:color w:val="000000"/>
          <w:sz w:val="24"/>
          <w:szCs w:val="24"/>
        </w:rPr>
        <w:t>2014</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28</w:t>
      </w:r>
      <w:r w:rsidRPr="00414345">
        <w:rPr>
          <w:color w:val="000000"/>
          <w:sz w:val="24"/>
          <w:szCs w:val="24"/>
        </w:rPr>
        <w:t>日起基金运作方式转为</w:t>
      </w:r>
      <w:r w:rsidRPr="00414345">
        <w:rPr>
          <w:color w:val="000000"/>
          <w:sz w:val="24"/>
          <w:szCs w:val="24"/>
        </w:rPr>
        <w:t>“</w:t>
      </w:r>
      <w:r w:rsidRPr="00414345">
        <w:rPr>
          <w:color w:val="000000"/>
          <w:sz w:val="24"/>
          <w:szCs w:val="24"/>
        </w:rPr>
        <w:t>上市契约型开放式</w:t>
      </w:r>
      <w:r w:rsidRPr="00414345">
        <w:rPr>
          <w:color w:val="000000"/>
          <w:sz w:val="24"/>
          <w:szCs w:val="24"/>
        </w:rPr>
        <w:t>”</w:t>
      </w:r>
      <w:r w:rsidRPr="00414345">
        <w:rPr>
          <w:color w:val="000000"/>
          <w:sz w:val="24"/>
          <w:szCs w:val="24"/>
        </w:rPr>
        <w:t>，并于同日起开放本基金的申购、赎回业务。本基金在募集期仅开通前端基金份额的认购，转为上市开放式基金（</w:t>
      </w:r>
      <w:r w:rsidRPr="00414345">
        <w:rPr>
          <w:color w:val="000000"/>
          <w:sz w:val="24"/>
          <w:szCs w:val="24"/>
        </w:rPr>
        <w:t>LOF</w:t>
      </w:r>
      <w:r w:rsidRPr="00414345">
        <w:rPr>
          <w:color w:val="000000"/>
          <w:sz w:val="24"/>
          <w:szCs w:val="24"/>
        </w:rPr>
        <w:t>）后同时开通前端基金份额和后端基金份额的申购和赎回。</w:t>
      </w:r>
    </w:p>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3136AC" w:rsidRPr="00414345" w:rsidTr="003136AC">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(2019</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-2019</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3136AC" w:rsidRPr="00414345" w:rsidTr="003136A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14,803,501.40</w:t>
            </w:r>
          </w:p>
        </w:tc>
      </w:tr>
      <w:tr w:rsidR="003136AC" w:rsidRPr="00414345" w:rsidTr="003136A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14,907,048.42</w:t>
            </w:r>
          </w:p>
        </w:tc>
      </w:tr>
      <w:tr w:rsidR="003136AC" w:rsidRPr="00414345" w:rsidTr="003136A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0.0095</w:t>
            </w:r>
          </w:p>
        </w:tc>
      </w:tr>
      <w:tr w:rsidR="003136AC" w:rsidRPr="00414345" w:rsidTr="003136A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1,769,837,317.74</w:t>
            </w:r>
          </w:p>
        </w:tc>
      </w:tr>
      <w:tr w:rsidR="003136AC" w:rsidRPr="00414345" w:rsidTr="003136AC">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1.145</w:t>
            </w:r>
          </w:p>
        </w:tc>
      </w:tr>
    </w:tbl>
    <w:p w:rsidR="00B445BE" w:rsidRDefault="008B4B64">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B445BE">
        <w:trPr>
          <w:jc w:val="center"/>
        </w:trPr>
        <w:tc>
          <w:tcPr>
            <w:tcW w:w="1701" w:type="dxa"/>
            <w:vAlign w:val="center"/>
          </w:tcPr>
          <w:p w:rsidR="00B445BE" w:rsidRDefault="008B4B64">
            <w:pPr>
              <w:jc w:val="left"/>
            </w:pPr>
            <w:r>
              <w:rPr>
                <w:color w:val="000000"/>
                <w:sz w:val="24"/>
                <w:szCs w:val="24"/>
              </w:rPr>
              <w:t>过去三个月</w:t>
            </w:r>
          </w:p>
        </w:tc>
        <w:tc>
          <w:tcPr>
            <w:tcW w:w="1045" w:type="dxa"/>
            <w:vAlign w:val="center"/>
          </w:tcPr>
          <w:p w:rsidR="00B445BE" w:rsidRDefault="008B4B64">
            <w:pPr>
              <w:jc w:val="center"/>
            </w:pPr>
            <w:r>
              <w:rPr>
                <w:color w:val="000000"/>
                <w:sz w:val="24"/>
                <w:szCs w:val="24"/>
              </w:rPr>
              <w:t>0.85%</w:t>
            </w:r>
          </w:p>
        </w:tc>
        <w:tc>
          <w:tcPr>
            <w:tcW w:w="1344" w:type="dxa"/>
            <w:vAlign w:val="center"/>
          </w:tcPr>
          <w:p w:rsidR="00B445BE" w:rsidRDefault="008B4B64">
            <w:pPr>
              <w:jc w:val="center"/>
            </w:pPr>
            <w:r>
              <w:rPr>
                <w:color w:val="000000"/>
                <w:sz w:val="24"/>
                <w:szCs w:val="24"/>
              </w:rPr>
              <w:t>0.04%</w:t>
            </w:r>
          </w:p>
        </w:tc>
        <w:tc>
          <w:tcPr>
            <w:tcW w:w="1194" w:type="dxa"/>
            <w:vAlign w:val="center"/>
          </w:tcPr>
          <w:p w:rsidR="00B445BE" w:rsidRDefault="008B4B64">
            <w:pPr>
              <w:jc w:val="center"/>
            </w:pPr>
            <w:r>
              <w:rPr>
                <w:color w:val="000000"/>
                <w:sz w:val="24"/>
                <w:szCs w:val="24"/>
              </w:rPr>
              <w:t>0.34%</w:t>
            </w:r>
          </w:p>
        </w:tc>
        <w:tc>
          <w:tcPr>
            <w:tcW w:w="1492" w:type="dxa"/>
            <w:vAlign w:val="center"/>
          </w:tcPr>
          <w:p w:rsidR="00B445BE" w:rsidRDefault="008B4B64">
            <w:pPr>
              <w:jc w:val="center"/>
            </w:pPr>
            <w:r>
              <w:rPr>
                <w:color w:val="000000"/>
                <w:sz w:val="24"/>
                <w:szCs w:val="24"/>
              </w:rPr>
              <w:t>0.03%</w:t>
            </w:r>
          </w:p>
        </w:tc>
        <w:tc>
          <w:tcPr>
            <w:tcW w:w="1194" w:type="dxa"/>
            <w:vAlign w:val="center"/>
          </w:tcPr>
          <w:p w:rsidR="00B445BE" w:rsidRDefault="008B4B64">
            <w:pPr>
              <w:jc w:val="center"/>
            </w:pPr>
            <w:r>
              <w:rPr>
                <w:color w:val="000000"/>
                <w:sz w:val="24"/>
                <w:szCs w:val="24"/>
              </w:rPr>
              <w:t>0.51%</w:t>
            </w:r>
          </w:p>
        </w:tc>
        <w:tc>
          <w:tcPr>
            <w:tcW w:w="898" w:type="dxa"/>
            <w:vAlign w:val="center"/>
          </w:tcPr>
          <w:p w:rsidR="00B445BE" w:rsidRDefault="008B4B64">
            <w:pPr>
              <w:jc w:val="center"/>
            </w:pPr>
            <w:r>
              <w:rPr>
                <w:color w:val="000000"/>
                <w:sz w:val="24"/>
                <w:szCs w:val="24"/>
              </w:rPr>
              <w:t>0.01%</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交银施罗德信用添利债券证券投资基金（</w:t>
      </w:r>
      <w:r w:rsidRPr="00414345">
        <w:rPr>
          <w:color w:val="000000"/>
          <w:sz w:val="24"/>
          <w:szCs w:val="24"/>
        </w:rPr>
        <w:t>LOF</w:t>
      </w:r>
      <w:r w:rsidRPr="00414345">
        <w:rPr>
          <w:color w:val="000000"/>
          <w:sz w:val="24"/>
          <w:szCs w:val="24"/>
        </w:rPr>
        <w:t>）</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2011</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27</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2019</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lastRenderedPageBreak/>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B445BE">
        <w:trPr>
          <w:jc w:val="center"/>
        </w:trPr>
        <w:tc>
          <w:tcPr>
            <w:tcW w:w="846" w:type="dxa"/>
            <w:vAlign w:val="center"/>
          </w:tcPr>
          <w:p w:rsidR="00B445BE" w:rsidRDefault="008B4B64">
            <w:pPr>
              <w:jc w:val="center"/>
            </w:pPr>
            <w:r>
              <w:rPr>
                <w:color w:val="000000"/>
                <w:sz w:val="24"/>
                <w:szCs w:val="24"/>
              </w:rPr>
              <w:t>唐赟</w:t>
            </w:r>
          </w:p>
        </w:tc>
        <w:tc>
          <w:tcPr>
            <w:tcW w:w="845" w:type="dxa"/>
            <w:vAlign w:val="center"/>
          </w:tcPr>
          <w:p w:rsidR="00B445BE" w:rsidRDefault="008B4B64">
            <w:pPr>
              <w:jc w:val="center"/>
            </w:pPr>
            <w:r>
              <w:rPr>
                <w:color w:val="000000"/>
                <w:sz w:val="24"/>
                <w:szCs w:val="24"/>
              </w:rPr>
              <w:t>交银信用添利债券</w:t>
            </w:r>
            <w:r>
              <w:rPr>
                <w:color w:val="000000"/>
                <w:sz w:val="24"/>
                <w:szCs w:val="24"/>
              </w:rPr>
              <w:t>(LOF)</w:t>
            </w:r>
            <w:r>
              <w:rPr>
                <w:color w:val="000000"/>
                <w:sz w:val="24"/>
                <w:szCs w:val="24"/>
              </w:rPr>
              <w:t>、交银双利债券、交银双轮动债券、交银荣鑫灵活配置混合的基金经理</w:t>
            </w:r>
          </w:p>
        </w:tc>
        <w:tc>
          <w:tcPr>
            <w:tcW w:w="1549" w:type="dxa"/>
            <w:vAlign w:val="center"/>
          </w:tcPr>
          <w:p w:rsidR="00B445BE" w:rsidRDefault="008B4B64">
            <w:pPr>
              <w:jc w:val="center"/>
            </w:pPr>
            <w:r>
              <w:rPr>
                <w:color w:val="000000"/>
                <w:sz w:val="24"/>
                <w:szCs w:val="24"/>
              </w:rPr>
              <w:t>2015-08-04</w:t>
            </w:r>
          </w:p>
        </w:tc>
        <w:tc>
          <w:tcPr>
            <w:tcW w:w="1548" w:type="dxa"/>
            <w:vAlign w:val="center"/>
          </w:tcPr>
          <w:p w:rsidR="00B445BE" w:rsidRDefault="008B4B64">
            <w:pPr>
              <w:jc w:val="center"/>
            </w:pPr>
            <w:r>
              <w:rPr>
                <w:color w:val="000000"/>
                <w:sz w:val="24"/>
                <w:szCs w:val="24"/>
              </w:rPr>
              <w:t>-</w:t>
            </w:r>
          </w:p>
        </w:tc>
        <w:tc>
          <w:tcPr>
            <w:tcW w:w="1407" w:type="dxa"/>
            <w:vAlign w:val="center"/>
          </w:tcPr>
          <w:p w:rsidR="00B445BE" w:rsidRDefault="008B4B64">
            <w:pPr>
              <w:jc w:val="center"/>
            </w:pPr>
            <w:r>
              <w:rPr>
                <w:color w:val="000000"/>
                <w:sz w:val="24"/>
                <w:szCs w:val="24"/>
              </w:rPr>
              <w:t>9</w:t>
            </w:r>
            <w:r>
              <w:rPr>
                <w:color w:val="000000"/>
                <w:sz w:val="24"/>
                <w:szCs w:val="24"/>
              </w:rPr>
              <w:t>年</w:t>
            </w:r>
          </w:p>
        </w:tc>
        <w:tc>
          <w:tcPr>
            <w:tcW w:w="2673" w:type="dxa"/>
            <w:vAlign w:val="center"/>
          </w:tcPr>
          <w:p w:rsidR="00B445BE" w:rsidRDefault="008B4B64">
            <w:r>
              <w:rPr>
                <w:color w:val="000000"/>
                <w:sz w:val="24"/>
                <w:szCs w:val="24"/>
              </w:rPr>
              <w:t>唐赟先生，香港城市大学电子工程硕士。历任渣打银行环球企业部助理客户经理、平安资产管理公司信用分析员。</w:t>
            </w:r>
            <w:r>
              <w:rPr>
                <w:color w:val="000000"/>
                <w:sz w:val="24"/>
                <w:szCs w:val="24"/>
              </w:rPr>
              <w:t>2012</w:t>
            </w:r>
            <w:r>
              <w:rPr>
                <w:color w:val="000000"/>
                <w:sz w:val="24"/>
                <w:szCs w:val="24"/>
              </w:rPr>
              <w:t>年加入交银施罗德基金管理有限公司，历任固定收益研究员、基金经理助理。</w:t>
            </w:r>
            <w:r>
              <w:rPr>
                <w:color w:val="000000"/>
                <w:sz w:val="24"/>
                <w:szCs w:val="24"/>
              </w:rPr>
              <w:t>2015</w:t>
            </w:r>
            <w:r>
              <w:rPr>
                <w:color w:val="000000"/>
                <w:sz w:val="24"/>
                <w:szCs w:val="24"/>
              </w:rPr>
              <w:t>年</w:t>
            </w:r>
            <w:r>
              <w:rPr>
                <w:color w:val="000000"/>
                <w:sz w:val="24"/>
                <w:szCs w:val="24"/>
              </w:rPr>
              <w:t>11</w:t>
            </w:r>
            <w:r>
              <w:rPr>
                <w:color w:val="000000"/>
                <w:sz w:val="24"/>
                <w:szCs w:val="24"/>
              </w:rPr>
              <w:t>月</w:t>
            </w:r>
            <w:r>
              <w:rPr>
                <w:color w:val="000000"/>
                <w:sz w:val="24"/>
                <w:szCs w:val="24"/>
              </w:rPr>
              <w:t>7</w:t>
            </w:r>
            <w:r>
              <w:rPr>
                <w:color w:val="000000"/>
                <w:sz w:val="24"/>
                <w:szCs w:val="24"/>
              </w:rPr>
              <w:t>日至</w:t>
            </w:r>
            <w:r>
              <w:rPr>
                <w:color w:val="000000"/>
                <w:sz w:val="24"/>
                <w:szCs w:val="24"/>
              </w:rPr>
              <w:t>2018</w:t>
            </w:r>
            <w:r>
              <w:rPr>
                <w:color w:val="000000"/>
                <w:sz w:val="24"/>
                <w:szCs w:val="24"/>
              </w:rPr>
              <w:t>年</w:t>
            </w:r>
            <w:r>
              <w:rPr>
                <w:color w:val="000000"/>
                <w:sz w:val="24"/>
                <w:szCs w:val="24"/>
              </w:rPr>
              <w:t>6</w:t>
            </w:r>
            <w:r>
              <w:rPr>
                <w:color w:val="000000"/>
                <w:sz w:val="24"/>
                <w:szCs w:val="24"/>
              </w:rPr>
              <w:t>月</w:t>
            </w:r>
            <w:r>
              <w:rPr>
                <w:color w:val="000000"/>
                <w:sz w:val="24"/>
                <w:szCs w:val="24"/>
              </w:rPr>
              <w:t>1</w:t>
            </w:r>
            <w:r>
              <w:rPr>
                <w:color w:val="000000"/>
                <w:sz w:val="24"/>
                <w:szCs w:val="24"/>
              </w:rPr>
              <w:t>日担任转型前的交银施罗德荣和保本混合型证券投资基金的基金经理。</w:t>
            </w:r>
            <w:r>
              <w:rPr>
                <w:color w:val="000000"/>
                <w:sz w:val="24"/>
                <w:szCs w:val="24"/>
              </w:rPr>
              <w:t>2017</w:t>
            </w:r>
            <w:r>
              <w:rPr>
                <w:color w:val="000000"/>
                <w:sz w:val="24"/>
                <w:szCs w:val="24"/>
              </w:rPr>
              <w:t>年</w:t>
            </w:r>
            <w:r>
              <w:rPr>
                <w:color w:val="000000"/>
                <w:sz w:val="24"/>
                <w:szCs w:val="24"/>
              </w:rPr>
              <w:t>3</w:t>
            </w:r>
            <w:r>
              <w:rPr>
                <w:color w:val="000000"/>
                <w:sz w:val="24"/>
                <w:szCs w:val="24"/>
              </w:rPr>
              <w:t>月</w:t>
            </w:r>
            <w:r>
              <w:rPr>
                <w:color w:val="000000"/>
                <w:sz w:val="24"/>
                <w:szCs w:val="24"/>
              </w:rPr>
              <w:t>31</w:t>
            </w:r>
            <w:r>
              <w:rPr>
                <w:color w:val="000000"/>
                <w:sz w:val="24"/>
                <w:szCs w:val="24"/>
              </w:rPr>
              <w:t>日至</w:t>
            </w:r>
            <w:r>
              <w:rPr>
                <w:color w:val="000000"/>
                <w:sz w:val="24"/>
                <w:szCs w:val="24"/>
              </w:rPr>
              <w:t>2019</w:t>
            </w:r>
            <w:r>
              <w:rPr>
                <w:color w:val="000000"/>
                <w:sz w:val="24"/>
                <w:szCs w:val="24"/>
              </w:rPr>
              <w:t>年</w:t>
            </w:r>
            <w:r>
              <w:rPr>
                <w:color w:val="000000"/>
                <w:sz w:val="24"/>
                <w:szCs w:val="24"/>
              </w:rPr>
              <w:t>10</w:t>
            </w:r>
            <w:r>
              <w:rPr>
                <w:color w:val="000000"/>
                <w:sz w:val="24"/>
                <w:szCs w:val="24"/>
              </w:rPr>
              <w:t>月</w:t>
            </w:r>
            <w:r>
              <w:rPr>
                <w:color w:val="000000"/>
                <w:sz w:val="24"/>
                <w:szCs w:val="24"/>
              </w:rPr>
              <w:t>23</w:t>
            </w:r>
            <w:r>
              <w:rPr>
                <w:color w:val="000000"/>
                <w:sz w:val="24"/>
                <w:szCs w:val="24"/>
              </w:rPr>
              <w:t>日担任交银施罗德裕通纯债债券型证券投资基金的基金经理。</w:t>
            </w:r>
            <w:r>
              <w:rPr>
                <w:color w:val="000000"/>
                <w:sz w:val="24"/>
                <w:szCs w:val="24"/>
              </w:rPr>
              <w:t>2018</w:t>
            </w:r>
            <w:r>
              <w:rPr>
                <w:color w:val="000000"/>
                <w:sz w:val="24"/>
                <w:szCs w:val="24"/>
              </w:rPr>
              <w:t>年</w:t>
            </w:r>
            <w:r>
              <w:rPr>
                <w:color w:val="000000"/>
                <w:sz w:val="24"/>
                <w:szCs w:val="24"/>
              </w:rPr>
              <w:t>6</w:t>
            </w:r>
            <w:r>
              <w:rPr>
                <w:color w:val="000000"/>
                <w:sz w:val="24"/>
                <w:szCs w:val="24"/>
              </w:rPr>
              <w:t>月</w:t>
            </w:r>
            <w:r>
              <w:rPr>
                <w:color w:val="000000"/>
                <w:sz w:val="24"/>
                <w:szCs w:val="24"/>
              </w:rPr>
              <w:t>2</w:t>
            </w:r>
            <w:r>
              <w:rPr>
                <w:color w:val="000000"/>
                <w:sz w:val="24"/>
                <w:szCs w:val="24"/>
              </w:rPr>
              <w:t>日至</w:t>
            </w:r>
            <w:r>
              <w:rPr>
                <w:color w:val="000000"/>
                <w:sz w:val="24"/>
                <w:szCs w:val="24"/>
              </w:rPr>
              <w:t>2019</w:t>
            </w:r>
            <w:r>
              <w:rPr>
                <w:color w:val="000000"/>
                <w:sz w:val="24"/>
                <w:szCs w:val="24"/>
              </w:rPr>
              <w:t>年</w:t>
            </w:r>
            <w:r>
              <w:rPr>
                <w:color w:val="000000"/>
                <w:sz w:val="24"/>
                <w:szCs w:val="24"/>
              </w:rPr>
              <w:t>12</w:t>
            </w:r>
            <w:r>
              <w:rPr>
                <w:color w:val="000000"/>
                <w:sz w:val="24"/>
                <w:szCs w:val="24"/>
              </w:rPr>
              <w:t>月</w:t>
            </w:r>
            <w:r>
              <w:rPr>
                <w:color w:val="000000"/>
                <w:sz w:val="24"/>
                <w:szCs w:val="24"/>
              </w:rPr>
              <w:t>13</w:t>
            </w:r>
            <w:r>
              <w:rPr>
                <w:color w:val="000000"/>
                <w:sz w:val="24"/>
                <w:szCs w:val="24"/>
              </w:rPr>
              <w:t>日担任交银施罗德安心收益债券型证券投资基金的基金经理。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B445BE" w:rsidRDefault="008B4B64">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B445BE" w:rsidRDefault="008B4B64">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w:t>
      </w:r>
      <w:r>
        <w:rPr>
          <w:color w:val="000000"/>
          <w:sz w:val="24"/>
          <w:szCs w:val="24"/>
        </w:rPr>
        <w:lastRenderedPageBreak/>
        <w:t>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B445BE" w:rsidRDefault="008B4B64">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B445BE" w:rsidRDefault="008B4B64">
      <w:pPr>
        <w:spacing w:before="29" w:line="288" w:lineRule="auto"/>
        <w:ind w:firstLineChars="200" w:firstLine="480"/>
        <w:rPr>
          <w:color w:val="000000"/>
          <w:sz w:val="24"/>
          <w:szCs w:val="24"/>
        </w:rPr>
      </w:pPr>
      <w:r>
        <w:rPr>
          <w:color w:val="000000"/>
          <w:sz w:val="24"/>
          <w:szCs w:val="24"/>
        </w:rPr>
        <w:t>本报告期内，四季度初债券收益率出现回调，中美贸易摩擦缓和、通胀上行以及金融数据超预期等利空因素集中出现，进入十一月，央行接连的降息操作超出市场预期，打消了市场对央行货币政策可能受到通胀上行影响而有所收紧的担忧，情绪开始升温，年底临近，受资金面宽松影响，债券收益率有所下行。</w:t>
      </w:r>
    </w:p>
    <w:p w:rsidR="00B445BE" w:rsidRDefault="008B4B64">
      <w:pPr>
        <w:spacing w:before="29" w:line="288" w:lineRule="auto"/>
        <w:ind w:firstLineChars="200" w:firstLine="480"/>
        <w:rPr>
          <w:color w:val="000000"/>
          <w:sz w:val="24"/>
          <w:szCs w:val="24"/>
        </w:rPr>
      </w:pPr>
      <w:r>
        <w:rPr>
          <w:color w:val="000000"/>
          <w:sz w:val="24"/>
          <w:szCs w:val="24"/>
        </w:rPr>
        <w:t>我们认为四季度债市存在配置机会，因此在季度初期的基金操作中，基金适当提升了杠杆，增配了部分收益较好的城投债品种。同时，适当减配了长久期利率品种，以控制回撤，并适度增配了中等久期的信用债品种，以提升底仓的静态收益。</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2020</w:t>
      </w:r>
      <w:r w:rsidRPr="00414345">
        <w:rPr>
          <w:color w:val="000000"/>
          <w:sz w:val="24"/>
          <w:szCs w:val="24"/>
        </w:rPr>
        <w:t>年一季度，经济基本面下行压力仍然存在，经济内生企稳动力不强，同时担心通胀在一季度上行压力会边际掣肘货币政策宽松。因此，我们认为一季度债券市场或以震荡为主。基金策略方面，我们将视融资成本及市场收益率变动情况，择机增配中短久期的信用债品种，控制组合久期风险，维持杠杆操作，并积极关注长端利率的波段交易机会，以期提升基金静态收益。转债方面，我们将以参与一级新股申购的投资策略为主。</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“3.1</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 xml:space="preserve">“3.2.1 </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lastRenderedPageBreak/>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7B5F21" w:rsidRDefault="009C1009" w:rsidP="009C1009">
      <w:pPr>
        <w:autoSpaceDE w:val="0"/>
        <w:autoSpaceDN w:val="0"/>
        <w:adjustRightInd w:val="0"/>
        <w:spacing w:line="360" w:lineRule="auto"/>
        <w:jc w:val="right"/>
        <w:rPr>
          <w:rFonts w:eastAsiaTheme="minorEastAsia"/>
          <w:b/>
          <w:color w:val="000000" w:themeColor="text1"/>
          <w:kern w:val="0"/>
          <w:sz w:val="24"/>
          <w:szCs w:val="24"/>
        </w:rPr>
      </w:pPr>
      <w:r w:rsidRPr="009C1009">
        <w:rPr>
          <w:rFonts w:hint="eastAsia"/>
          <w:color w:val="000000"/>
          <w:kern w:val="0"/>
        </w:rPr>
        <w:t>金额单位：人民币元</w:t>
      </w:r>
    </w:p>
    <w:tbl>
      <w:tblPr>
        <w:tblStyle w:val="af7"/>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18138B">
              <w:rPr>
                <w:rFonts w:eastAsiaTheme="minorEastAsia" w:hint="eastAsia"/>
                <w:color w:val="000000" w:themeColor="text1"/>
                <w:sz w:val="24"/>
                <w:szCs w:val="24"/>
              </w:rPr>
              <w:t>(</w:t>
            </w:r>
            <w:r w:rsidR="0018138B">
              <w:rPr>
                <w:rFonts w:eastAsiaTheme="minorEastAsia"/>
                <w:color w:val="000000" w:themeColor="text1"/>
                <w:sz w:val="24"/>
                <w:szCs w:val="24"/>
              </w:rPr>
              <w:t>%</w:t>
            </w:r>
            <w:r w:rsidR="0018138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2,152,101,591.20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90.25</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2,152,101,591.20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90.25</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34,160,163.45</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1.43</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198,407,975.56</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8.32</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2,384,669,730.21</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本基金本报告期末未持有股票。</w:t>
      </w: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本基金本报告期末未持有股票。</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 xml:space="preserve">5.4 </w:t>
      </w:r>
      <w:r w:rsidRPr="00414345">
        <w:rPr>
          <w:b/>
          <w:bCs/>
          <w:color w:val="000000"/>
          <w:kern w:val="0"/>
          <w:sz w:val="24"/>
          <w:szCs w:val="24"/>
        </w:rPr>
        <w:t>报告期末按债券品种分类的债券投资组合</w:t>
      </w:r>
    </w:p>
    <w:p w:rsidR="00CE7169" w:rsidRPr="00CE7169"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7,495,992.00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0.42</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120,040,407.50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6.78</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89,689,407.50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5.07</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652,681,000.00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36.88</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140,464,000.00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7.94</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1,230,194,000.00</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69.51</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1,226,191.70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0.07</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2,152,101,591.20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121.60</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5B4C8F" w:rsidRPr="005B4C8F"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B445BE">
        <w:trPr>
          <w:jc w:val="center"/>
        </w:trPr>
        <w:tc>
          <w:tcPr>
            <w:tcW w:w="850" w:type="dxa"/>
            <w:vAlign w:val="center"/>
          </w:tcPr>
          <w:p w:rsidR="00B445BE" w:rsidRDefault="008B4B64">
            <w:pPr>
              <w:jc w:val="center"/>
            </w:pPr>
            <w:r>
              <w:rPr>
                <w:color w:val="000000"/>
                <w:sz w:val="24"/>
                <w:szCs w:val="24"/>
              </w:rPr>
              <w:t>1</w:t>
            </w:r>
          </w:p>
        </w:tc>
        <w:tc>
          <w:tcPr>
            <w:tcW w:w="1475" w:type="dxa"/>
            <w:vAlign w:val="center"/>
          </w:tcPr>
          <w:p w:rsidR="00B445BE" w:rsidRDefault="008B4B64">
            <w:pPr>
              <w:jc w:val="center"/>
            </w:pPr>
            <w:r>
              <w:rPr>
                <w:color w:val="000000"/>
                <w:sz w:val="24"/>
                <w:szCs w:val="24"/>
              </w:rPr>
              <w:t>170209</w:t>
            </w:r>
          </w:p>
        </w:tc>
        <w:tc>
          <w:tcPr>
            <w:tcW w:w="1769" w:type="dxa"/>
            <w:vAlign w:val="center"/>
          </w:tcPr>
          <w:p w:rsidR="00B445BE" w:rsidRDefault="008B4B64">
            <w:pPr>
              <w:jc w:val="center"/>
            </w:pPr>
            <w:r>
              <w:rPr>
                <w:color w:val="000000"/>
                <w:sz w:val="24"/>
                <w:szCs w:val="24"/>
              </w:rPr>
              <w:t>17</w:t>
            </w:r>
            <w:r>
              <w:rPr>
                <w:color w:val="000000"/>
                <w:sz w:val="24"/>
                <w:szCs w:val="24"/>
              </w:rPr>
              <w:t>国开</w:t>
            </w:r>
            <w:r>
              <w:rPr>
                <w:color w:val="000000"/>
                <w:sz w:val="24"/>
                <w:szCs w:val="24"/>
              </w:rPr>
              <w:t>09</w:t>
            </w:r>
          </w:p>
        </w:tc>
        <w:tc>
          <w:tcPr>
            <w:tcW w:w="1387" w:type="dxa"/>
            <w:vAlign w:val="center"/>
          </w:tcPr>
          <w:p w:rsidR="00B445BE" w:rsidRDefault="008B4B64">
            <w:pPr>
              <w:jc w:val="right"/>
            </w:pPr>
            <w:r>
              <w:rPr>
                <w:color w:val="000000"/>
                <w:sz w:val="24"/>
                <w:szCs w:val="24"/>
              </w:rPr>
              <w:t>700,000</w:t>
            </w:r>
          </w:p>
        </w:tc>
        <w:tc>
          <w:tcPr>
            <w:tcW w:w="2150" w:type="dxa"/>
            <w:vAlign w:val="center"/>
          </w:tcPr>
          <w:p w:rsidR="00B445BE" w:rsidRDefault="008B4B64">
            <w:pPr>
              <w:jc w:val="right"/>
            </w:pPr>
            <w:r>
              <w:rPr>
                <w:color w:val="000000"/>
                <w:sz w:val="24"/>
                <w:szCs w:val="24"/>
              </w:rPr>
              <w:t>70,833,000.00</w:t>
            </w:r>
          </w:p>
        </w:tc>
        <w:tc>
          <w:tcPr>
            <w:tcW w:w="1237" w:type="dxa"/>
            <w:vAlign w:val="center"/>
          </w:tcPr>
          <w:p w:rsidR="00B445BE" w:rsidRDefault="008B4B64">
            <w:pPr>
              <w:jc w:val="right"/>
            </w:pPr>
            <w:r>
              <w:rPr>
                <w:color w:val="000000"/>
                <w:sz w:val="24"/>
                <w:szCs w:val="24"/>
              </w:rPr>
              <w:t>4.00</w:t>
            </w:r>
          </w:p>
        </w:tc>
      </w:tr>
      <w:tr w:rsidR="00B445BE">
        <w:trPr>
          <w:jc w:val="center"/>
        </w:trPr>
        <w:tc>
          <w:tcPr>
            <w:tcW w:w="850" w:type="dxa"/>
            <w:vAlign w:val="center"/>
          </w:tcPr>
          <w:p w:rsidR="00B445BE" w:rsidRDefault="008B4B64">
            <w:pPr>
              <w:jc w:val="center"/>
            </w:pPr>
            <w:r>
              <w:rPr>
                <w:color w:val="000000"/>
                <w:sz w:val="24"/>
                <w:szCs w:val="24"/>
              </w:rPr>
              <w:t>2</w:t>
            </w:r>
          </w:p>
        </w:tc>
        <w:tc>
          <w:tcPr>
            <w:tcW w:w="1475" w:type="dxa"/>
            <w:vAlign w:val="center"/>
          </w:tcPr>
          <w:p w:rsidR="00B445BE" w:rsidRDefault="008B4B64">
            <w:pPr>
              <w:jc w:val="center"/>
            </w:pPr>
            <w:r>
              <w:rPr>
                <w:color w:val="000000"/>
                <w:sz w:val="24"/>
                <w:szCs w:val="24"/>
              </w:rPr>
              <w:t>1580193</w:t>
            </w:r>
          </w:p>
        </w:tc>
        <w:tc>
          <w:tcPr>
            <w:tcW w:w="1769" w:type="dxa"/>
            <w:vAlign w:val="center"/>
          </w:tcPr>
          <w:p w:rsidR="00B445BE" w:rsidRDefault="008B4B64">
            <w:pPr>
              <w:jc w:val="center"/>
            </w:pPr>
            <w:r>
              <w:rPr>
                <w:color w:val="000000"/>
                <w:sz w:val="24"/>
                <w:szCs w:val="24"/>
              </w:rPr>
              <w:t>15</w:t>
            </w:r>
            <w:r>
              <w:rPr>
                <w:color w:val="000000"/>
                <w:sz w:val="24"/>
                <w:szCs w:val="24"/>
              </w:rPr>
              <w:t>洪轨债</w:t>
            </w:r>
            <w:r>
              <w:rPr>
                <w:color w:val="000000"/>
                <w:sz w:val="24"/>
                <w:szCs w:val="24"/>
              </w:rPr>
              <w:t>02</w:t>
            </w:r>
          </w:p>
        </w:tc>
        <w:tc>
          <w:tcPr>
            <w:tcW w:w="1387" w:type="dxa"/>
            <w:vAlign w:val="center"/>
          </w:tcPr>
          <w:p w:rsidR="00B445BE" w:rsidRDefault="008B4B64">
            <w:pPr>
              <w:jc w:val="right"/>
            </w:pPr>
            <w:r>
              <w:rPr>
                <w:color w:val="000000"/>
                <w:sz w:val="24"/>
                <w:szCs w:val="24"/>
              </w:rPr>
              <w:t>600,000</w:t>
            </w:r>
          </w:p>
        </w:tc>
        <w:tc>
          <w:tcPr>
            <w:tcW w:w="2150" w:type="dxa"/>
            <w:vAlign w:val="center"/>
          </w:tcPr>
          <w:p w:rsidR="00B445BE" w:rsidRDefault="008B4B64">
            <w:pPr>
              <w:jc w:val="right"/>
            </w:pPr>
            <w:r>
              <w:rPr>
                <w:color w:val="000000"/>
                <w:sz w:val="24"/>
                <w:szCs w:val="24"/>
              </w:rPr>
              <w:t>60,846,000.00</w:t>
            </w:r>
          </w:p>
        </w:tc>
        <w:tc>
          <w:tcPr>
            <w:tcW w:w="1237" w:type="dxa"/>
            <w:vAlign w:val="center"/>
          </w:tcPr>
          <w:p w:rsidR="00B445BE" w:rsidRDefault="008B4B64">
            <w:pPr>
              <w:jc w:val="right"/>
            </w:pPr>
            <w:r>
              <w:rPr>
                <w:color w:val="000000"/>
                <w:sz w:val="24"/>
                <w:szCs w:val="24"/>
              </w:rPr>
              <w:t>3.44</w:t>
            </w:r>
          </w:p>
        </w:tc>
      </w:tr>
      <w:tr w:rsidR="00B445BE">
        <w:trPr>
          <w:jc w:val="center"/>
        </w:trPr>
        <w:tc>
          <w:tcPr>
            <w:tcW w:w="850" w:type="dxa"/>
            <w:vAlign w:val="center"/>
          </w:tcPr>
          <w:p w:rsidR="00B445BE" w:rsidRDefault="008B4B64">
            <w:pPr>
              <w:jc w:val="center"/>
            </w:pPr>
            <w:r>
              <w:rPr>
                <w:color w:val="000000"/>
                <w:sz w:val="24"/>
                <w:szCs w:val="24"/>
              </w:rPr>
              <w:t>3</w:t>
            </w:r>
          </w:p>
        </w:tc>
        <w:tc>
          <w:tcPr>
            <w:tcW w:w="1475" w:type="dxa"/>
            <w:vAlign w:val="center"/>
          </w:tcPr>
          <w:p w:rsidR="00B445BE" w:rsidRDefault="008B4B64">
            <w:pPr>
              <w:jc w:val="center"/>
            </w:pPr>
            <w:r>
              <w:rPr>
                <w:color w:val="000000"/>
                <w:sz w:val="24"/>
                <w:szCs w:val="24"/>
              </w:rPr>
              <w:t>101800188</w:t>
            </w:r>
          </w:p>
        </w:tc>
        <w:tc>
          <w:tcPr>
            <w:tcW w:w="1769" w:type="dxa"/>
            <w:vAlign w:val="center"/>
          </w:tcPr>
          <w:p w:rsidR="00B445BE" w:rsidRDefault="008B4B64">
            <w:pPr>
              <w:jc w:val="center"/>
            </w:pPr>
            <w:r>
              <w:rPr>
                <w:color w:val="000000"/>
                <w:sz w:val="24"/>
                <w:szCs w:val="24"/>
              </w:rPr>
              <w:t>18</w:t>
            </w:r>
            <w:r>
              <w:rPr>
                <w:color w:val="000000"/>
                <w:sz w:val="24"/>
                <w:szCs w:val="24"/>
              </w:rPr>
              <w:t>黄冈城投</w:t>
            </w:r>
            <w:r>
              <w:rPr>
                <w:color w:val="000000"/>
                <w:sz w:val="24"/>
                <w:szCs w:val="24"/>
              </w:rPr>
              <w:t>MTN001</w:t>
            </w:r>
          </w:p>
        </w:tc>
        <w:tc>
          <w:tcPr>
            <w:tcW w:w="1387" w:type="dxa"/>
            <w:vAlign w:val="center"/>
          </w:tcPr>
          <w:p w:rsidR="00B445BE" w:rsidRDefault="008B4B64">
            <w:pPr>
              <w:jc w:val="right"/>
            </w:pPr>
            <w:r>
              <w:rPr>
                <w:color w:val="000000"/>
                <w:sz w:val="24"/>
                <w:szCs w:val="24"/>
              </w:rPr>
              <w:t>500,000</w:t>
            </w:r>
          </w:p>
        </w:tc>
        <w:tc>
          <w:tcPr>
            <w:tcW w:w="2150" w:type="dxa"/>
            <w:vAlign w:val="center"/>
          </w:tcPr>
          <w:p w:rsidR="00B445BE" w:rsidRDefault="008B4B64">
            <w:pPr>
              <w:jc w:val="right"/>
            </w:pPr>
            <w:r>
              <w:rPr>
                <w:color w:val="000000"/>
                <w:sz w:val="24"/>
                <w:szCs w:val="24"/>
              </w:rPr>
              <w:t>52,085,000.00</w:t>
            </w:r>
          </w:p>
        </w:tc>
        <w:tc>
          <w:tcPr>
            <w:tcW w:w="1237" w:type="dxa"/>
            <w:vAlign w:val="center"/>
          </w:tcPr>
          <w:p w:rsidR="00B445BE" w:rsidRDefault="008B4B64">
            <w:pPr>
              <w:jc w:val="right"/>
            </w:pPr>
            <w:r>
              <w:rPr>
                <w:color w:val="000000"/>
                <w:sz w:val="24"/>
                <w:szCs w:val="24"/>
              </w:rPr>
              <w:t>2.94</w:t>
            </w:r>
          </w:p>
        </w:tc>
      </w:tr>
      <w:tr w:rsidR="00B445BE">
        <w:trPr>
          <w:jc w:val="center"/>
        </w:trPr>
        <w:tc>
          <w:tcPr>
            <w:tcW w:w="850" w:type="dxa"/>
            <w:vAlign w:val="center"/>
          </w:tcPr>
          <w:p w:rsidR="00B445BE" w:rsidRDefault="008B4B64">
            <w:pPr>
              <w:jc w:val="center"/>
            </w:pPr>
            <w:r>
              <w:rPr>
                <w:color w:val="000000"/>
                <w:sz w:val="24"/>
                <w:szCs w:val="24"/>
              </w:rPr>
              <w:t>4</w:t>
            </w:r>
          </w:p>
        </w:tc>
        <w:tc>
          <w:tcPr>
            <w:tcW w:w="1475" w:type="dxa"/>
            <w:vAlign w:val="center"/>
          </w:tcPr>
          <w:p w:rsidR="00B445BE" w:rsidRDefault="008B4B64">
            <w:pPr>
              <w:jc w:val="center"/>
            </w:pPr>
            <w:r>
              <w:rPr>
                <w:color w:val="000000"/>
                <w:sz w:val="24"/>
                <w:szCs w:val="24"/>
              </w:rPr>
              <w:t>101801021</w:t>
            </w:r>
          </w:p>
        </w:tc>
        <w:tc>
          <w:tcPr>
            <w:tcW w:w="1769" w:type="dxa"/>
            <w:vAlign w:val="center"/>
          </w:tcPr>
          <w:p w:rsidR="00B445BE" w:rsidRDefault="008B4B64">
            <w:pPr>
              <w:jc w:val="center"/>
            </w:pPr>
            <w:r>
              <w:rPr>
                <w:color w:val="000000"/>
                <w:sz w:val="24"/>
                <w:szCs w:val="24"/>
              </w:rPr>
              <w:t>18</w:t>
            </w:r>
            <w:r>
              <w:rPr>
                <w:color w:val="000000"/>
                <w:sz w:val="24"/>
                <w:szCs w:val="24"/>
              </w:rPr>
              <w:t>十堰城投</w:t>
            </w:r>
            <w:r>
              <w:rPr>
                <w:color w:val="000000"/>
                <w:sz w:val="24"/>
                <w:szCs w:val="24"/>
              </w:rPr>
              <w:t>MTN002</w:t>
            </w:r>
          </w:p>
        </w:tc>
        <w:tc>
          <w:tcPr>
            <w:tcW w:w="1387" w:type="dxa"/>
            <w:vAlign w:val="center"/>
          </w:tcPr>
          <w:p w:rsidR="00B445BE" w:rsidRDefault="008B4B64">
            <w:pPr>
              <w:jc w:val="right"/>
            </w:pPr>
            <w:r>
              <w:rPr>
                <w:color w:val="000000"/>
                <w:sz w:val="24"/>
                <w:szCs w:val="24"/>
              </w:rPr>
              <w:t>500,000</w:t>
            </w:r>
          </w:p>
        </w:tc>
        <w:tc>
          <w:tcPr>
            <w:tcW w:w="2150" w:type="dxa"/>
            <w:vAlign w:val="center"/>
          </w:tcPr>
          <w:p w:rsidR="00B445BE" w:rsidRDefault="008B4B64">
            <w:pPr>
              <w:jc w:val="right"/>
            </w:pPr>
            <w:r>
              <w:rPr>
                <w:color w:val="000000"/>
                <w:sz w:val="24"/>
                <w:szCs w:val="24"/>
              </w:rPr>
              <w:t>51,915,000.00</w:t>
            </w:r>
          </w:p>
        </w:tc>
        <w:tc>
          <w:tcPr>
            <w:tcW w:w="1237" w:type="dxa"/>
            <w:vAlign w:val="center"/>
          </w:tcPr>
          <w:p w:rsidR="00B445BE" w:rsidRDefault="008B4B64">
            <w:pPr>
              <w:jc w:val="right"/>
            </w:pPr>
            <w:r>
              <w:rPr>
                <w:color w:val="000000"/>
                <w:sz w:val="24"/>
                <w:szCs w:val="24"/>
              </w:rPr>
              <w:t>2.93</w:t>
            </w:r>
          </w:p>
        </w:tc>
      </w:tr>
      <w:tr w:rsidR="00B445BE">
        <w:trPr>
          <w:jc w:val="center"/>
        </w:trPr>
        <w:tc>
          <w:tcPr>
            <w:tcW w:w="850" w:type="dxa"/>
            <w:vAlign w:val="center"/>
          </w:tcPr>
          <w:p w:rsidR="00B445BE" w:rsidRDefault="008B4B64">
            <w:pPr>
              <w:jc w:val="center"/>
            </w:pPr>
            <w:r>
              <w:rPr>
                <w:color w:val="000000"/>
                <w:sz w:val="24"/>
                <w:szCs w:val="24"/>
              </w:rPr>
              <w:t>5</w:t>
            </w:r>
          </w:p>
        </w:tc>
        <w:tc>
          <w:tcPr>
            <w:tcW w:w="1475" w:type="dxa"/>
            <w:vAlign w:val="center"/>
          </w:tcPr>
          <w:p w:rsidR="00B445BE" w:rsidRDefault="008B4B64">
            <w:pPr>
              <w:jc w:val="center"/>
            </w:pPr>
            <w:r>
              <w:rPr>
                <w:color w:val="000000"/>
                <w:sz w:val="24"/>
                <w:szCs w:val="24"/>
              </w:rPr>
              <w:t>101800160</w:t>
            </w:r>
          </w:p>
        </w:tc>
        <w:tc>
          <w:tcPr>
            <w:tcW w:w="1769" w:type="dxa"/>
            <w:vAlign w:val="center"/>
          </w:tcPr>
          <w:p w:rsidR="00B445BE" w:rsidRDefault="008B4B64">
            <w:pPr>
              <w:jc w:val="center"/>
            </w:pPr>
            <w:r>
              <w:rPr>
                <w:color w:val="000000"/>
                <w:sz w:val="24"/>
                <w:szCs w:val="24"/>
              </w:rPr>
              <w:t>18</w:t>
            </w:r>
            <w:r>
              <w:rPr>
                <w:color w:val="000000"/>
                <w:sz w:val="24"/>
                <w:szCs w:val="24"/>
              </w:rPr>
              <w:t>港兴港投</w:t>
            </w:r>
            <w:r>
              <w:rPr>
                <w:color w:val="000000"/>
                <w:sz w:val="24"/>
                <w:szCs w:val="24"/>
              </w:rPr>
              <w:t>MTN001</w:t>
            </w:r>
          </w:p>
        </w:tc>
        <w:tc>
          <w:tcPr>
            <w:tcW w:w="1387" w:type="dxa"/>
            <w:vAlign w:val="center"/>
          </w:tcPr>
          <w:p w:rsidR="00B445BE" w:rsidRDefault="008B4B64">
            <w:pPr>
              <w:jc w:val="right"/>
            </w:pPr>
            <w:r>
              <w:rPr>
                <w:color w:val="000000"/>
                <w:sz w:val="24"/>
                <w:szCs w:val="24"/>
              </w:rPr>
              <w:t>500,000</w:t>
            </w:r>
          </w:p>
        </w:tc>
        <w:tc>
          <w:tcPr>
            <w:tcW w:w="2150" w:type="dxa"/>
            <w:vAlign w:val="center"/>
          </w:tcPr>
          <w:p w:rsidR="00B445BE" w:rsidRDefault="008B4B64">
            <w:pPr>
              <w:jc w:val="right"/>
            </w:pPr>
            <w:r>
              <w:rPr>
                <w:color w:val="000000"/>
                <w:sz w:val="24"/>
                <w:szCs w:val="24"/>
              </w:rPr>
              <w:t>51,870,000.00</w:t>
            </w:r>
          </w:p>
        </w:tc>
        <w:tc>
          <w:tcPr>
            <w:tcW w:w="1237" w:type="dxa"/>
            <w:vAlign w:val="center"/>
          </w:tcPr>
          <w:p w:rsidR="00B445BE" w:rsidRDefault="008B4B64">
            <w:pPr>
              <w:jc w:val="right"/>
            </w:pPr>
            <w:r>
              <w:rPr>
                <w:color w:val="000000"/>
                <w:sz w:val="24"/>
                <w:szCs w:val="24"/>
              </w:rPr>
              <w:t>2.93</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lastRenderedPageBreak/>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R="00DD7A00" w:rsidRPr="00414345" w:rsidRDefault="004A0AA9" w:rsidP="00DD7A00">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金额单位：人民币元</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52,444.24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156,113,539.26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40,254,132.51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1,987,859.55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198,407,975.56</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9379C0" w:rsidRPr="009379C0" w:rsidRDefault="009379C0" w:rsidP="009379C0">
      <w:pPr>
        <w:spacing w:before="29" w:line="288" w:lineRule="auto"/>
        <w:rPr>
          <w:rFonts w:hint="eastAsia"/>
          <w:b/>
          <w:bCs/>
          <w:color w:val="000000"/>
          <w:kern w:val="0"/>
          <w:sz w:val="24"/>
          <w:szCs w:val="24"/>
        </w:rPr>
      </w:pPr>
      <w:r w:rsidRPr="009379C0">
        <w:rPr>
          <w:rFonts w:hint="eastAsia"/>
          <w:b/>
          <w:bCs/>
          <w:color w:val="000000"/>
          <w:kern w:val="0"/>
          <w:sz w:val="24"/>
          <w:szCs w:val="24"/>
        </w:rPr>
        <w:t>5.11.5</w:t>
      </w:r>
      <w:r w:rsidRPr="009379C0">
        <w:rPr>
          <w:rFonts w:hint="eastAsia"/>
          <w:b/>
          <w:bCs/>
          <w:color w:val="000000"/>
          <w:kern w:val="0"/>
          <w:sz w:val="24"/>
          <w:szCs w:val="24"/>
        </w:rPr>
        <w:t>报告期末前十名股票中存在流通受限情况的说明</w:t>
      </w:r>
    </w:p>
    <w:p w:rsidR="009379C0" w:rsidRPr="009379C0" w:rsidRDefault="009379C0" w:rsidP="009379C0">
      <w:pPr>
        <w:spacing w:before="29" w:line="288" w:lineRule="auto"/>
        <w:rPr>
          <w:bCs/>
          <w:color w:val="000000"/>
          <w:kern w:val="0"/>
          <w:sz w:val="24"/>
          <w:szCs w:val="24"/>
        </w:rPr>
      </w:pPr>
      <w:bookmarkStart w:id="0" w:name="_GoBack"/>
      <w:r w:rsidRPr="009379C0">
        <w:rPr>
          <w:rFonts w:hint="eastAsia"/>
          <w:bCs/>
          <w:color w:val="000000"/>
          <w:kern w:val="0"/>
          <w:sz w:val="24"/>
          <w:szCs w:val="24"/>
        </w:rPr>
        <w:t>本基金本报告期末未持有股票。</w:t>
      </w:r>
    </w:p>
    <w:bookmarkEnd w:id="0"/>
    <w:p w:rsidR="003136AC" w:rsidRPr="003136AC" w:rsidRDefault="003136AC" w:rsidP="009379C0">
      <w:pPr>
        <w:spacing w:before="29" w:line="288" w:lineRule="auto"/>
        <w:rPr>
          <w:b/>
          <w:bCs/>
          <w:color w:val="000000"/>
          <w:kern w:val="0"/>
          <w:sz w:val="24"/>
          <w:szCs w:val="24"/>
        </w:rPr>
      </w:pPr>
      <w:r w:rsidRPr="003136AC">
        <w:rPr>
          <w:rFonts w:hint="eastAsia"/>
          <w:b/>
          <w:bCs/>
          <w:color w:val="000000"/>
          <w:kern w:val="0"/>
          <w:sz w:val="24"/>
          <w:szCs w:val="24"/>
        </w:rPr>
        <w:t>5.11.6</w:t>
      </w:r>
      <w:r w:rsidRPr="003136AC">
        <w:rPr>
          <w:rFonts w:hint="eastAsia"/>
          <w:b/>
          <w:bCs/>
          <w:color w:val="000000"/>
          <w:kern w:val="0"/>
          <w:sz w:val="24"/>
          <w:szCs w:val="24"/>
        </w:rPr>
        <w:t>投资组合报告附注的其他文字描述部分</w:t>
      </w:r>
    </w:p>
    <w:p w:rsidR="006B2FF6" w:rsidRPr="003136AC" w:rsidRDefault="003136AC" w:rsidP="003136AC">
      <w:pPr>
        <w:spacing w:before="29" w:line="288" w:lineRule="auto"/>
        <w:rPr>
          <w:color w:val="000000"/>
          <w:sz w:val="24"/>
          <w:szCs w:val="24"/>
        </w:rPr>
      </w:pPr>
      <w:r w:rsidRPr="003136AC">
        <w:rPr>
          <w:rFonts w:hint="eastAsia"/>
          <w:bCs/>
          <w:color w:val="000000"/>
          <w:kern w:val="0"/>
          <w:sz w:val="24"/>
          <w:szCs w:val="24"/>
        </w:rPr>
        <w:t>由于四舍五入的原因，分项之和与合计项之间可能存在尾差。</w:t>
      </w:r>
    </w:p>
    <w:p w:rsidR="001F3E2A" w:rsidRDefault="001F3E2A" w:rsidP="00C15CAC">
      <w:pPr>
        <w:spacing w:before="29" w:line="288" w:lineRule="auto"/>
        <w:ind w:firstLineChars="200" w:firstLine="480"/>
        <w:rPr>
          <w:color w:val="000000"/>
          <w:sz w:val="24"/>
          <w:szCs w:val="24"/>
        </w:rPr>
      </w:pP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1,887,935,431.17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568,606,249.50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910,305,400.16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1,546,236,280.51</w:t>
            </w:r>
          </w:p>
        </w:tc>
      </w:tr>
    </w:tbl>
    <w:p w:rsidR="00B445BE" w:rsidRDefault="008B4B64">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11537B">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§8</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bCs/>
          <w:color w:val="000000"/>
          <w:kern w:val="0"/>
          <w:sz w:val="24"/>
          <w:szCs w:val="24"/>
        </w:rPr>
        <w:t>8.</w:t>
      </w:r>
      <w:r w:rsidRPr="009A5C99">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4F4D27" w:rsidTr="00424D30">
        <w:tc>
          <w:tcPr>
            <w:tcW w:w="993" w:type="dxa"/>
            <w:vMerge w:val="restart"/>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xml:space="preserve">  </w:t>
            </w:r>
          </w:p>
        </w:tc>
        <w:tc>
          <w:tcPr>
            <w:tcW w:w="5670" w:type="dxa"/>
            <w:gridSpan w:val="5"/>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w="2549" w:type="dxa"/>
            <w:gridSpan w:val="2"/>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w="993" w:type="dxa"/>
            <w:vMerge/>
            <w:vAlign w:val="center"/>
          </w:tcPr>
          <w:p w:rsidR="003C50AD" w:rsidRPr="004F4D27" w:rsidRDefault="003C50AD" w:rsidP="00424D30">
            <w:pPr>
              <w:autoSpaceDE w:val="0"/>
              <w:autoSpaceDN w:val="0"/>
              <w:adjustRightInd w:val="0"/>
              <w:jc w:val="center"/>
              <w:rPr>
                <w:rFonts w:ascii="宋体" w:hAnsi="宋体"/>
                <w:b/>
                <w:bCs/>
                <w:color w:val="000000"/>
                <w:kern w:val="0"/>
              </w:rPr>
            </w:pPr>
          </w:p>
        </w:tc>
        <w:tc>
          <w:tcPr>
            <w:tcW w:w="992"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w="1843"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w="851"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期初份额</w:t>
            </w:r>
          </w:p>
        </w:tc>
        <w:tc>
          <w:tcPr>
            <w:tcW w:w="850"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申购份额</w:t>
            </w:r>
          </w:p>
        </w:tc>
        <w:tc>
          <w:tcPr>
            <w:tcW w:w="1134"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赎回份额</w:t>
            </w:r>
          </w:p>
        </w:tc>
        <w:tc>
          <w:tcPr>
            <w:tcW w:w="1419"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w="1130"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rsidR="00B445BE">
        <w:tc>
          <w:tcPr>
            <w:tcW w:w="993" w:type="dxa"/>
            <w:vMerge w:val="restart"/>
          </w:tcPr>
          <w:p w:rsidR="00B445BE" w:rsidRDefault="00B445BE"/>
          <w:p w:rsidR="00B445BE" w:rsidRDefault="008B4B64">
            <w:r>
              <w:rPr>
                <w:rFonts w:ascii="宋体" w:hAnsi="宋体" w:hint="eastAsia"/>
                <w:bCs/>
                <w:color w:val="000000"/>
                <w:kern w:val="0"/>
              </w:rPr>
              <w:t>机构</w:t>
            </w:r>
          </w:p>
        </w:tc>
        <w:tc>
          <w:tcPr>
            <w:tcW w:w="992" w:type="dxa"/>
            <w:vAlign w:val="center"/>
          </w:tcPr>
          <w:p w:rsidR="00B445BE" w:rsidRDefault="008B4B64">
            <w:pPr>
              <w:jc w:val="center"/>
            </w:pPr>
            <w:r>
              <w:rPr>
                <w:rFonts w:ascii="宋体" w:hAnsi="宋体"/>
                <w:color w:val="000000"/>
                <w:kern w:val="0"/>
              </w:rPr>
              <w:t>1</w:t>
            </w:r>
          </w:p>
        </w:tc>
        <w:tc>
          <w:tcPr>
            <w:tcW w:w="1843" w:type="dxa"/>
            <w:vAlign w:val="center"/>
          </w:tcPr>
          <w:p w:rsidR="00B445BE" w:rsidRDefault="008B4B64">
            <w:pPr>
              <w:jc w:val="center"/>
            </w:pPr>
            <w:r>
              <w:rPr>
                <w:rFonts w:ascii="宋体" w:hAnsi="宋体"/>
                <w:color w:val="000000"/>
                <w:kern w:val="0"/>
              </w:rPr>
              <w:t>2019/10/1-2019/12/31</w:t>
            </w:r>
          </w:p>
        </w:tc>
        <w:tc>
          <w:tcPr>
            <w:tcW w:w="851" w:type="dxa"/>
            <w:vAlign w:val="center"/>
          </w:tcPr>
          <w:p w:rsidR="00B445BE" w:rsidRDefault="008B4B64">
            <w:pPr>
              <w:jc w:val="center"/>
            </w:pPr>
            <w:r>
              <w:rPr>
                <w:rFonts w:ascii="宋体" w:hAnsi="宋体"/>
                <w:color w:val="000000"/>
                <w:kern w:val="0"/>
              </w:rPr>
              <w:t>-</w:t>
            </w:r>
          </w:p>
        </w:tc>
        <w:tc>
          <w:tcPr>
            <w:tcW w:w="850" w:type="dxa"/>
            <w:vAlign w:val="center"/>
          </w:tcPr>
          <w:p w:rsidR="00B445BE" w:rsidRDefault="008B4B64">
            <w:pPr>
              <w:jc w:val="center"/>
            </w:pPr>
            <w:r>
              <w:rPr>
                <w:rFonts w:ascii="宋体" w:hAnsi="宋体"/>
                <w:color w:val="000000"/>
                <w:kern w:val="0"/>
              </w:rPr>
              <w:t>376,202,099.74</w:t>
            </w:r>
          </w:p>
        </w:tc>
        <w:tc>
          <w:tcPr>
            <w:tcW w:w="1134" w:type="dxa"/>
            <w:vAlign w:val="center"/>
          </w:tcPr>
          <w:p w:rsidR="00B445BE" w:rsidRDefault="008B4B64">
            <w:pPr>
              <w:jc w:val="center"/>
            </w:pPr>
            <w:r>
              <w:rPr>
                <w:rFonts w:ascii="宋体" w:hAnsi="宋体"/>
                <w:color w:val="000000"/>
                <w:kern w:val="0"/>
              </w:rPr>
              <w:t>-</w:t>
            </w:r>
          </w:p>
        </w:tc>
        <w:tc>
          <w:tcPr>
            <w:tcW w:w="1419" w:type="dxa"/>
            <w:vAlign w:val="center"/>
          </w:tcPr>
          <w:p w:rsidR="00B445BE" w:rsidRDefault="008B4B64">
            <w:pPr>
              <w:jc w:val="center"/>
            </w:pPr>
            <w:r>
              <w:rPr>
                <w:rFonts w:ascii="宋体" w:hAnsi="宋体"/>
                <w:color w:val="000000"/>
                <w:kern w:val="0"/>
              </w:rPr>
              <w:t>376,202,099.74</w:t>
            </w:r>
          </w:p>
        </w:tc>
        <w:tc>
          <w:tcPr>
            <w:tcW w:w="1130" w:type="dxa"/>
            <w:vAlign w:val="center"/>
          </w:tcPr>
          <w:p w:rsidR="00B445BE" w:rsidRDefault="008B4B64">
            <w:pPr>
              <w:jc w:val="center"/>
            </w:pPr>
            <w:r>
              <w:rPr>
                <w:rFonts w:ascii="宋体" w:hAnsi="宋体"/>
                <w:color w:val="000000"/>
                <w:kern w:val="0"/>
              </w:rPr>
              <w:t>24.33%</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center"/>
              <w:rPr>
                <w:rFonts w:ascii="宋体" w:hAnsi="宋体"/>
                <w:kern w:val="0"/>
              </w:rPr>
            </w:pPr>
            <w:r w:rsidRPr="004F4D27">
              <w:rPr>
                <w:rFonts w:ascii="宋体" w:hAnsi="宋体"/>
                <w:color w:val="000000"/>
                <w:kern w:val="0"/>
              </w:rPr>
              <w:t>产品特有风险</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left"/>
              <w:rPr>
                <w:rFonts w:ascii="宋体" w:hAnsi="宋体"/>
                <w:kern w:val="0"/>
              </w:rPr>
            </w:pPr>
            <w:r w:rsidRPr="004F4D27">
              <w:rPr>
                <w:rFonts w:ascii="宋体" w:hAnsi="宋体" w:hint="eastAsia"/>
                <w:kern w:val="0"/>
              </w:rPr>
              <w:t>本基金本报告期内出现单一投资者持有基金份额比例超过基金总份额20%的情况。如该类投资者集</w:t>
            </w:r>
            <w:r w:rsidRPr="004F4D27">
              <w:rPr>
                <w:rFonts w:ascii="宋体" w:hAnsi="宋体" w:hint="eastAsia"/>
                <w:kern w:val="0"/>
              </w:rPr>
              <w:lastRenderedPageBreak/>
              <w:t>中赎回，可能会对本基金带来流动性冲击，从而影响基金的投资运作和收益水平。基金管理人将加强流动性管理，防范相关风险，保护持有人利益。</w:t>
            </w:r>
          </w:p>
        </w:tc>
      </w:tr>
    </w:tbl>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hint="eastAsia"/>
          <w:b/>
          <w:bCs/>
          <w:color w:val="000000"/>
          <w:kern w:val="0"/>
          <w:sz w:val="24"/>
          <w:szCs w:val="24"/>
        </w:rPr>
        <w:lastRenderedPageBreak/>
        <w:t>8.2 影响投资者决策的其他重要信息</w:t>
      </w:r>
    </w:p>
    <w:p w:rsidR="003C50AD" w:rsidRPr="004F4D27" w:rsidRDefault="003C50AD" w:rsidP="003C50AD">
      <w:pPr>
        <w:spacing w:line="360" w:lineRule="auto"/>
        <w:ind w:firstLineChars="200" w:firstLine="420"/>
        <w:rPr>
          <w:rFonts w:ascii="宋体" w:hAnsi="宋体"/>
          <w:color w:val="000000"/>
        </w:rPr>
      </w:pPr>
      <w:r w:rsidRPr="004F4D27">
        <w:rPr>
          <w:rFonts w:ascii="宋体" w:hAnsi="宋体"/>
          <w:color w:val="000000"/>
        </w:rPr>
        <w:t>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B445BE" w:rsidRDefault="008B4B64">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、中国证监会核准交银施罗德信用添利债券证券投资基金募集的文件；</w:t>
      </w:r>
      <w:r>
        <w:rPr>
          <w:color w:val="000000"/>
          <w:sz w:val="24"/>
          <w:szCs w:val="24"/>
        </w:rPr>
        <w:t xml:space="preserve"> </w:t>
      </w:r>
    </w:p>
    <w:p w:rsidR="00B445BE" w:rsidRDefault="008B4B64">
      <w:pPr>
        <w:spacing w:before="29" w:line="288" w:lineRule="auto"/>
        <w:ind w:firstLineChars="200" w:firstLine="480"/>
        <w:rPr>
          <w:color w:val="000000"/>
          <w:sz w:val="24"/>
          <w:szCs w:val="24"/>
        </w:rPr>
      </w:pPr>
      <w:r>
        <w:rPr>
          <w:color w:val="000000"/>
          <w:sz w:val="24"/>
          <w:szCs w:val="24"/>
        </w:rPr>
        <w:t>2</w:t>
      </w:r>
      <w:r>
        <w:rPr>
          <w:color w:val="000000"/>
          <w:sz w:val="24"/>
          <w:szCs w:val="24"/>
        </w:rPr>
        <w:t>、《交银施罗德信用添利债券证券投资基金基金合同》；</w:t>
      </w:r>
    </w:p>
    <w:p w:rsidR="00B445BE" w:rsidRDefault="008B4B64">
      <w:pPr>
        <w:spacing w:before="29" w:line="288" w:lineRule="auto"/>
        <w:ind w:firstLineChars="200" w:firstLine="480"/>
        <w:rPr>
          <w:color w:val="000000"/>
          <w:sz w:val="24"/>
          <w:szCs w:val="24"/>
        </w:rPr>
      </w:pPr>
      <w:r>
        <w:rPr>
          <w:color w:val="000000"/>
          <w:sz w:val="24"/>
          <w:szCs w:val="24"/>
        </w:rPr>
        <w:t>3</w:t>
      </w:r>
      <w:r>
        <w:rPr>
          <w:color w:val="000000"/>
          <w:sz w:val="24"/>
          <w:szCs w:val="24"/>
        </w:rPr>
        <w:t>、《交银施罗德信用添利债券证券投资基金招募说明书》；</w:t>
      </w:r>
      <w:r>
        <w:rPr>
          <w:color w:val="000000"/>
          <w:sz w:val="24"/>
          <w:szCs w:val="24"/>
        </w:rPr>
        <w:t xml:space="preserve"> </w:t>
      </w:r>
    </w:p>
    <w:p w:rsidR="00B445BE" w:rsidRDefault="008B4B64">
      <w:pPr>
        <w:spacing w:before="29" w:line="288" w:lineRule="auto"/>
        <w:ind w:firstLineChars="200" w:firstLine="480"/>
        <w:rPr>
          <w:color w:val="000000"/>
          <w:sz w:val="24"/>
          <w:szCs w:val="24"/>
        </w:rPr>
      </w:pPr>
      <w:r>
        <w:rPr>
          <w:color w:val="000000"/>
          <w:sz w:val="24"/>
          <w:szCs w:val="24"/>
        </w:rPr>
        <w:t>4</w:t>
      </w:r>
      <w:r>
        <w:rPr>
          <w:color w:val="000000"/>
          <w:sz w:val="24"/>
          <w:szCs w:val="24"/>
        </w:rPr>
        <w:t>、《交银施罗德信用添利债券证券投资基金托管协议》；</w:t>
      </w:r>
      <w:r>
        <w:rPr>
          <w:color w:val="000000"/>
          <w:sz w:val="24"/>
          <w:szCs w:val="24"/>
        </w:rPr>
        <w:t xml:space="preserve"> </w:t>
      </w:r>
    </w:p>
    <w:p w:rsidR="00B445BE" w:rsidRDefault="008B4B64">
      <w:pPr>
        <w:spacing w:before="29" w:line="288" w:lineRule="auto"/>
        <w:ind w:firstLineChars="200" w:firstLine="480"/>
        <w:rPr>
          <w:color w:val="000000"/>
          <w:sz w:val="24"/>
          <w:szCs w:val="24"/>
        </w:rPr>
      </w:pPr>
      <w:r>
        <w:rPr>
          <w:color w:val="000000"/>
          <w:sz w:val="24"/>
          <w:szCs w:val="24"/>
        </w:rPr>
        <w:t>5</w:t>
      </w:r>
      <w:r>
        <w:rPr>
          <w:color w:val="000000"/>
          <w:sz w:val="24"/>
          <w:szCs w:val="24"/>
        </w:rPr>
        <w:t>、基金管理人业务资格批件、营业执照；</w:t>
      </w:r>
    </w:p>
    <w:p w:rsidR="00B445BE" w:rsidRDefault="008B4B64">
      <w:pPr>
        <w:spacing w:before="29" w:line="288" w:lineRule="auto"/>
        <w:ind w:firstLineChars="200" w:firstLine="480"/>
        <w:rPr>
          <w:color w:val="000000"/>
          <w:sz w:val="24"/>
          <w:szCs w:val="24"/>
        </w:rPr>
      </w:pPr>
      <w:r>
        <w:rPr>
          <w:color w:val="000000"/>
          <w:sz w:val="24"/>
          <w:szCs w:val="24"/>
        </w:rPr>
        <w:t>6</w:t>
      </w:r>
      <w:r>
        <w:rPr>
          <w:color w:val="000000"/>
          <w:sz w:val="24"/>
          <w:szCs w:val="24"/>
        </w:rPr>
        <w:t>、基金托管人业务资格批件、营业执照；</w:t>
      </w:r>
    </w:p>
    <w:p w:rsidR="00B445BE" w:rsidRDefault="008B4B64">
      <w:pPr>
        <w:spacing w:before="29" w:line="288" w:lineRule="auto"/>
        <w:ind w:firstLineChars="200" w:firstLine="480"/>
        <w:rPr>
          <w:color w:val="000000"/>
          <w:sz w:val="24"/>
          <w:szCs w:val="24"/>
        </w:rPr>
      </w:pPr>
      <w:r>
        <w:rPr>
          <w:color w:val="000000"/>
          <w:sz w:val="24"/>
          <w:szCs w:val="24"/>
        </w:rPr>
        <w:t>7</w:t>
      </w:r>
      <w:r>
        <w:rPr>
          <w:color w:val="000000"/>
          <w:sz w:val="24"/>
          <w:szCs w:val="24"/>
        </w:rPr>
        <w:t>、关于申请募集交银施罗德信用添利债券证券投资基金之法律意见书；</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、报告期内交银施罗德信用添利债券证券投资基金在指定报刊上各项公告的原稿。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B445BE" w:rsidRDefault="008B4B64">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C92" w:rsidRDefault="008A1C92" w:rsidP="00876D65">
      <w:r>
        <w:separator/>
      </w:r>
    </w:p>
  </w:endnote>
  <w:endnote w:type="continuationSeparator" w:id="0">
    <w:p w:rsidR="008A1C92" w:rsidRDefault="008A1C92"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9379C0">
      <w:rPr>
        <w:noProof/>
        <w:kern w:val="0"/>
        <w:szCs w:val="21"/>
      </w:rPr>
      <w:t>9</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9379C0">
      <w:rPr>
        <w:noProof/>
        <w:kern w:val="0"/>
        <w:szCs w:val="21"/>
      </w:rPr>
      <w:t>11</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C92" w:rsidRDefault="008A1C92" w:rsidP="00876D65">
      <w:r>
        <w:separator/>
      </w:r>
    </w:p>
  </w:footnote>
  <w:footnote w:type="continuationSeparator" w:id="0">
    <w:p w:rsidR="008A1C92" w:rsidRDefault="008A1C92"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交银施罗德信用添利债券证券投资基金（</w:t>
    </w:r>
    <w:r w:rsidRPr="003E676C">
      <w:rPr>
        <w:sz w:val="24"/>
        <w:szCs w:val="24"/>
      </w:rPr>
      <w:t>LOF</w:t>
    </w:r>
    <w:r w:rsidRPr="003E676C">
      <w:rPr>
        <w:sz w:val="24"/>
        <w:szCs w:val="24"/>
      </w:rPr>
      <w:t>）</w:t>
    </w:r>
    <w:r w:rsidRPr="003E676C">
      <w:rPr>
        <w:sz w:val="24"/>
        <w:szCs w:val="24"/>
      </w:rPr>
      <w:t>2019</w:t>
    </w:r>
    <w:r w:rsidRPr="003E676C">
      <w:rPr>
        <w:sz w:val="24"/>
        <w:szCs w:val="24"/>
      </w:rPr>
      <w:t>年第</w:t>
    </w:r>
    <w:r w:rsidRPr="003E676C">
      <w:rPr>
        <w:sz w:val="24"/>
        <w:szCs w:val="24"/>
      </w:rPr>
      <w:t>4</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36AC"/>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1C92"/>
    <w:rsid w:val="008A21B2"/>
    <w:rsid w:val="008A3DAA"/>
    <w:rsid w:val="008A5B20"/>
    <w:rsid w:val="008B2FDD"/>
    <w:rsid w:val="008B3C7E"/>
    <w:rsid w:val="008B4A75"/>
    <w:rsid w:val="008B4B64"/>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379C0"/>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5024"/>
    <w:rsid w:val="00B371B4"/>
    <w:rsid w:val="00B40CF0"/>
    <w:rsid w:val="00B40F64"/>
    <w:rsid w:val="00B42A76"/>
    <w:rsid w:val="00B445BE"/>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E0652-FE33-46F0-B1C3-A00A815B9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1843</TotalTime>
  <Pages>11</Pages>
  <Words>1047</Words>
  <Characters>5969</Characters>
  <Application>Microsoft Office Word</Application>
  <DocSecurity>0</DocSecurity>
  <Lines>49</Lines>
  <Paragraphs>14</Paragraphs>
  <ScaleCrop>false</ScaleCrop>
  <Company/>
  <LinksUpToDate>false</LinksUpToDate>
  <CharactersWithSpaces>7002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599</cp:revision>
  <dcterms:created xsi:type="dcterms:W3CDTF">2012-10-16T06:07:00Z</dcterms:created>
  <dcterms:modified xsi:type="dcterms:W3CDTF">2020-01-17T06:18:00Z</dcterms:modified>
</cp:coreProperties>
</file>