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交银施罗德优势行业灵活配置混合型证券投资基金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011B3" w:rsidRDefault="00023CE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011B3" w:rsidRDefault="00023CE1">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2020</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011B3" w:rsidRDefault="00023CE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011B3" w:rsidRDefault="00023CE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011B3" w:rsidRDefault="00023CE1">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交银优势行业混合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519697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938,158,668.40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本基金是一只灵活配置的混合型基金，属于基金中的较高风险品种，风险与预期收益介于股票型基金和债券型基金之间。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23CE1" w:rsidRPr="00414345" w:rsidTr="00023CE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023CE1" w:rsidRPr="00414345" w:rsidTr="00023CE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262,534,977.41</w:t>
            </w:r>
          </w:p>
        </w:tc>
      </w:tr>
      <w:tr w:rsidR="00023CE1" w:rsidRPr="00414345" w:rsidTr="00023CE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287,018,010.60</w:t>
            </w:r>
          </w:p>
        </w:tc>
      </w:tr>
      <w:tr w:rsidR="00023CE1" w:rsidRPr="00414345" w:rsidTr="00023CE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0.3143</w:t>
            </w:r>
          </w:p>
        </w:tc>
      </w:tr>
      <w:tr w:rsidR="00023CE1" w:rsidRPr="00414345" w:rsidTr="00023CE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3,806,829,219.05</w:t>
            </w:r>
          </w:p>
        </w:tc>
      </w:tr>
      <w:tr w:rsidR="00023CE1" w:rsidRPr="00414345" w:rsidTr="00023CE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4.058</w:t>
            </w:r>
          </w:p>
        </w:tc>
      </w:tr>
    </w:tbl>
    <w:p w:rsidR="00F011B3" w:rsidRDefault="00023CE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011B3">
        <w:trPr>
          <w:jc w:val="center"/>
        </w:trPr>
        <w:tc>
          <w:tcPr>
            <w:tcW w:w="1701" w:type="dxa"/>
            <w:vAlign w:val="center"/>
          </w:tcPr>
          <w:p w:rsidR="00F011B3" w:rsidRDefault="00023CE1">
            <w:pPr>
              <w:jc w:val="left"/>
            </w:pPr>
            <w:r>
              <w:rPr>
                <w:color w:val="000000"/>
                <w:sz w:val="24"/>
                <w:szCs w:val="24"/>
              </w:rPr>
              <w:t>过去三个月</w:t>
            </w:r>
          </w:p>
        </w:tc>
        <w:tc>
          <w:tcPr>
            <w:tcW w:w="1045" w:type="dxa"/>
            <w:vAlign w:val="center"/>
          </w:tcPr>
          <w:p w:rsidR="00F011B3" w:rsidRDefault="00023CE1">
            <w:pPr>
              <w:jc w:val="center"/>
            </w:pPr>
            <w:r>
              <w:rPr>
                <w:color w:val="000000"/>
                <w:sz w:val="24"/>
                <w:szCs w:val="24"/>
              </w:rPr>
              <w:t>8.21%</w:t>
            </w:r>
          </w:p>
        </w:tc>
        <w:tc>
          <w:tcPr>
            <w:tcW w:w="1344" w:type="dxa"/>
            <w:vAlign w:val="center"/>
          </w:tcPr>
          <w:p w:rsidR="00F011B3" w:rsidRDefault="00023CE1">
            <w:pPr>
              <w:jc w:val="center"/>
            </w:pPr>
            <w:r>
              <w:rPr>
                <w:color w:val="000000"/>
                <w:sz w:val="24"/>
                <w:szCs w:val="24"/>
              </w:rPr>
              <w:t>0.89%</w:t>
            </w:r>
          </w:p>
        </w:tc>
        <w:tc>
          <w:tcPr>
            <w:tcW w:w="1194" w:type="dxa"/>
            <w:vAlign w:val="center"/>
          </w:tcPr>
          <w:p w:rsidR="00F011B3" w:rsidRDefault="00023CE1">
            <w:pPr>
              <w:jc w:val="center"/>
            </w:pPr>
            <w:r>
              <w:rPr>
                <w:color w:val="000000"/>
                <w:sz w:val="24"/>
                <w:szCs w:val="24"/>
              </w:rPr>
              <w:t>4.92%</w:t>
            </w:r>
          </w:p>
        </w:tc>
        <w:tc>
          <w:tcPr>
            <w:tcW w:w="1492" w:type="dxa"/>
            <w:vAlign w:val="center"/>
          </w:tcPr>
          <w:p w:rsidR="00F011B3" w:rsidRDefault="00023CE1">
            <w:pPr>
              <w:jc w:val="center"/>
            </w:pPr>
            <w:r>
              <w:rPr>
                <w:color w:val="000000"/>
                <w:sz w:val="24"/>
                <w:szCs w:val="24"/>
              </w:rPr>
              <w:t>0.44%</w:t>
            </w:r>
          </w:p>
        </w:tc>
        <w:tc>
          <w:tcPr>
            <w:tcW w:w="1194" w:type="dxa"/>
            <w:vAlign w:val="center"/>
          </w:tcPr>
          <w:p w:rsidR="00F011B3" w:rsidRDefault="00023CE1">
            <w:pPr>
              <w:jc w:val="center"/>
            </w:pPr>
            <w:r>
              <w:rPr>
                <w:color w:val="000000"/>
                <w:sz w:val="24"/>
                <w:szCs w:val="24"/>
              </w:rPr>
              <w:t>3.29%</w:t>
            </w:r>
          </w:p>
        </w:tc>
        <w:tc>
          <w:tcPr>
            <w:tcW w:w="898" w:type="dxa"/>
            <w:vAlign w:val="center"/>
          </w:tcPr>
          <w:p w:rsidR="00F011B3" w:rsidRDefault="00023CE1">
            <w:pPr>
              <w:jc w:val="center"/>
            </w:pPr>
            <w:r>
              <w:rPr>
                <w:color w:val="000000"/>
                <w:sz w:val="24"/>
                <w:szCs w:val="24"/>
              </w:rPr>
              <w:t>0.45%</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交银施罗德优势行业灵活配置混合型证券投资基金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w:t>
      </w:r>
      <w:r w:rsidR="00023CE1">
        <w:rPr>
          <w:rFonts w:ascii="Times New Roman" w:hAnsi="Times New Roman" w:cs="Times New Roman"/>
          <w:sz w:val="24"/>
          <w:szCs w:val="24"/>
        </w:rPr>
        <w:t>12</w:t>
      </w:r>
      <w:r w:rsidR="0042009D" w:rsidRPr="00414345">
        <w:rPr>
          <w:rFonts w:ascii="Times New Roman" w:hAnsi="Times New Roman" w:cs="Times New Roman"/>
          <w:sz w:val="24"/>
          <w:szCs w:val="24"/>
        </w:rPr>
        <w:t>年</w:t>
      </w:r>
      <w:r w:rsidR="00023CE1">
        <w:rPr>
          <w:rFonts w:ascii="Times New Roman" w:hAnsi="Times New Roman" w:cs="Times New Roman"/>
          <w:sz w:val="24"/>
          <w:szCs w:val="24"/>
        </w:rPr>
        <w:t>2</w:t>
      </w:r>
      <w:r w:rsidR="0042009D" w:rsidRPr="00414345">
        <w:rPr>
          <w:rFonts w:ascii="Times New Roman" w:hAnsi="Times New Roman" w:cs="Times New Roman"/>
          <w:sz w:val="24"/>
          <w:szCs w:val="24"/>
        </w:rPr>
        <w:t>月</w:t>
      </w:r>
      <w:r w:rsidR="00023CE1">
        <w:rPr>
          <w:rFonts w:ascii="Times New Roman" w:hAnsi="Times New Roman" w:cs="Times New Roman"/>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注：本基金由交银施罗德保本混合型证券投资基金转型而来。基金转型日为</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日。本基金的投资转型期为交银施罗德保本混合型证券投资基金保本周期到期选择期截止日次日（即</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bookmarkStart w:id="0" w:name="_GoBack"/>
      <w:bookmarkEnd w:id="0"/>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011B3">
        <w:trPr>
          <w:jc w:val="center"/>
        </w:trPr>
        <w:tc>
          <w:tcPr>
            <w:tcW w:w="846" w:type="dxa"/>
            <w:vAlign w:val="center"/>
          </w:tcPr>
          <w:p w:rsidR="00F011B3" w:rsidRDefault="00023CE1">
            <w:pPr>
              <w:jc w:val="center"/>
            </w:pPr>
            <w:r>
              <w:rPr>
                <w:color w:val="000000"/>
                <w:sz w:val="24"/>
                <w:szCs w:val="24"/>
              </w:rPr>
              <w:t>何帅</w:t>
            </w:r>
          </w:p>
        </w:tc>
        <w:tc>
          <w:tcPr>
            <w:tcW w:w="845" w:type="dxa"/>
            <w:vAlign w:val="center"/>
          </w:tcPr>
          <w:p w:rsidR="00F011B3" w:rsidRDefault="00023CE1">
            <w:pPr>
              <w:jc w:val="center"/>
            </w:pPr>
            <w:r>
              <w:rPr>
                <w:color w:val="000000"/>
                <w:sz w:val="24"/>
                <w:szCs w:val="24"/>
              </w:rPr>
              <w:t>交银优势行业混合、交银阿尔法核心混合、交银持续成长主题混合的基金经理</w:t>
            </w:r>
          </w:p>
        </w:tc>
        <w:tc>
          <w:tcPr>
            <w:tcW w:w="1549" w:type="dxa"/>
            <w:vAlign w:val="center"/>
          </w:tcPr>
          <w:p w:rsidR="00F011B3" w:rsidRDefault="00023CE1">
            <w:pPr>
              <w:jc w:val="center"/>
            </w:pPr>
            <w:r>
              <w:rPr>
                <w:color w:val="000000"/>
                <w:sz w:val="24"/>
                <w:szCs w:val="24"/>
              </w:rPr>
              <w:t>2015-07-09</w:t>
            </w:r>
          </w:p>
        </w:tc>
        <w:tc>
          <w:tcPr>
            <w:tcW w:w="1548" w:type="dxa"/>
            <w:vAlign w:val="center"/>
          </w:tcPr>
          <w:p w:rsidR="00F011B3" w:rsidRDefault="00023CE1">
            <w:pPr>
              <w:jc w:val="center"/>
            </w:pPr>
            <w:r>
              <w:rPr>
                <w:color w:val="000000"/>
                <w:sz w:val="24"/>
                <w:szCs w:val="24"/>
              </w:rPr>
              <w:t>-</w:t>
            </w:r>
          </w:p>
        </w:tc>
        <w:tc>
          <w:tcPr>
            <w:tcW w:w="1407" w:type="dxa"/>
            <w:vAlign w:val="center"/>
          </w:tcPr>
          <w:p w:rsidR="00F011B3" w:rsidRDefault="00023CE1">
            <w:pPr>
              <w:jc w:val="center"/>
            </w:pPr>
            <w:r>
              <w:rPr>
                <w:color w:val="000000"/>
                <w:sz w:val="24"/>
                <w:szCs w:val="24"/>
              </w:rPr>
              <w:t>9</w:t>
            </w:r>
            <w:r>
              <w:rPr>
                <w:color w:val="000000"/>
                <w:sz w:val="24"/>
                <w:szCs w:val="24"/>
              </w:rPr>
              <w:t>年</w:t>
            </w:r>
          </w:p>
        </w:tc>
        <w:tc>
          <w:tcPr>
            <w:tcW w:w="2673" w:type="dxa"/>
            <w:vAlign w:val="center"/>
          </w:tcPr>
          <w:p w:rsidR="00F011B3" w:rsidRDefault="00023CE1">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011B3" w:rsidRDefault="00023CE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F011B3" w:rsidRDefault="00023CE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F011B3" w:rsidRDefault="00023CE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011B3" w:rsidRDefault="00023CE1">
      <w:pPr>
        <w:spacing w:before="29" w:line="288" w:lineRule="auto"/>
        <w:ind w:firstLineChars="200" w:firstLine="480"/>
        <w:rPr>
          <w:color w:val="000000"/>
          <w:sz w:val="24"/>
          <w:szCs w:val="24"/>
        </w:rPr>
      </w:pPr>
      <w:r>
        <w:rPr>
          <w:color w:val="000000"/>
          <w:sz w:val="24"/>
          <w:szCs w:val="24"/>
        </w:rPr>
        <w:t>2019</w:t>
      </w:r>
      <w:r>
        <w:rPr>
          <w:color w:val="000000"/>
          <w:sz w:val="24"/>
          <w:szCs w:val="24"/>
        </w:rPr>
        <w:t>年四季度</w:t>
      </w:r>
      <w:r>
        <w:rPr>
          <w:color w:val="000000"/>
          <w:sz w:val="24"/>
          <w:szCs w:val="24"/>
        </w:rPr>
        <w:t>A</w:t>
      </w:r>
      <w:r>
        <w:rPr>
          <w:color w:val="000000"/>
          <w:sz w:val="24"/>
          <w:szCs w:val="24"/>
        </w:rPr>
        <w:t>股市场波动加大。在季初，市场较为担忧通胀压力，而在季末，市场则对新能源车、半导体及周期行业关注度快速上升，相关个股及行业获得了可观涨幅。</w:t>
      </w:r>
    </w:p>
    <w:p w:rsidR="00F011B3" w:rsidRDefault="00023CE1">
      <w:pPr>
        <w:spacing w:before="29" w:line="288" w:lineRule="auto"/>
        <w:ind w:firstLineChars="200" w:firstLine="480"/>
        <w:rPr>
          <w:color w:val="000000"/>
          <w:sz w:val="24"/>
          <w:szCs w:val="24"/>
        </w:rPr>
      </w:pPr>
      <w:r>
        <w:rPr>
          <w:color w:val="000000"/>
          <w:sz w:val="24"/>
          <w:szCs w:val="24"/>
        </w:rPr>
        <w:t>本基金在四季度跑赢业绩比较基准，主要原因是持仓结构偏向成长类，以及相关个股估值回升。</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在流动性相对宽松，其他大类资产预期回报较低的环境下，我们整体对市场中长期表现相对乐观，市场吸引力可能会缓慢显现。但从短期看，四季度市场对于</w:t>
      </w:r>
      <w:r w:rsidRPr="00414345">
        <w:rPr>
          <w:color w:val="000000"/>
          <w:sz w:val="24"/>
          <w:szCs w:val="24"/>
        </w:rPr>
        <w:t>2020</w:t>
      </w:r>
      <w:r w:rsidRPr="00414345">
        <w:rPr>
          <w:color w:val="000000"/>
          <w:sz w:val="24"/>
          <w:szCs w:val="24"/>
        </w:rPr>
        <w:t>年可能的变化机会开始提前预期和表现，比如新能源车及周期行业。同时优质</w:t>
      </w:r>
      <w:r w:rsidRPr="00414345">
        <w:rPr>
          <w:color w:val="000000"/>
          <w:sz w:val="24"/>
          <w:szCs w:val="24"/>
        </w:rPr>
        <w:t>“</w:t>
      </w:r>
      <w:r w:rsidRPr="00414345">
        <w:rPr>
          <w:color w:val="000000"/>
          <w:sz w:val="24"/>
          <w:szCs w:val="24"/>
        </w:rPr>
        <w:t>核心资产</w:t>
      </w:r>
      <w:r w:rsidRPr="00414345">
        <w:rPr>
          <w:color w:val="000000"/>
          <w:sz w:val="24"/>
          <w:szCs w:val="24"/>
        </w:rPr>
        <w:t>”</w:t>
      </w:r>
      <w:r w:rsidRPr="00414345">
        <w:rPr>
          <w:color w:val="000000"/>
          <w:sz w:val="24"/>
          <w:szCs w:val="24"/>
        </w:rPr>
        <w:t>估值稳定提升。虽然从侧面反映出市场情绪较好，但也蕴含了提前透支预期的可能。所以在这个时点，我们将更多从安全性的角度，寻找未来两到三年成长性较为确定，并且估值合理的标的。我们希望通过深度研究，找到需求可持续增长的行业，竞争力可持续拓宽的公司，享受公司价值的可持续成长，并希望以此能够持续为持有人获得超额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2,539,873,916.70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65.90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2,539,873,916.70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65.90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190,283,000.00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4.94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190,283,000.00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4.94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891,001,120.00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23.12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165,686,606.84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4.30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67,570,837.23</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1.75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3,854,415,480.77</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9,212,058.00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946,487,655.67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141,394,138.72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14,893,702.60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924,725,792.01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71,123,511.00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293,363,739.26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8,085,514.08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447,605.46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130,140,199.90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2,539,873,916.70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66.72</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F011B3">
        <w:trPr>
          <w:jc w:val="center"/>
        </w:trPr>
        <w:tc>
          <w:tcPr>
            <w:tcW w:w="855" w:type="dxa"/>
            <w:vAlign w:val="center"/>
          </w:tcPr>
          <w:p w:rsidR="00F011B3" w:rsidRDefault="00023CE1">
            <w:pPr>
              <w:jc w:val="center"/>
            </w:pPr>
            <w:r>
              <w:rPr>
                <w:color w:val="000000"/>
                <w:sz w:val="24"/>
                <w:szCs w:val="24"/>
              </w:rPr>
              <w:t>1</w:t>
            </w:r>
          </w:p>
        </w:tc>
        <w:tc>
          <w:tcPr>
            <w:tcW w:w="1334" w:type="dxa"/>
            <w:vAlign w:val="center"/>
          </w:tcPr>
          <w:p w:rsidR="00F011B3" w:rsidRDefault="00023CE1">
            <w:pPr>
              <w:jc w:val="center"/>
            </w:pPr>
            <w:r>
              <w:rPr>
                <w:color w:val="000000"/>
                <w:sz w:val="24"/>
                <w:szCs w:val="24"/>
              </w:rPr>
              <w:t>300188</w:t>
            </w:r>
          </w:p>
        </w:tc>
        <w:tc>
          <w:tcPr>
            <w:tcW w:w="1777" w:type="dxa"/>
            <w:vAlign w:val="center"/>
          </w:tcPr>
          <w:p w:rsidR="00F011B3" w:rsidRDefault="00023CE1">
            <w:pPr>
              <w:jc w:val="center"/>
            </w:pPr>
            <w:r>
              <w:rPr>
                <w:color w:val="000000"/>
                <w:sz w:val="24"/>
                <w:szCs w:val="24"/>
              </w:rPr>
              <w:t>美亚柏科</w:t>
            </w:r>
          </w:p>
        </w:tc>
        <w:tc>
          <w:tcPr>
            <w:tcW w:w="1334" w:type="dxa"/>
            <w:vAlign w:val="center"/>
          </w:tcPr>
          <w:p w:rsidR="00F011B3" w:rsidRDefault="00023CE1">
            <w:pPr>
              <w:jc w:val="right"/>
            </w:pPr>
            <w:r>
              <w:rPr>
                <w:color w:val="000000"/>
                <w:sz w:val="24"/>
                <w:szCs w:val="24"/>
              </w:rPr>
              <w:t>13,721,505</w:t>
            </w:r>
          </w:p>
        </w:tc>
        <w:tc>
          <w:tcPr>
            <w:tcW w:w="1924" w:type="dxa"/>
            <w:vAlign w:val="center"/>
          </w:tcPr>
          <w:p w:rsidR="00F011B3" w:rsidRDefault="00023CE1">
            <w:pPr>
              <w:jc w:val="right"/>
            </w:pPr>
            <w:r>
              <w:rPr>
                <w:color w:val="000000"/>
                <w:sz w:val="24"/>
                <w:szCs w:val="24"/>
              </w:rPr>
              <w:t>234,637,735.50</w:t>
            </w:r>
          </w:p>
        </w:tc>
        <w:tc>
          <w:tcPr>
            <w:tcW w:w="1644" w:type="dxa"/>
            <w:vAlign w:val="center"/>
          </w:tcPr>
          <w:p w:rsidR="00F011B3" w:rsidRDefault="00023CE1">
            <w:pPr>
              <w:jc w:val="right"/>
            </w:pPr>
            <w:r>
              <w:rPr>
                <w:color w:val="000000"/>
                <w:sz w:val="24"/>
                <w:szCs w:val="24"/>
              </w:rPr>
              <w:t>6.16</w:t>
            </w:r>
          </w:p>
        </w:tc>
      </w:tr>
      <w:tr w:rsidR="00F011B3">
        <w:trPr>
          <w:jc w:val="center"/>
        </w:trPr>
        <w:tc>
          <w:tcPr>
            <w:tcW w:w="855" w:type="dxa"/>
            <w:vAlign w:val="center"/>
          </w:tcPr>
          <w:p w:rsidR="00F011B3" w:rsidRDefault="00023CE1">
            <w:pPr>
              <w:jc w:val="center"/>
            </w:pPr>
            <w:r>
              <w:rPr>
                <w:color w:val="000000"/>
                <w:sz w:val="24"/>
                <w:szCs w:val="24"/>
              </w:rPr>
              <w:t>2</w:t>
            </w:r>
          </w:p>
        </w:tc>
        <w:tc>
          <w:tcPr>
            <w:tcW w:w="1334" w:type="dxa"/>
            <w:vAlign w:val="center"/>
          </w:tcPr>
          <w:p w:rsidR="00F011B3" w:rsidRDefault="00023CE1">
            <w:pPr>
              <w:jc w:val="center"/>
            </w:pPr>
            <w:r>
              <w:rPr>
                <w:color w:val="000000"/>
                <w:sz w:val="24"/>
                <w:szCs w:val="24"/>
              </w:rPr>
              <w:t>300078</w:t>
            </w:r>
          </w:p>
        </w:tc>
        <w:tc>
          <w:tcPr>
            <w:tcW w:w="1777" w:type="dxa"/>
            <w:vAlign w:val="center"/>
          </w:tcPr>
          <w:p w:rsidR="00F011B3" w:rsidRDefault="00023CE1">
            <w:pPr>
              <w:jc w:val="center"/>
            </w:pPr>
            <w:r>
              <w:rPr>
                <w:color w:val="000000"/>
                <w:sz w:val="24"/>
                <w:szCs w:val="24"/>
              </w:rPr>
              <w:t>思创医惠</w:t>
            </w:r>
          </w:p>
        </w:tc>
        <w:tc>
          <w:tcPr>
            <w:tcW w:w="1334" w:type="dxa"/>
            <w:vAlign w:val="center"/>
          </w:tcPr>
          <w:p w:rsidR="00F011B3" w:rsidRDefault="00023CE1">
            <w:pPr>
              <w:jc w:val="right"/>
            </w:pPr>
            <w:r>
              <w:rPr>
                <w:color w:val="000000"/>
                <w:sz w:val="24"/>
                <w:szCs w:val="24"/>
              </w:rPr>
              <w:t>13,943,670</w:t>
            </w:r>
          </w:p>
        </w:tc>
        <w:tc>
          <w:tcPr>
            <w:tcW w:w="1924" w:type="dxa"/>
            <w:vAlign w:val="center"/>
          </w:tcPr>
          <w:p w:rsidR="00F011B3" w:rsidRDefault="00023CE1">
            <w:pPr>
              <w:jc w:val="right"/>
            </w:pPr>
            <w:r>
              <w:rPr>
                <w:color w:val="000000"/>
                <w:sz w:val="24"/>
                <w:szCs w:val="24"/>
              </w:rPr>
              <w:t>171,228,267.60</w:t>
            </w:r>
          </w:p>
        </w:tc>
        <w:tc>
          <w:tcPr>
            <w:tcW w:w="1644" w:type="dxa"/>
            <w:vAlign w:val="center"/>
          </w:tcPr>
          <w:p w:rsidR="00F011B3" w:rsidRDefault="00023CE1">
            <w:pPr>
              <w:jc w:val="right"/>
            </w:pPr>
            <w:r>
              <w:rPr>
                <w:color w:val="000000"/>
                <w:sz w:val="24"/>
                <w:szCs w:val="24"/>
              </w:rPr>
              <w:t>4.50</w:t>
            </w:r>
          </w:p>
        </w:tc>
      </w:tr>
      <w:tr w:rsidR="00F011B3">
        <w:trPr>
          <w:jc w:val="center"/>
        </w:trPr>
        <w:tc>
          <w:tcPr>
            <w:tcW w:w="855" w:type="dxa"/>
            <w:vAlign w:val="center"/>
          </w:tcPr>
          <w:p w:rsidR="00F011B3" w:rsidRDefault="00023CE1">
            <w:pPr>
              <w:jc w:val="center"/>
            </w:pPr>
            <w:r>
              <w:rPr>
                <w:color w:val="000000"/>
                <w:sz w:val="24"/>
                <w:szCs w:val="24"/>
              </w:rPr>
              <w:t>3</w:t>
            </w:r>
          </w:p>
        </w:tc>
        <w:tc>
          <w:tcPr>
            <w:tcW w:w="1334" w:type="dxa"/>
            <w:vAlign w:val="center"/>
          </w:tcPr>
          <w:p w:rsidR="00F011B3" w:rsidRDefault="00023CE1">
            <w:pPr>
              <w:jc w:val="center"/>
            </w:pPr>
            <w:r>
              <w:rPr>
                <w:color w:val="000000"/>
                <w:sz w:val="24"/>
                <w:szCs w:val="24"/>
              </w:rPr>
              <w:t>002050</w:t>
            </w:r>
          </w:p>
        </w:tc>
        <w:tc>
          <w:tcPr>
            <w:tcW w:w="1777" w:type="dxa"/>
            <w:vAlign w:val="center"/>
          </w:tcPr>
          <w:p w:rsidR="00F011B3" w:rsidRDefault="00023CE1">
            <w:pPr>
              <w:jc w:val="center"/>
            </w:pPr>
            <w:r>
              <w:rPr>
                <w:color w:val="000000"/>
                <w:sz w:val="24"/>
                <w:szCs w:val="24"/>
              </w:rPr>
              <w:t>三花智控</w:t>
            </w:r>
          </w:p>
        </w:tc>
        <w:tc>
          <w:tcPr>
            <w:tcW w:w="1334" w:type="dxa"/>
            <w:vAlign w:val="center"/>
          </w:tcPr>
          <w:p w:rsidR="00F011B3" w:rsidRDefault="00023CE1">
            <w:pPr>
              <w:jc w:val="right"/>
            </w:pPr>
            <w:r>
              <w:rPr>
                <w:color w:val="000000"/>
                <w:sz w:val="24"/>
                <w:szCs w:val="24"/>
              </w:rPr>
              <w:t>9,517,022</w:t>
            </w:r>
          </w:p>
        </w:tc>
        <w:tc>
          <w:tcPr>
            <w:tcW w:w="1924" w:type="dxa"/>
            <w:vAlign w:val="center"/>
          </w:tcPr>
          <w:p w:rsidR="00F011B3" w:rsidRDefault="00023CE1">
            <w:pPr>
              <w:jc w:val="right"/>
            </w:pPr>
            <w:r>
              <w:rPr>
                <w:color w:val="000000"/>
                <w:sz w:val="24"/>
                <w:szCs w:val="24"/>
              </w:rPr>
              <w:t>164,929,991.26</w:t>
            </w:r>
          </w:p>
        </w:tc>
        <w:tc>
          <w:tcPr>
            <w:tcW w:w="1644" w:type="dxa"/>
            <w:vAlign w:val="center"/>
          </w:tcPr>
          <w:p w:rsidR="00F011B3" w:rsidRDefault="00023CE1">
            <w:pPr>
              <w:jc w:val="right"/>
            </w:pPr>
            <w:r>
              <w:rPr>
                <w:color w:val="000000"/>
                <w:sz w:val="24"/>
                <w:szCs w:val="24"/>
              </w:rPr>
              <w:t>4.33</w:t>
            </w:r>
          </w:p>
        </w:tc>
      </w:tr>
      <w:tr w:rsidR="00F011B3">
        <w:trPr>
          <w:jc w:val="center"/>
        </w:trPr>
        <w:tc>
          <w:tcPr>
            <w:tcW w:w="855" w:type="dxa"/>
            <w:vAlign w:val="center"/>
          </w:tcPr>
          <w:p w:rsidR="00F011B3" w:rsidRDefault="00023CE1">
            <w:pPr>
              <w:jc w:val="center"/>
            </w:pPr>
            <w:r>
              <w:rPr>
                <w:color w:val="000000"/>
                <w:sz w:val="24"/>
                <w:szCs w:val="24"/>
              </w:rPr>
              <w:t>4</w:t>
            </w:r>
          </w:p>
        </w:tc>
        <w:tc>
          <w:tcPr>
            <w:tcW w:w="1334" w:type="dxa"/>
            <w:vAlign w:val="center"/>
          </w:tcPr>
          <w:p w:rsidR="00F011B3" w:rsidRDefault="00023CE1">
            <w:pPr>
              <w:jc w:val="center"/>
            </w:pPr>
            <w:r>
              <w:rPr>
                <w:color w:val="000000"/>
                <w:sz w:val="24"/>
                <w:szCs w:val="24"/>
              </w:rPr>
              <w:t>300365</w:t>
            </w:r>
          </w:p>
        </w:tc>
        <w:tc>
          <w:tcPr>
            <w:tcW w:w="1777" w:type="dxa"/>
            <w:vAlign w:val="center"/>
          </w:tcPr>
          <w:p w:rsidR="00F011B3" w:rsidRDefault="00023CE1">
            <w:pPr>
              <w:jc w:val="center"/>
            </w:pPr>
            <w:r>
              <w:rPr>
                <w:color w:val="000000"/>
                <w:sz w:val="24"/>
                <w:szCs w:val="24"/>
              </w:rPr>
              <w:t>恒华科技</w:t>
            </w:r>
          </w:p>
        </w:tc>
        <w:tc>
          <w:tcPr>
            <w:tcW w:w="1334" w:type="dxa"/>
            <w:vAlign w:val="center"/>
          </w:tcPr>
          <w:p w:rsidR="00F011B3" w:rsidRDefault="00023CE1">
            <w:pPr>
              <w:jc w:val="right"/>
            </w:pPr>
            <w:r>
              <w:rPr>
                <w:color w:val="000000"/>
                <w:sz w:val="24"/>
                <w:szCs w:val="24"/>
              </w:rPr>
              <w:t>11,577,738</w:t>
            </w:r>
          </w:p>
        </w:tc>
        <w:tc>
          <w:tcPr>
            <w:tcW w:w="1924" w:type="dxa"/>
            <w:vAlign w:val="center"/>
          </w:tcPr>
          <w:p w:rsidR="00F011B3" w:rsidRDefault="00023CE1">
            <w:pPr>
              <w:jc w:val="right"/>
            </w:pPr>
            <w:r>
              <w:rPr>
                <w:color w:val="000000"/>
                <w:sz w:val="24"/>
                <w:szCs w:val="24"/>
              </w:rPr>
              <w:t>149,815,929.72</w:t>
            </w:r>
          </w:p>
        </w:tc>
        <w:tc>
          <w:tcPr>
            <w:tcW w:w="1644" w:type="dxa"/>
            <w:vAlign w:val="center"/>
          </w:tcPr>
          <w:p w:rsidR="00F011B3" w:rsidRDefault="00023CE1">
            <w:pPr>
              <w:jc w:val="right"/>
            </w:pPr>
            <w:r>
              <w:rPr>
                <w:color w:val="000000"/>
                <w:sz w:val="24"/>
                <w:szCs w:val="24"/>
              </w:rPr>
              <w:t>3.94</w:t>
            </w:r>
          </w:p>
        </w:tc>
      </w:tr>
      <w:tr w:rsidR="00F011B3">
        <w:trPr>
          <w:jc w:val="center"/>
        </w:trPr>
        <w:tc>
          <w:tcPr>
            <w:tcW w:w="855" w:type="dxa"/>
            <w:vAlign w:val="center"/>
          </w:tcPr>
          <w:p w:rsidR="00F011B3" w:rsidRDefault="00023CE1">
            <w:pPr>
              <w:jc w:val="center"/>
            </w:pPr>
            <w:r>
              <w:rPr>
                <w:color w:val="000000"/>
                <w:sz w:val="24"/>
                <w:szCs w:val="24"/>
              </w:rPr>
              <w:t>5</w:t>
            </w:r>
          </w:p>
        </w:tc>
        <w:tc>
          <w:tcPr>
            <w:tcW w:w="1334" w:type="dxa"/>
            <w:vAlign w:val="center"/>
          </w:tcPr>
          <w:p w:rsidR="00F011B3" w:rsidRDefault="00023CE1">
            <w:pPr>
              <w:jc w:val="center"/>
            </w:pPr>
            <w:r>
              <w:rPr>
                <w:color w:val="000000"/>
                <w:sz w:val="24"/>
                <w:szCs w:val="24"/>
              </w:rPr>
              <w:t>000501</w:t>
            </w:r>
          </w:p>
        </w:tc>
        <w:tc>
          <w:tcPr>
            <w:tcW w:w="1777" w:type="dxa"/>
            <w:vAlign w:val="center"/>
          </w:tcPr>
          <w:p w:rsidR="00F011B3" w:rsidRDefault="00023CE1">
            <w:pPr>
              <w:jc w:val="center"/>
            </w:pPr>
            <w:r>
              <w:rPr>
                <w:color w:val="000000"/>
                <w:sz w:val="24"/>
                <w:szCs w:val="24"/>
              </w:rPr>
              <w:t>鄂武商</w:t>
            </w:r>
            <w:r>
              <w:rPr>
                <w:color w:val="000000"/>
                <w:sz w:val="24"/>
                <w:szCs w:val="24"/>
              </w:rPr>
              <w:t>A</w:t>
            </w:r>
          </w:p>
        </w:tc>
        <w:tc>
          <w:tcPr>
            <w:tcW w:w="1334" w:type="dxa"/>
            <w:vAlign w:val="center"/>
          </w:tcPr>
          <w:p w:rsidR="00F011B3" w:rsidRDefault="00023CE1">
            <w:pPr>
              <w:jc w:val="right"/>
            </w:pPr>
            <w:r>
              <w:rPr>
                <w:color w:val="000000"/>
                <w:sz w:val="24"/>
                <w:szCs w:val="24"/>
              </w:rPr>
              <w:t>10,647,149</w:t>
            </w:r>
          </w:p>
        </w:tc>
        <w:tc>
          <w:tcPr>
            <w:tcW w:w="1924" w:type="dxa"/>
            <w:vAlign w:val="center"/>
          </w:tcPr>
          <w:p w:rsidR="00F011B3" w:rsidRDefault="00023CE1">
            <w:pPr>
              <w:jc w:val="right"/>
            </w:pPr>
            <w:r>
              <w:rPr>
                <w:color w:val="000000"/>
                <w:sz w:val="24"/>
                <w:szCs w:val="24"/>
              </w:rPr>
              <w:t>141,394,138.72</w:t>
            </w:r>
          </w:p>
        </w:tc>
        <w:tc>
          <w:tcPr>
            <w:tcW w:w="1644" w:type="dxa"/>
            <w:vAlign w:val="center"/>
          </w:tcPr>
          <w:p w:rsidR="00F011B3" w:rsidRDefault="00023CE1">
            <w:pPr>
              <w:jc w:val="right"/>
            </w:pPr>
            <w:r>
              <w:rPr>
                <w:color w:val="000000"/>
                <w:sz w:val="24"/>
                <w:szCs w:val="24"/>
              </w:rPr>
              <w:t>3.71</w:t>
            </w:r>
          </w:p>
        </w:tc>
      </w:tr>
      <w:tr w:rsidR="00F011B3">
        <w:trPr>
          <w:jc w:val="center"/>
        </w:trPr>
        <w:tc>
          <w:tcPr>
            <w:tcW w:w="855" w:type="dxa"/>
            <w:vAlign w:val="center"/>
          </w:tcPr>
          <w:p w:rsidR="00F011B3" w:rsidRDefault="00023CE1">
            <w:pPr>
              <w:jc w:val="center"/>
            </w:pPr>
            <w:r>
              <w:rPr>
                <w:color w:val="000000"/>
                <w:sz w:val="24"/>
                <w:szCs w:val="24"/>
              </w:rPr>
              <w:t>6</w:t>
            </w:r>
          </w:p>
        </w:tc>
        <w:tc>
          <w:tcPr>
            <w:tcW w:w="1334" w:type="dxa"/>
            <w:vAlign w:val="center"/>
          </w:tcPr>
          <w:p w:rsidR="00F011B3" w:rsidRDefault="00023CE1">
            <w:pPr>
              <w:jc w:val="center"/>
            </w:pPr>
            <w:r>
              <w:rPr>
                <w:color w:val="000000"/>
                <w:sz w:val="24"/>
                <w:szCs w:val="24"/>
              </w:rPr>
              <w:t>600529</w:t>
            </w:r>
          </w:p>
        </w:tc>
        <w:tc>
          <w:tcPr>
            <w:tcW w:w="1777" w:type="dxa"/>
            <w:vAlign w:val="center"/>
          </w:tcPr>
          <w:p w:rsidR="00F011B3" w:rsidRDefault="00023CE1">
            <w:pPr>
              <w:jc w:val="center"/>
            </w:pPr>
            <w:r>
              <w:rPr>
                <w:color w:val="000000"/>
                <w:sz w:val="24"/>
                <w:szCs w:val="24"/>
              </w:rPr>
              <w:t>山东药玻</w:t>
            </w:r>
          </w:p>
        </w:tc>
        <w:tc>
          <w:tcPr>
            <w:tcW w:w="1334" w:type="dxa"/>
            <w:vAlign w:val="center"/>
          </w:tcPr>
          <w:p w:rsidR="00F011B3" w:rsidRDefault="00023CE1">
            <w:pPr>
              <w:jc w:val="right"/>
            </w:pPr>
            <w:r>
              <w:rPr>
                <w:color w:val="000000"/>
                <w:sz w:val="24"/>
                <w:szCs w:val="24"/>
              </w:rPr>
              <w:t>5,012,238</w:t>
            </w:r>
          </w:p>
        </w:tc>
        <w:tc>
          <w:tcPr>
            <w:tcW w:w="1924" w:type="dxa"/>
            <w:vAlign w:val="center"/>
          </w:tcPr>
          <w:p w:rsidR="00F011B3" w:rsidRDefault="00023CE1">
            <w:pPr>
              <w:jc w:val="right"/>
            </w:pPr>
            <w:r>
              <w:rPr>
                <w:color w:val="000000"/>
                <w:sz w:val="24"/>
                <w:szCs w:val="24"/>
              </w:rPr>
              <w:t>138,538,258.32</w:t>
            </w:r>
          </w:p>
        </w:tc>
        <w:tc>
          <w:tcPr>
            <w:tcW w:w="1644" w:type="dxa"/>
            <w:vAlign w:val="center"/>
          </w:tcPr>
          <w:p w:rsidR="00F011B3" w:rsidRDefault="00023CE1">
            <w:pPr>
              <w:jc w:val="right"/>
            </w:pPr>
            <w:r>
              <w:rPr>
                <w:color w:val="000000"/>
                <w:sz w:val="24"/>
                <w:szCs w:val="24"/>
              </w:rPr>
              <w:t>3.64</w:t>
            </w:r>
          </w:p>
        </w:tc>
      </w:tr>
      <w:tr w:rsidR="00F011B3">
        <w:trPr>
          <w:jc w:val="center"/>
        </w:trPr>
        <w:tc>
          <w:tcPr>
            <w:tcW w:w="855" w:type="dxa"/>
            <w:vAlign w:val="center"/>
          </w:tcPr>
          <w:p w:rsidR="00F011B3" w:rsidRDefault="00023CE1">
            <w:pPr>
              <w:jc w:val="center"/>
            </w:pPr>
            <w:r>
              <w:rPr>
                <w:color w:val="000000"/>
                <w:sz w:val="24"/>
                <w:szCs w:val="24"/>
              </w:rPr>
              <w:t>7</w:t>
            </w:r>
          </w:p>
        </w:tc>
        <w:tc>
          <w:tcPr>
            <w:tcW w:w="1334" w:type="dxa"/>
            <w:vAlign w:val="center"/>
          </w:tcPr>
          <w:p w:rsidR="00F011B3" w:rsidRDefault="00023CE1">
            <w:pPr>
              <w:jc w:val="center"/>
            </w:pPr>
            <w:r>
              <w:rPr>
                <w:color w:val="000000"/>
                <w:sz w:val="24"/>
                <w:szCs w:val="24"/>
              </w:rPr>
              <w:t>002475</w:t>
            </w:r>
          </w:p>
        </w:tc>
        <w:tc>
          <w:tcPr>
            <w:tcW w:w="1777" w:type="dxa"/>
            <w:vAlign w:val="center"/>
          </w:tcPr>
          <w:p w:rsidR="00F011B3" w:rsidRDefault="00023CE1">
            <w:pPr>
              <w:jc w:val="center"/>
            </w:pPr>
            <w:r>
              <w:rPr>
                <w:color w:val="000000"/>
                <w:sz w:val="24"/>
                <w:szCs w:val="24"/>
              </w:rPr>
              <w:t>立讯精密</w:t>
            </w:r>
          </w:p>
        </w:tc>
        <w:tc>
          <w:tcPr>
            <w:tcW w:w="1334" w:type="dxa"/>
            <w:vAlign w:val="center"/>
          </w:tcPr>
          <w:p w:rsidR="00F011B3" w:rsidRDefault="00023CE1">
            <w:pPr>
              <w:jc w:val="right"/>
            </w:pPr>
            <w:r>
              <w:rPr>
                <w:color w:val="000000"/>
                <w:sz w:val="24"/>
                <w:szCs w:val="24"/>
              </w:rPr>
              <w:t>3,504,250</w:t>
            </w:r>
          </w:p>
        </w:tc>
        <w:tc>
          <w:tcPr>
            <w:tcW w:w="1924" w:type="dxa"/>
            <w:vAlign w:val="center"/>
          </w:tcPr>
          <w:p w:rsidR="00F011B3" w:rsidRDefault="00023CE1">
            <w:pPr>
              <w:jc w:val="right"/>
            </w:pPr>
            <w:r>
              <w:rPr>
                <w:color w:val="000000"/>
                <w:sz w:val="24"/>
                <w:szCs w:val="24"/>
              </w:rPr>
              <w:t>127,905,125.00</w:t>
            </w:r>
          </w:p>
        </w:tc>
        <w:tc>
          <w:tcPr>
            <w:tcW w:w="1644" w:type="dxa"/>
            <w:vAlign w:val="center"/>
          </w:tcPr>
          <w:p w:rsidR="00F011B3" w:rsidRDefault="00023CE1">
            <w:pPr>
              <w:jc w:val="right"/>
            </w:pPr>
            <w:r>
              <w:rPr>
                <w:color w:val="000000"/>
                <w:sz w:val="24"/>
                <w:szCs w:val="24"/>
              </w:rPr>
              <w:t>3.36</w:t>
            </w:r>
          </w:p>
        </w:tc>
      </w:tr>
      <w:tr w:rsidR="00F011B3">
        <w:trPr>
          <w:jc w:val="center"/>
        </w:trPr>
        <w:tc>
          <w:tcPr>
            <w:tcW w:w="855" w:type="dxa"/>
            <w:vAlign w:val="center"/>
          </w:tcPr>
          <w:p w:rsidR="00F011B3" w:rsidRDefault="00023CE1">
            <w:pPr>
              <w:jc w:val="center"/>
            </w:pPr>
            <w:r>
              <w:rPr>
                <w:color w:val="000000"/>
                <w:sz w:val="24"/>
                <w:szCs w:val="24"/>
              </w:rPr>
              <w:t>8</w:t>
            </w:r>
          </w:p>
        </w:tc>
        <w:tc>
          <w:tcPr>
            <w:tcW w:w="1334" w:type="dxa"/>
            <w:vAlign w:val="center"/>
          </w:tcPr>
          <w:p w:rsidR="00F011B3" w:rsidRDefault="00023CE1">
            <w:pPr>
              <w:jc w:val="center"/>
            </w:pPr>
            <w:r>
              <w:rPr>
                <w:color w:val="000000"/>
                <w:sz w:val="24"/>
                <w:szCs w:val="24"/>
              </w:rPr>
              <w:t>300271</w:t>
            </w:r>
          </w:p>
        </w:tc>
        <w:tc>
          <w:tcPr>
            <w:tcW w:w="1777" w:type="dxa"/>
            <w:vAlign w:val="center"/>
          </w:tcPr>
          <w:p w:rsidR="00F011B3" w:rsidRDefault="00023CE1">
            <w:pPr>
              <w:jc w:val="center"/>
            </w:pPr>
            <w:r>
              <w:rPr>
                <w:color w:val="000000"/>
                <w:sz w:val="24"/>
                <w:szCs w:val="24"/>
              </w:rPr>
              <w:t>华宇软件</w:t>
            </w:r>
          </w:p>
        </w:tc>
        <w:tc>
          <w:tcPr>
            <w:tcW w:w="1334" w:type="dxa"/>
            <w:vAlign w:val="center"/>
          </w:tcPr>
          <w:p w:rsidR="00F011B3" w:rsidRDefault="00023CE1">
            <w:pPr>
              <w:jc w:val="right"/>
            </w:pPr>
            <w:r>
              <w:rPr>
                <w:color w:val="000000"/>
                <w:sz w:val="24"/>
                <w:szCs w:val="24"/>
              </w:rPr>
              <w:t>4,864,012</w:t>
            </w:r>
          </w:p>
        </w:tc>
        <w:tc>
          <w:tcPr>
            <w:tcW w:w="1924" w:type="dxa"/>
            <w:vAlign w:val="center"/>
          </w:tcPr>
          <w:p w:rsidR="00F011B3" w:rsidRDefault="00023CE1">
            <w:pPr>
              <w:jc w:val="right"/>
            </w:pPr>
            <w:r>
              <w:rPr>
                <w:color w:val="000000"/>
                <w:sz w:val="24"/>
                <w:szCs w:val="24"/>
              </w:rPr>
              <w:t>123,545,904.80</w:t>
            </w:r>
          </w:p>
        </w:tc>
        <w:tc>
          <w:tcPr>
            <w:tcW w:w="1644" w:type="dxa"/>
            <w:vAlign w:val="center"/>
          </w:tcPr>
          <w:p w:rsidR="00F011B3" w:rsidRDefault="00023CE1">
            <w:pPr>
              <w:jc w:val="right"/>
            </w:pPr>
            <w:r>
              <w:rPr>
                <w:color w:val="000000"/>
                <w:sz w:val="24"/>
                <w:szCs w:val="24"/>
              </w:rPr>
              <w:t>3.25</w:t>
            </w:r>
          </w:p>
        </w:tc>
      </w:tr>
      <w:tr w:rsidR="00F011B3">
        <w:trPr>
          <w:jc w:val="center"/>
        </w:trPr>
        <w:tc>
          <w:tcPr>
            <w:tcW w:w="855" w:type="dxa"/>
            <w:vAlign w:val="center"/>
          </w:tcPr>
          <w:p w:rsidR="00F011B3" w:rsidRDefault="00023CE1">
            <w:pPr>
              <w:jc w:val="center"/>
            </w:pPr>
            <w:r>
              <w:rPr>
                <w:color w:val="000000"/>
                <w:sz w:val="24"/>
                <w:szCs w:val="24"/>
              </w:rPr>
              <w:t>9</w:t>
            </w:r>
          </w:p>
        </w:tc>
        <w:tc>
          <w:tcPr>
            <w:tcW w:w="1334" w:type="dxa"/>
            <w:vAlign w:val="center"/>
          </w:tcPr>
          <w:p w:rsidR="00F011B3" w:rsidRDefault="00023CE1">
            <w:pPr>
              <w:jc w:val="center"/>
            </w:pPr>
            <w:r>
              <w:rPr>
                <w:color w:val="000000"/>
                <w:sz w:val="24"/>
                <w:szCs w:val="24"/>
              </w:rPr>
              <w:t>002439</w:t>
            </w:r>
          </w:p>
        </w:tc>
        <w:tc>
          <w:tcPr>
            <w:tcW w:w="1777" w:type="dxa"/>
            <w:vAlign w:val="center"/>
          </w:tcPr>
          <w:p w:rsidR="00F011B3" w:rsidRDefault="00023CE1">
            <w:pPr>
              <w:jc w:val="center"/>
            </w:pPr>
            <w:r>
              <w:rPr>
                <w:color w:val="000000"/>
                <w:sz w:val="24"/>
                <w:szCs w:val="24"/>
              </w:rPr>
              <w:t>启明星辰</w:t>
            </w:r>
          </w:p>
        </w:tc>
        <w:tc>
          <w:tcPr>
            <w:tcW w:w="1334" w:type="dxa"/>
            <w:vAlign w:val="center"/>
          </w:tcPr>
          <w:p w:rsidR="00F011B3" w:rsidRDefault="00023CE1">
            <w:pPr>
              <w:jc w:val="right"/>
            </w:pPr>
            <w:r>
              <w:rPr>
                <w:color w:val="000000"/>
                <w:sz w:val="24"/>
                <w:szCs w:val="24"/>
              </w:rPr>
              <w:t>3,054,490</w:t>
            </w:r>
          </w:p>
        </w:tc>
        <w:tc>
          <w:tcPr>
            <w:tcW w:w="1924" w:type="dxa"/>
            <w:vAlign w:val="center"/>
          </w:tcPr>
          <w:p w:rsidR="00F011B3" w:rsidRDefault="00023CE1">
            <w:pPr>
              <w:jc w:val="right"/>
            </w:pPr>
            <w:r>
              <w:rPr>
                <w:color w:val="000000"/>
                <w:sz w:val="24"/>
                <w:szCs w:val="24"/>
              </w:rPr>
              <w:t>103,241,762.00</w:t>
            </w:r>
          </w:p>
        </w:tc>
        <w:tc>
          <w:tcPr>
            <w:tcW w:w="1644" w:type="dxa"/>
            <w:vAlign w:val="center"/>
          </w:tcPr>
          <w:p w:rsidR="00F011B3" w:rsidRDefault="00023CE1">
            <w:pPr>
              <w:jc w:val="right"/>
            </w:pPr>
            <w:r>
              <w:rPr>
                <w:color w:val="000000"/>
                <w:sz w:val="24"/>
                <w:szCs w:val="24"/>
              </w:rPr>
              <w:t>2.71</w:t>
            </w:r>
          </w:p>
        </w:tc>
      </w:tr>
      <w:tr w:rsidR="00F011B3">
        <w:trPr>
          <w:jc w:val="center"/>
        </w:trPr>
        <w:tc>
          <w:tcPr>
            <w:tcW w:w="855" w:type="dxa"/>
            <w:vAlign w:val="center"/>
          </w:tcPr>
          <w:p w:rsidR="00F011B3" w:rsidRDefault="00023CE1">
            <w:pPr>
              <w:jc w:val="center"/>
            </w:pPr>
            <w:r>
              <w:rPr>
                <w:color w:val="000000"/>
                <w:sz w:val="24"/>
                <w:szCs w:val="24"/>
              </w:rPr>
              <w:t>10</w:t>
            </w:r>
          </w:p>
        </w:tc>
        <w:tc>
          <w:tcPr>
            <w:tcW w:w="1334" w:type="dxa"/>
            <w:vAlign w:val="center"/>
          </w:tcPr>
          <w:p w:rsidR="00F011B3" w:rsidRDefault="00023CE1">
            <w:pPr>
              <w:jc w:val="center"/>
            </w:pPr>
            <w:r>
              <w:rPr>
                <w:color w:val="000000"/>
                <w:sz w:val="24"/>
                <w:szCs w:val="24"/>
              </w:rPr>
              <w:t>000002</w:t>
            </w:r>
          </w:p>
        </w:tc>
        <w:tc>
          <w:tcPr>
            <w:tcW w:w="1777" w:type="dxa"/>
            <w:vAlign w:val="center"/>
          </w:tcPr>
          <w:p w:rsidR="00F011B3" w:rsidRDefault="00023CE1">
            <w:pPr>
              <w:jc w:val="center"/>
            </w:pPr>
            <w:r>
              <w:rPr>
                <w:color w:val="000000"/>
                <w:sz w:val="24"/>
                <w:szCs w:val="24"/>
              </w:rPr>
              <w:t>万科</w:t>
            </w:r>
            <w:r>
              <w:rPr>
                <w:color w:val="000000"/>
                <w:sz w:val="24"/>
                <w:szCs w:val="24"/>
              </w:rPr>
              <w:t>A</w:t>
            </w:r>
          </w:p>
        </w:tc>
        <w:tc>
          <w:tcPr>
            <w:tcW w:w="1334" w:type="dxa"/>
            <w:vAlign w:val="center"/>
          </w:tcPr>
          <w:p w:rsidR="00F011B3" w:rsidRDefault="00023CE1">
            <w:pPr>
              <w:jc w:val="right"/>
            </w:pPr>
            <w:r>
              <w:rPr>
                <w:color w:val="000000"/>
                <w:sz w:val="24"/>
                <w:szCs w:val="24"/>
              </w:rPr>
              <w:t>3,093,620</w:t>
            </w:r>
          </w:p>
        </w:tc>
        <w:tc>
          <w:tcPr>
            <w:tcW w:w="1924" w:type="dxa"/>
            <w:vAlign w:val="center"/>
          </w:tcPr>
          <w:p w:rsidR="00F011B3" w:rsidRDefault="00023CE1">
            <w:pPr>
              <w:jc w:val="right"/>
            </w:pPr>
            <w:r>
              <w:rPr>
                <w:color w:val="000000"/>
                <w:sz w:val="24"/>
                <w:szCs w:val="24"/>
              </w:rPr>
              <w:t>99,552,691.60</w:t>
            </w:r>
          </w:p>
        </w:tc>
        <w:tc>
          <w:tcPr>
            <w:tcW w:w="1644" w:type="dxa"/>
            <w:vAlign w:val="center"/>
          </w:tcPr>
          <w:p w:rsidR="00F011B3" w:rsidRDefault="00023CE1">
            <w:pPr>
              <w:jc w:val="right"/>
            </w:pPr>
            <w:r>
              <w:rPr>
                <w:color w:val="000000"/>
                <w:sz w:val="24"/>
                <w:szCs w:val="24"/>
              </w:rPr>
              <w:t>2.62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190,283,000.00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190,283,000.00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190,283,000.00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F011B3">
        <w:trPr>
          <w:jc w:val="center"/>
        </w:trPr>
        <w:tc>
          <w:tcPr>
            <w:tcW w:w="850" w:type="dxa"/>
            <w:vAlign w:val="center"/>
          </w:tcPr>
          <w:p w:rsidR="00F011B3" w:rsidRDefault="00023CE1">
            <w:pPr>
              <w:jc w:val="center"/>
            </w:pPr>
            <w:r>
              <w:rPr>
                <w:color w:val="000000"/>
                <w:sz w:val="24"/>
                <w:szCs w:val="24"/>
              </w:rPr>
              <w:t>1</w:t>
            </w:r>
          </w:p>
        </w:tc>
        <w:tc>
          <w:tcPr>
            <w:tcW w:w="1475" w:type="dxa"/>
            <w:vAlign w:val="center"/>
          </w:tcPr>
          <w:p w:rsidR="00F011B3" w:rsidRDefault="00023CE1">
            <w:pPr>
              <w:jc w:val="center"/>
            </w:pPr>
            <w:r>
              <w:rPr>
                <w:color w:val="000000"/>
                <w:sz w:val="24"/>
                <w:szCs w:val="24"/>
              </w:rPr>
              <w:t>190206</w:t>
            </w:r>
          </w:p>
        </w:tc>
        <w:tc>
          <w:tcPr>
            <w:tcW w:w="1769" w:type="dxa"/>
            <w:vAlign w:val="center"/>
          </w:tcPr>
          <w:p w:rsidR="00F011B3" w:rsidRDefault="00023CE1">
            <w:pPr>
              <w:jc w:val="center"/>
            </w:pPr>
            <w:r>
              <w:rPr>
                <w:color w:val="000000"/>
                <w:sz w:val="24"/>
                <w:szCs w:val="24"/>
              </w:rPr>
              <w:t>19</w:t>
            </w:r>
            <w:r>
              <w:rPr>
                <w:color w:val="000000"/>
                <w:sz w:val="24"/>
                <w:szCs w:val="24"/>
              </w:rPr>
              <w:t>国开</w:t>
            </w:r>
            <w:r>
              <w:rPr>
                <w:color w:val="000000"/>
                <w:sz w:val="24"/>
                <w:szCs w:val="24"/>
              </w:rPr>
              <w:t>06</w:t>
            </w:r>
          </w:p>
        </w:tc>
        <w:tc>
          <w:tcPr>
            <w:tcW w:w="1387" w:type="dxa"/>
            <w:vAlign w:val="center"/>
          </w:tcPr>
          <w:p w:rsidR="00F011B3" w:rsidRDefault="00023CE1">
            <w:pPr>
              <w:jc w:val="right"/>
            </w:pPr>
            <w:r>
              <w:rPr>
                <w:color w:val="000000"/>
                <w:sz w:val="24"/>
                <w:szCs w:val="24"/>
              </w:rPr>
              <w:t>900,000</w:t>
            </w:r>
          </w:p>
        </w:tc>
        <w:tc>
          <w:tcPr>
            <w:tcW w:w="2150" w:type="dxa"/>
            <w:vAlign w:val="center"/>
          </w:tcPr>
          <w:p w:rsidR="00F011B3" w:rsidRDefault="00023CE1">
            <w:pPr>
              <w:jc w:val="right"/>
            </w:pPr>
            <w:r>
              <w:rPr>
                <w:color w:val="000000"/>
                <w:sz w:val="24"/>
                <w:szCs w:val="24"/>
              </w:rPr>
              <w:t>90,144,000.00</w:t>
            </w:r>
          </w:p>
        </w:tc>
        <w:tc>
          <w:tcPr>
            <w:tcW w:w="1237" w:type="dxa"/>
            <w:vAlign w:val="center"/>
          </w:tcPr>
          <w:p w:rsidR="00F011B3" w:rsidRDefault="00023CE1">
            <w:pPr>
              <w:jc w:val="right"/>
            </w:pPr>
            <w:r>
              <w:rPr>
                <w:color w:val="000000"/>
                <w:sz w:val="24"/>
                <w:szCs w:val="24"/>
              </w:rPr>
              <w:t>2.37</w:t>
            </w:r>
          </w:p>
        </w:tc>
      </w:tr>
      <w:tr w:rsidR="00F011B3">
        <w:trPr>
          <w:jc w:val="center"/>
        </w:trPr>
        <w:tc>
          <w:tcPr>
            <w:tcW w:w="850" w:type="dxa"/>
            <w:vAlign w:val="center"/>
          </w:tcPr>
          <w:p w:rsidR="00F011B3" w:rsidRDefault="00023CE1">
            <w:pPr>
              <w:jc w:val="center"/>
            </w:pPr>
            <w:r>
              <w:rPr>
                <w:color w:val="000000"/>
                <w:sz w:val="24"/>
                <w:szCs w:val="24"/>
              </w:rPr>
              <w:t>2</w:t>
            </w:r>
          </w:p>
        </w:tc>
        <w:tc>
          <w:tcPr>
            <w:tcW w:w="1475" w:type="dxa"/>
            <w:vAlign w:val="center"/>
          </w:tcPr>
          <w:p w:rsidR="00F011B3" w:rsidRDefault="00023CE1">
            <w:pPr>
              <w:jc w:val="center"/>
            </w:pPr>
            <w:r>
              <w:rPr>
                <w:color w:val="000000"/>
                <w:sz w:val="24"/>
                <w:szCs w:val="24"/>
              </w:rPr>
              <w:t>190304</w:t>
            </w:r>
          </w:p>
        </w:tc>
        <w:tc>
          <w:tcPr>
            <w:tcW w:w="1769" w:type="dxa"/>
            <w:vAlign w:val="center"/>
          </w:tcPr>
          <w:p w:rsidR="00F011B3" w:rsidRDefault="00023CE1">
            <w:pPr>
              <w:jc w:val="center"/>
            </w:pPr>
            <w:r>
              <w:rPr>
                <w:color w:val="000000"/>
                <w:sz w:val="24"/>
                <w:szCs w:val="24"/>
              </w:rPr>
              <w:t>19</w:t>
            </w:r>
            <w:r>
              <w:rPr>
                <w:color w:val="000000"/>
                <w:sz w:val="24"/>
                <w:szCs w:val="24"/>
              </w:rPr>
              <w:t>进出</w:t>
            </w:r>
            <w:r>
              <w:rPr>
                <w:color w:val="000000"/>
                <w:sz w:val="24"/>
                <w:szCs w:val="24"/>
              </w:rPr>
              <w:t>04</w:t>
            </w:r>
          </w:p>
        </w:tc>
        <w:tc>
          <w:tcPr>
            <w:tcW w:w="1387" w:type="dxa"/>
            <w:vAlign w:val="center"/>
          </w:tcPr>
          <w:p w:rsidR="00F011B3" w:rsidRDefault="00023CE1">
            <w:pPr>
              <w:jc w:val="right"/>
            </w:pPr>
            <w:r>
              <w:rPr>
                <w:color w:val="000000"/>
                <w:sz w:val="24"/>
                <w:szCs w:val="24"/>
              </w:rPr>
              <w:t>500,000</w:t>
            </w:r>
          </w:p>
        </w:tc>
        <w:tc>
          <w:tcPr>
            <w:tcW w:w="2150" w:type="dxa"/>
            <w:vAlign w:val="center"/>
          </w:tcPr>
          <w:p w:rsidR="00F011B3" w:rsidRDefault="00023CE1">
            <w:pPr>
              <w:jc w:val="right"/>
            </w:pPr>
            <w:r>
              <w:rPr>
                <w:color w:val="000000"/>
                <w:sz w:val="24"/>
                <w:szCs w:val="24"/>
              </w:rPr>
              <w:t>50,085,000.00</w:t>
            </w:r>
          </w:p>
        </w:tc>
        <w:tc>
          <w:tcPr>
            <w:tcW w:w="1237" w:type="dxa"/>
            <w:vAlign w:val="center"/>
          </w:tcPr>
          <w:p w:rsidR="00F011B3" w:rsidRDefault="00023CE1">
            <w:pPr>
              <w:jc w:val="right"/>
            </w:pPr>
            <w:r>
              <w:rPr>
                <w:color w:val="000000"/>
                <w:sz w:val="24"/>
                <w:szCs w:val="24"/>
              </w:rPr>
              <w:t>1.32</w:t>
            </w:r>
          </w:p>
        </w:tc>
      </w:tr>
      <w:tr w:rsidR="00F011B3">
        <w:trPr>
          <w:jc w:val="center"/>
        </w:trPr>
        <w:tc>
          <w:tcPr>
            <w:tcW w:w="850" w:type="dxa"/>
            <w:vAlign w:val="center"/>
          </w:tcPr>
          <w:p w:rsidR="00F011B3" w:rsidRDefault="00023CE1">
            <w:pPr>
              <w:jc w:val="center"/>
            </w:pPr>
            <w:r>
              <w:rPr>
                <w:color w:val="000000"/>
                <w:sz w:val="24"/>
                <w:szCs w:val="24"/>
              </w:rPr>
              <w:t>3</w:t>
            </w:r>
          </w:p>
        </w:tc>
        <w:tc>
          <w:tcPr>
            <w:tcW w:w="1475" w:type="dxa"/>
            <w:vAlign w:val="center"/>
          </w:tcPr>
          <w:p w:rsidR="00F011B3" w:rsidRDefault="00023CE1">
            <w:pPr>
              <w:jc w:val="center"/>
            </w:pPr>
            <w:r>
              <w:rPr>
                <w:color w:val="000000"/>
                <w:sz w:val="24"/>
                <w:szCs w:val="24"/>
              </w:rPr>
              <w:t>190405</w:t>
            </w:r>
          </w:p>
        </w:tc>
        <w:tc>
          <w:tcPr>
            <w:tcW w:w="1769" w:type="dxa"/>
            <w:vAlign w:val="center"/>
          </w:tcPr>
          <w:p w:rsidR="00F011B3" w:rsidRDefault="00023CE1">
            <w:pPr>
              <w:jc w:val="center"/>
            </w:pPr>
            <w:r>
              <w:rPr>
                <w:color w:val="000000"/>
                <w:sz w:val="24"/>
                <w:szCs w:val="24"/>
              </w:rPr>
              <w:t>19</w:t>
            </w:r>
            <w:r>
              <w:rPr>
                <w:color w:val="000000"/>
                <w:sz w:val="24"/>
                <w:szCs w:val="24"/>
              </w:rPr>
              <w:t>农发</w:t>
            </w:r>
            <w:r>
              <w:rPr>
                <w:color w:val="000000"/>
                <w:sz w:val="24"/>
                <w:szCs w:val="24"/>
              </w:rPr>
              <w:t>05</w:t>
            </w:r>
          </w:p>
        </w:tc>
        <w:tc>
          <w:tcPr>
            <w:tcW w:w="1387" w:type="dxa"/>
            <w:vAlign w:val="center"/>
          </w:tcPr>
          <w:p w:rsidR="00F011B3" w:rsidRDefault="00023CE1">
            <w:pPr>
              <w:jc w:val="right"/>
            </w:pPr>
            <w:r>
              <w:rPr>
                <w:color w:val="000000"/>
                <w:sz w:val="24"/>
                <w:szCs w:val="24"/>
              </w:rPr>
              <w:t>200,000</w:t>
            </w:r>
          </w:p>
        </w:tc>
        <w:tc>
          <w:tcPr>
            <w:tcW w:w="2150" w:type="dxa"/>
            <w:vAlign w:val="center"/>
          </w:tcPr>
          <w:p w:rsidR="00F011B3" w:rsidRDefault="00023CE1">
            <w:pPr>
              <w:jc w:val="right"/>
            </w:pPr>
            <w:r>
              <w:rPr>
                <w:color w:val="000000"/>
                <w:sz w:val="24"/>
                <w:szCs w:val="24"/>
              </w:rPr>
              <w:t>20,026,000.00</w:t>
            </w:r>
          </w:p>
        </w:tc>
        <w:tc>
          <w:tcPr>
            <w:tcW w:w="1237" w:type="dxa"/>
            <w:vAlign w:val="center"/>
          </w:tcPr>
          <w:p w:rsidR="00F011B3" w:rsidRDefault="00023CE1">
            <w:pPr>
              <w:jc w:val="right"/>
            </w:pPr>
            <w:r>
              <w:rPr>
                <w:color w:val="000000"/>
                <w:sz w:val="24"/>
                <w:szCs w:val="24"/>
              </w:rPr>
              <w:t>0.53</w:t>
            </w:r>
          </w:p>
        </w:tc>
      </w:tr>
      <w:tr w:rsidR="00F011B3">
        <w:trPr>
          <w:jc w:val="center"/>
        </w:trPr>
        <w:tc>
          <w:tcPr>
            <w:tcW w:w="850" w:type="dxa"/>
            <w:vAlign w:val="center"/>
          </w:tcPr>
          <w:p w:rsidR="00F011B3" w:rsidRDefault="00023CE1">
            <w:pPr>
              <w:jc w:val="center"/>
            </w:pPr>
            <w:r>
              <w:rPr>
                <w:color w:val="000000"/>
                <w:sz w:val="24"/>
                <w:szCs w:val="24"/>
              </w:rPr>
              <w:t>4</w:t>
            </w:r>
          </w:p>
        </w:tc>
        <w:tc>
          <w:tcPr>
            <w:tcW w:w="1475" w:type="dxa"/>
            <w:vAlign w:val="center"/>
          </w:tcPr>
          <w:p w:rsidR="00F011B3" w:rsidRDefault="00023CE1">
            <w:pPr>
              <w:jc w:val="center"/>
            </w:pPr>
            <w:r>
              <w:rPr>
                <w:color w:val="000000"/>
                <w:sz w:val="24"/>
                <w:szCs w:val="24"/>
              </w:rPr>
              <w:t>190307</w:t>
            </w:r>
          </w:p>
        </w:tc>
        <w:tc>
          <w:tcPr>
            <w:tcW w:w="1769" w:type="dxa"/>
            <w:vAlign w:val="center"/>
          </w:tcPr>
          <w:p w:rsidR="00F011B3" w:rsidRDefault="00023CE1">
            <w:pPr>
              <w:jc w:val="center"/>
            </w:pPr>
            <w:r>
              <w:rPr>
                <w:color w:val="000000"/>
                <w:sz w:val="24"/>
                <w:szCs w:val="24"/>
              </w:rPr>
              <w:t>19</w:t>
            </w:r>
            <w:r>
              <w:rPr>
                <w:color w:val="000000"/>
                <w:sz w:val="24"/>
                <w:szCs w:val="24"/>
              </w:rPr>
              <w:t>进出</w:t>
            </w:r>
            <w:r>
              <w:rPr>
                <w:color w:val="000000"/>
                <w:sz w:val="24"/>
                <w:szCs w:val="24"/>
              </w:rPr>
              <w:t>07</w:t>
            </w:r>
          </w:p>
        </w:tc>
        <w:tc>
          <w:tcPr>
            <w:tcW w:w="1387" w:type="dxa"/>
            <w:vAlign w:val="center"/>
          </w:tcPr>
          <w:p w:rsidR="00F011B3" w:rsidRDefault="00023CE1">
            <w:pPr>
              <w:jc w:val="right"/>
            </w:pPr>
            <w:r>
              <w:rPr>
                <w:color w:val="000000"/>
                <w:sz w:val="24"/>
                <w:szCs w:val="24"/>
              </w:rPr>
              <w:t>200,000</w:t>
            </w:r>
          </w:p>
        </w:tc>
        <w:tc>
          <w:tcPr>
            <w:tcW w:w="2150" w:type="dxa"/>
            <w:vAlign w:val="center"/>
          </w:tcPr>
          <w:p w:rsidR="00F011B3" w:rsidRDefault="00023CE1">
            <w:pPr>
              <w:jc w:val="right"/>
            </w:pPr>
            <w:r>
              <w:rPr>
                <w:color w:val="000000"/>
                <w:sz w:val="24"/>
                <w:szCs w:val="24"/>
              </w:rPr>
              <w:t>20,014,000.00</w:t>
            </w:r>
          </w:p>
        </w:tc>
        <w:tc>
          <w:tcPr>
            <w:tcW w:w="1237" w:type="dxa"/>
            <w:vAlign w:val="center"/>
          </w:tcPr>
          <w:p w:rsidR="00F011B3" w:rsidRDefault="00023CE1">
            <w:pPr>
              <w:jc w:val="right"/>
            </w:pPr>
            <w:r>
              <w:rPr>
                <w:color w:val="000000"/>
                <w:sz w:val="24"/>
                <w:szCs w:val="24"/>
              </w:rPr>
              <w:t>0.53</w:t>
            </w:r>
          </w:p>
        </w:tc>
      </w:tr>
      <w:tr w:rsidR="00F011B3">
        <w:trPr>
          <w:jc w:val="center"/>
        </w:trPr>
        <w:tc>
          <w:tcPr>
            <w:tcW w:w="850" w:type="dxa"/>
            <w:vAlign w:val="center"/>
          </w:tcPr>
          <w:p w:rsidR="00F011B3" w:rsidRDefault="00023CE1">
            <w:pPr>
              <w:jc w:val="center"/>
            </w:pPr>
            <w:r>
              <w:rPr>
                <w:color w:val="000000"/>
                <w:sz w:val="24"/>
                <w:szCs w:val="24"/>
              </w:rPr>
              <w:t>5</w:t>
            </w:r>
          </w:p>
        </w:tc>
        <w:tc>
          <w:tcPr>
            <w:tcW w:w="1475" w:type="dxa"/>
            <w:vAlign w:val="center"/>
          </w:tcPr>
          <w:p w:rsidR="00F011B3" w:rsidRDefault="00023CE1">
            <w:pPr>
              <w:jc w:val="center"/>
            </w:pPr>
            <w:r>
              <w:rPr>
                <w:color w:val="000000"/>
                <w:sz w:val="24"/>
                <w:szCs w:val="24"/>
              </w:rPr>
              <w:t>190211</w:t>
            </w:r>
          </w:p>
        </w:tc>
        <w:tc>
          <w:tcPr>
            <w:tcW w:w="1769" w:type="dxa"/>
            <w:vAlign w:val="center"/>
          </w:tcPr>
          <w:p w:rsidR="00F011B3" w:rsidRDefault="00023CE1">
            <w:pPr>
              <w:jc w:val="center"/>
            </w:pPr>
            <w:r>
              <w:rPr>
                <w:color w:val="000000"/>
                <w:sz w:val="24"/>
                <w:szCs w:val="24"/>
              </w:rPr>
              <w:t>19</w:t>
            </w:r>
            <w:r>
              <w:rPr>
                <w:color w:val="000000"/>
                <w:sz w:val="24"/>
                <w:szCs w:val="24"/>
              </w:rPr>
              <w:t>国开</w:t>
            </w:r>
            <w:r>
              <w:rPr>
                <w:color w:val="000000"/>
                <w:sz w:val="24"/>
                <w:szCs w:val="24"/>
              </w:rPr>
              <w:t>11</w:t>
            </w:r>
          </w:p>
        </w:tc>
        <w:tc>
          <w:tcPr>
            <w:tcW w:w="1387" w:type="dxa"/>
            <w:vAlign w:val="center"/>
          </w:tcPr>
          <w:p w:rsidR="00F011B3" w:rsidRDefault="00023CE1">
            <w:pPr>
              <w:jc w:val="right"/>
            </w:pPr>
            <w:r>
              <w:rPr>
                <w:color w:val="000000"/>
                <w:sz w:val="24"/>
                <w:szCs w:val="24"/>
              </w:rPr>
              <w:t>100,000</w:t>
            </w:r>
          </w:p>
        </w:tc>
        <w:tc>
          <w:tcPr>
            <w:tcW w:w="2150" w:type="dxa"/>
            <w:vAlign w:val="center"/>
          </w:tcPr>
          <w:p w:rsidR="00F011B3" w:rsidRDefault="00023CE1">
            <w:pPr>
              <w:jc w:val="right"/>
            </w:pPr>
            <w:r>
              <w:rPr>
                <w:color w:val="000000"/>
                <w:sz w:val="24"/>
                <w:szCs w:val="24"/>
              </w:rPr>
              <w:t>10,014,000.00</w:t>
            </w:r>
          </w:p>
        </w:tc>
        <w:tc>
          <w:tcPr>
            <w:tcW w:w="1237" w:type="dxa"/>
            <w:vAlign w:val="center"/>
          </w:tcPr>
          <w:p w:rsidR="00F011B3" w:rsidRDefault="00023CE1">
            <w:pPr>
              <w:jc w:val="right"/>
            </w:pPr>
            <w:r>
              <w:rPr>
                <w:color w:val="000000"/>
                <w:sz w:val="24"/>
                <w:szCs w:val="24"/>
              </w:rPr>
              <w:t>0.26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736,803.58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34,562,355.20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3,182,610.81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29,089,067.64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67,570,837.23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879,497,096.12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300,390,442.93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241,728,870.65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938,158,668.40</w:t>
            </w:r>
          </w:p>
        </w:tc>
      </w:tr>
    </w:tbl>
    <w:p w:rsidR="00F011B3" w:rsidRDefault="00023CE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F011B3" w:rsidRDefault="00023CE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、中国证监会批准交银施罗德保本混合型证券投资基金募集的文件；</w:t>
      </w:r>
      <w:r>
        <w:rPr>
          <w:color w:val="000000"/>
          <w:sz w:val="24"/>
          <w:szCs w:val="24"/>
        </w:rPr>
        <w:t xml:space="preserve"> </w:t>
      </w:r>
    </w:p>
    <w:p w:rsidR="00F011B3" w:rsidRDefault="00023CE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、《交银施罗德优势行业灵活配置混合型证券投资基金基金合同》；</w:t>
      </w:r>
      <w:r>
        <w:rPr>
          <w:color w:val="000000"/>
          <w:sz w:val="24"/>
          <w:szCs w:val="24"/>
        </w:rPr>
        <w:t xml:space="preserve"> </w:t>
      </w:r>
    </w:p>
    <w:p w:rsidR="00F011B3" w:rsidRDefault="00023CE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、《交银施罗德优势行业灵活配置混合型证券投资基金招募说明书》；</w:t>
      </w:r>
      <w:r>
        <w:rPr>
          <w:color w:val="000000"/>
          <w:sz w:val="24"/>
          <w:szCs w:val="24"/>
        </w:rPr>
        <w:t xml:space="preserve"> </w:t>
      </w:r>
    </w:p>
    <w:p w:rsidR="00F011B3" w:rsidRDefault="00023CE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、《交银施罗德优势行业灵活配置混合型证券投资基金托管协议》；</w:t>
      </w:r>
    </w:p>
    <w:p w:rsidR="00F011B3" w:rsidRDefault="00023CE1">
      <w:pPr>
        <w:spacing w:before="29" w:line="288" w:lineRule="auto"/>
        <w:ind w:firstLineChars="200" w:firstLine="480"/>
        <w:rPr>
          <w:color w:val="000000"/>
          <w:sz w:val="24"/>
          <w:szCs w:val="24"/>
        </w:rPr>
      </w:pPr>
      <w:r>
        <w:rPr>
          <w:color w:val="000000"/>
          <w:sz w:val="24"/>
          <w:szCs w:val="24"/>
        </w:rPr>
        <w:t>5</w:t>
      </w:r>
      <w:r>
        <w:rPr>
          <w:color w:val="000000"/>
          <w:sz w:val="24"/>
          <w:szCs w:val="24"/>
        </w:rPr>
        <w:t>、《交银施罗德保本混合型证券投资基金基金合同》；</w:t>
      </w:r>
      <w:r>
        <w:rPr>
          <w:color w:val="000000"/>
          <w:sz w:val="24"/>
          <w:szCs w:val="24"/>
        </w:rPr>
        <w:t xml:space="preserve"> </w:t>
      </w:r>
    </w:p>
    <w:p w:rsidR="00F011B3" w:rsidRDefault="00023CE1">
      <w:pPr>
        <w:spacing w:before="29" w:line="288" w:lineRule="auto"/>
        <w:ind w:firstLineChars="200" w:firstLine="480"/>
        <w:rPr>
          <w:color w:val="000000"/>
          <w:sz w:val="24"/>
          <w:szCs w:val="24"/>
        </w:rPr>
      </w:pPr>
      <w:r>
        <w:rPr>
          <w:color w:val="000000"/>
          <w:sz w:val="24"/>
          <w:szCs w:val="24"/>
        </w:rPr>
        <w:t>6</w:t>
      </w:r>
      <w:r>
        <w:rPr>
          <w:color w:val="000000"/>
          <w:sz w:val="24"/>
          <w:szCs w:val="24"/>
        </w:rPr>
        <w:t>、《交银施罗德保本混合型证券投资基金招募说明书》；</w:t>
      </w:r>
      <w:r>
        <w:rPr>
          <w:color w:val="000000"/>
          <w:sz w:val="24"/>
          <w:szCs w:val="24"/>
        </w:rPr>
        <w:t xml:space="preserve"> </w:t>
      </w:r>
    </w:p>
    <w:p w:rsidR="00F011B3" w:rsidRDefault="00023CE1">
      <w:pPr>
        <w:spacing w:before="29" w:line="288" w:lineRule="auto"/>
        <w:ind w:firstLineChars="200" w:firstLine="480"/>
        <w:rPr>
          <w:color w:val="000000"/>
          <w:sz w:val="24"/>
          <w:szCs w:val="24"/>
        </w:rPr>
      </w:pPr>
      <w:r>
        <w:rPr>
          <w:color w:val="000000"/>
          <w:sz w:val="24"/>
          <w:szCs w:val="24"/>
        </w:rPr>
        <w:t>7</w:t>
      </w:r>
      <w:r>
        <w:rPr>
          <w:color w:val="000000"/>
          <w:sz w:val="24"/>
          <w:szCs w:val="24"/>
        </w:rPr>
        <w:t>、《交银施罗德保本混合型证券投资基金托管协议》；</w:t>
      </w:r>
    </w:p>
    <w:p w:rsidR="00F011B3" w:rsidRDefault="00023CE1">
      <w:pPr>
        <w:spacing w:before="29" w:line="288" w:lineRule="auto"/>
        <w:ind w:firstLineChars="200" w:firstLine="480"/>
        <w:rPr>
          <w:color w:val="000000"/>
          <w:sz w:val="24"/>
          <w:szCs w:val="24"/>
        </w:rPr>
      </w:pPr>
      <w:r>
        <w:rPr>
          <w:color w:val="000000"/>
          <w:sz w:val="24"/>
          <w:szCs w:val="24"/>
        </w:rPr>
        <w:t>8</w:t>
      </w:r>
      <w:r>
        <w:rPr>
          <w:color w:val="000000"/>
          <w:sz w:val="24"/>
          <w:szCs w:val="24"/>
        </w:rPr>
        <w:t>、《交银施罗德保本混合型证券投资基金保函》；</w:t>
      </w:r>
    </w:p>
    <w:p w:rsidR="00F011B3" w:rsidRDefault="00023CE1">
      <w:pPr>
        <w:spacing w:before="29" w:line="288" w:lineRule="auto"/>
        <w:ind w:firstLineChars="200" w:firstLine="480"/>
        <w:rPr>
          <w:color w:val="000000"/>
          <w:sz w:val="24"/>
          <w:szCs w:val="24"/>
        </w:rPr>
      </w:pPr>
      <w:r>
        <w:rPr>
          <w:color w:val="000000"/>
          <w:sz w:val="24"/>
          <w:szCs w:val="24"/>
        </w:rPr>
        <w:t>9</w:t>
      </w:r>
      <w:r>
        <w:rPr>
          <w:color w:val="000000"/>
          <w:sz w:val="24"/>
          <w:szCs w:val="24"/>
        </w:rPr>
        <w:t>、上海源泰律师事务所出具的《关于申请募集交银施罗德保本混合型证券投资基金之法律意见书》；</w:t>
      </w:r>
    </w:p>
    <w:p w:rsidR="00F011B3" w:rsidRDefault="00023CE1">
      <w:pPr>
        <w:spacing w:before="29" w:line="288" w:lineRule="auto"/>
        <w:ind w:firstLineChars="200" w:firstLine="480"/>
        <w:rPr>
          <w:color w:val="000000"/>
          <w:sz w:val="24"/>
          <w:szCs w:val="24"/>
        </w:rPr>
      </w:pPr>
      <w:r>
        <w:rPr>
          <w:color w:val="000000"/>
          <w:sz w:val="24"/>
          <w:szCs w:val="24"/>
        </w:rPr>
        <w:t>10</w:t>
      </w:r>
      <w:r>
        <w:rPr>
          <w:color w:val="000000"/>
          <w:sz w:val="24"/>
          <w:szCs w:val="24"/>
        </w:rPr>
        <w:t>、上海市通力律师事务所出具的《关于交银施罗德保本混合型证券投资基金保本周期到期转型方案及基金合同修改的法律意见》；</w:t>
      </w:r>
    </w:p>
    <w:p w:rsidR="00F011B3" w:rsidRDefault="00023CE1">
      <w:pPr>
        <w:spacing w:before="29" w:line="288" w:lineRule="auto"/>
        <w:ind w:firstLineChars="200" w:firstLine="480"/>
        <w:rPr>
          <w:color w:val="000000"/>
          <w:sz w:val="24"/>
          <w:szCs w:val="24"/>
        </w:rPr>
      </w:pPr>
      <w:r>
        <w:rPr>
          <w:color w:val="000000"/>
          <w:sz w:val="24"/>
          <w:szCs w:val="24"/>
        </w:rPr>
        <w:t>11</w:t>
      </w:r>
      <w:r>
        <w:rPr>
          <w:color w:val="000000"/>
          <w:sz w:val="24"/>
          <w:szCs w:val="24"/>
        </w:rPr>
        <w:t>、基金管理人业务资格批</w:t>
      </w:r>
      <w:r>
        <w:rPr>
          <w:color w:val="000000"/>
          <w:sz w:val="24"/>
          <w:szCs w:val="24"/>
        </w:rPr>
        <w:t>件、营业执照；</w:t>
      </w:r>
    </w:p>
    <w:p w:rsidR="00F011B3" w:rsidRDefault="00023CE1">
      <w:pPr>
        <w:spacing w:before="29" w:line="288" w:lineRule="auto"/>
        <w:ind w:firstLineChars="200" w:firstLine="480"/>
        <w:rPr>
          <w:color w:val="000000"/>
          <w:sz w:val="24"/>
          <w:szCs w:val="24"/>
        </w:rPr>
      </w:pPr>
      <w:r>
        <w:rPr>
          <w:color w:val="000000"/>
          <w:sz w:val="24"/>
          <w:szCs w:val="24"/>
        </w:rPr>
        <w:t>12</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、报告期内交银施罗德优势行业灵活配置混合型证券投资基金在指定报刊上各项公告的原稿。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F011B3" w:rsidRDefault="00023CE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023CE1">
      <w:rPr>
        <w:noProof/>
        <w:kern w:val="0"/>
        <w:szCs w:val="21"/>
      </w:rPr>
      <w:t>3</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023CE1">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A00" w:rsidRDefault="00B83A00" w:rsidP="00876D65">
      <w:r>
        <w:separator/>
      </w:r>
    </w:p>
  </w:footnote>
  <w:footnote w:type="continuationSeparator" w:id="0">
    <w:p w:rsidR="00B83A00" w:rsidRDefault="00B83A0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交银施罗德优势行业灵活配置混合型证券投资基金</w:t>
    </w:r>
    <w:r w:rsidRPr="003E676C">
      <w:rPr>
        <w:sz w:val="24"/>
        <w:szCs w:val="24"/>
      </w:rPr>
      <w:t>2019</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3CE1"/>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11B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3EEED-357F-43D2-BA11-872B0C35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Pages>12</Pages>
  <Words>1109</Words>
  <Characters>6325</Characters>
  <Application>Microsoft Office Word</Application>
  <DocSecurity>0</DocSecurity>
  <Lines>52</Lines>
  <Paragraphs>14</Paragraphs>
  <ScaleCrop>false</ScaleCrop>
  <Company/>
  <LinksUpToDate>false</LinksUpToDate>
  <CharactersWithSpaces>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陈吉卿</cp:lastModifiedBy>
  <cp:revision>598</cp:revision>
  <dcterms:created xsi:type="dcterms:W3CDTF">2012-10-16T06:07:00Z</dcterms:created>
  <dcterms:modified xsi:type="dcterms:W3CDTF">2020-01-10T07:03:00Z</dcterms:modified>
</cp:coreProperties>
</file>